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7BAF1D4" w14:textId="00DCF543" w:rsidR="007C2E1B" w:rsidRPr="00B01850" w:rsidRDefault="007C2E1B" w:rsidP="007C2E1B">
      <w:pPr>
        <w:autoSpaceDE w:val="0"/>
        <w:autoSpaceDN w:val="0"/>
        <w:adjustRightInd w:val="0"/>
        <w:jc w:val="center"/>
        <w:rPr>
          <w:rFonts w:ascii="Arial" w:eastAsia="Calibri" w:hAnsi="Arial" w:cs="Arial"/>
          <w:b/>
          <w:bCs/>
        </w:rPr>
      </w:pPr>
      <w:bookmarkStart w:id="0" w:name="_Toc378969265"/>
      <w:bookmarkStart w:id="1" w:name="_Hlk197375823"/>
      <w:bookmarkEnd w:id="1"/>
      <w:r w:rsidRPr="00B01850">
        <w:rPr>
          <w:rFonts w:ascii="Arial" w:eastAsia="Calibri" w:hAnsi="Arial" w:cs="Arial"/>
          <w:b/>
          <w:bCs/>
        </w:rPr>
        <w:t>RÉPUBLIQUE DE GUINÉE</w:t>
      </w:r>
    </w:p>
    <w:p w14:paraId="29DC153A" w14:textId="77777777" w:rsidR="007C2E1B" w:rsidRPr="00B01850" w:rsidRDefault="007C2E1B" w:rsidP="007C2E1B">
      <w:pPr>
        <w:autoSpaceDE w:val="0"/>
        <w:autoSpaceDN w:val="0"/>
        <w:adjustRightInd w:val="0"/>
        <w:jc w:val="center"/>
        <w:rPr>
          <w:rFonts w:ascii="Arial" w:eastAsia="Calibri" w:hAnsi="Arial" w:cs="Arial"/>
        </w:rPr>
      </w:pPr>
      <w:r w:rsidRPr="00B01850">
        <w:rPr>
          <w:rFonts w:ascii="Arial" w:eastAsia="Aptos" w:hAnsi="Arial" w:cs="Arial"/>
          <w:noProof/>
          <w:kern w:val="2"/>
          <w14:ligatures w14:val="standardContextual"/>
        </w:rPr>
        <w:drawing>
          <wp:anchor distT="0" distB="0" distL="114300" distR="114300" simplePos="0" relativeHeight="251658240" behindDoc="0" locked="0" layoutInCell="1" allowOverlap="1" wp14:anchorId="32FBE9DF" wp14:editId="2581EAE8">
            <wp:simplePos x="0" y="0"/>
            <wp:positionH relativeFrom="margin">
              <wp:posOffset>2619057</wp:posOffset>
            </wp:positionH>
            <wp:positionV relativeFrom="paragraph">
              <wp:posOffset>4445</wp:posOffset>
            </wp:positionV>
            <wp:extent cx="882358" cy="1150617"/>
            <wp:effectExtent l="0" t="0" r="0" b="0"/>
            <wp:wrapNone/>
            <wp:docPr id="1027286561" name="Picture 2" descr="A yellow and red emblem with a bird and a bra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86561" name="Picture 2" descr="A yellow and red emblem with a bird and a branch&#10;&#10;AI-generated content may be incorrec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82358" cy="115061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272949" w14:textId="77777777" w:rsidR="007C2E1B" w:rsidRPr="00B01850" w:rsidRDefault="007C2E1B" w:rsidP="007C2E1B">
      <w:pPr>
        <w:suppressAutoHyphens/>
        <w:spacing w:after="0" w:line="240" w:lineRule="auto"/>
        <w:jc w:val="center"/>
        <w:rPr>
          <w:rFonts w:ascii="Arial" w:eastAsia="Calibri" w:hAnsi="Arial" w:cs="Arial"/>
          <w:b/>
        </w:rPr>
      </w:pPr>
    </w:p>
    <w:p w14:paraId="2867BFD8" w14:textId="77777777" w:rsidR="007C2E1B" w:rsidRPr="00B01850" w:rsidRDefault="007C2E1B" w:rsidP="007C2E1B">
      <w:pPr>
        <w:suppressAutoHyphens/>
        <w:spacing w:after="0" w:line="240" w:lineRule="auto"/>
        <w:jc w:val="center"/>
        <w:rPr>
          <w:rFonts w:ascii="Arial" w:eastAsia="Calibri" w:hAnsi="Arial" w:cs="Arial"/>
          <w:b/>
        </w:rPr>
      </w:pPr>
    </w:p>
    <w:p w14:paraId="2F3791B8" w14:textId="77777777" w:rsidR="007C2E1B" w:rsidRPr="00B01850" w:rsidRDefault="007C2E1B" w:rsidP="007C2E1B">
      <w:pPr>
        <w:suppressAutoHyphens/>
        <w:spacing w:after="0" w:line="240" w:lineRule="auto"/>
        <w:jc w:val="center"/>
        <w:rPr>
          <w:rFonts w:ascii="Arial" w:eastAsia="Calibri" w:hAnsi="Arial" w:cs="Arial"/>
          <w:b/>
        </w:rPr>
      </w:pPr>
    </w:p>
    <w:p w14:paraId="01DE07EE" w14:textId="77777777" w:rsidR="007C2E1B" w:rsidRPr="00B01850" w:rsidRDefault="007C2E1B" w:rsidP="007C2E1B">
      <w:pPr>
        <w:suppressAutoHyphens/>
        <w:spacing w:after="0" w:line="240" w:lineRule="auto"/>
        <w:jc w:val="center"/>
        <w:rPr>
          <w:rFonts w:ascii="Arial" w:eastAsia="Calibri" w:hAnsi="Arial" w:cs="Arial"/>
          <w:b/>
        </w:rPr>
      </w:pPr>
    </w:p>
    <w:p w14:paraId="22CE59CC" w14:textId="77777777" w:rsidR="009B66E5" w:rsidRPr="00B01850" w:rsidRDefault="009B66E5" w:rsidP="007C2E1B">
      <w:pPr>
        <w:suppressAutoHyphens/>
        <w:spacing w:after="0" w:line="240" w:lineRule="auto"/>
        <w:jc w:val="center"/>
        <w:rPr>
          <w:rFonts w:ascii="Arial" w:eastAsia="Calibri" w:hAnsi="Arial" w:cs="Arial"/>
          <w:b/>
        </w:rPr>
      </w:pPr>
    </w:p>
    <w:p w14:paraId="7A0E6FEF" w14:textId="77777777" w:rsidR="009B66E5" w:rsidRPr="00B01850" w:rsidRDefault="009B66E5" w:rsidP="007C2E1B">
      <w:pPr>
        <w:suppressAutoHyphens/>
        <w:spacing w:after="0" w:line="240" w:lineRule="auto"/>
        <w:jc w:val="center"/>
        <w:rPr>
          <w:rFonts w:ascii="Arial" w:eastAsia="Calibri" w:hAnsi="Arial" w:cs="Arial"/>
          <w:b/>
        </w:rPr>
      </w:pPr>
    </w:p>
    <w:p w14:paraId="3DE2DEE6" w14:textId="6157A2D3" w:rsidR="007C2E1B" w:rsidRPr="00B01850" w:rsidRDefault="007C2E1B" w:rsidP="007C2E1B">
      <w:pPr>
        <w:suppressAutoHyphens/>
        <w:spacing w:after="0" w:line="240" w:lineRule="auto"/>
        <w:jc w:val="center"/>
        <w:rPr>
          <w:rFonts w:ascii="Arial" w:eastAsia="Calibri" w:hAnsi="Arial" w:cs="Arial"/>
          <w:b/>
        </w:rPr>
      </w:pPr>
      <w:r w:rsidRPr="00B01850">
        <w:rPr>
          <w:rFonts w:ascii="Arial" w:eastAsia="Calibri" w:hAnsi="Arial" w:cs="Arial"/>
          <w:b/>
        </w:rPr>
        <w:t>PRESIDENCE DE LA REPUBLIQUE</w:t>
      </w:r>
    </w:p>
    <w:p w14:paraId="438DE231" w14:textId="77777777" w:rsidR="007C2E1B" w:rsidRPr="00B01850" w:rsidRDefault="007C2E1B" w:rsidP="007C2E1B">
      <w:pPr>
        <w:suppressAutoHyphens/>
        <w:spacing w:after="0" w:line="240" w:lineRule="auto"/>
        <w:jc w:val="center"/>
        <w:rPr>
          <w:rFonts w:ascii="Arial" w:eastAsia="Calibri" w:hAnsi="Arial" w:cs="Arial"/>
          <w:b/>
        </w:rPr>
      </w:pPr>
    </w:p>
    <w:p w14:paraId="352B4AF7" w14:textId="77777777" w:rsidR="007C2E1B" w:rsidRPr="00B01850" w:rsidRDefault="007C2E1B" w:rsidP="007C2E1B">
      <w:pPr>
        <w:suppressAutoHyphens/>
        <w:spacing w:after="0" w:line="240" w:lineRule="auto"/>
        <w:jc w:val="center"/>
        <w:rPr>
          <w:rFonts w:ascii="Arial" w:eastAsia="Calibri" w:hAnsi="Arial" w:cs="Arial"/>
          <w:b/>
        </w:rPr>
      </w:pPr>
    </w:p>
    <w:p w14:paraId="58E7C56A" w14:textId="77777777" w:rsidR="007C2E1B" w:rsidRPr="00B01850" w:rsidRDefault="007C2E1B" w:rsidP="007C2E1B">
      <w:pPr>
        <w:overflowPunct w:val="0"/>
        <w:autoSpaceDE w:val="0"/>
        <w:autoSpaceDN w:val="0"/>
        <w:adjustRightInd w:val="0"/>
        <w:spacing w:after="0" w:line="240" w:lineRule="auto"/>
        <w:jc w:val="center"/>
        <w:textAlignment w:val="baseline"/>
        <w:rPr>
          <w:rFonts w:ascii="Arial" w:eastAsia="Times New Roman" w:hAnsi="Arial" w:cs="Arial"/>
          <w:b/>
          <w:bCs/>
          <w:iCs/>
        </w:rPr>
      </w:pPr>
      <w:bookmarkStart w:id="2" w:name="_Toc97352614"/>
    </w:p>
    <w:p w14:paraId="4E8D4B9F" w14:textId="77777777" w:rsidR="007C2E1B" w:rsidRPr="00B01850" w:rsidRDefault="007C2E1B" w:rsidP="007C2E1B">
      <w:pPr>
        <w:overflowPunct w:val="0"/>
        <w:autoSpaceDE w:val="0"/>
        <w:autoSpaceDN w:val="0"/>
        <w:adjustRightInd w:val="0"/>
        <w:spacing w:after="0" w:line="240" w:lineRule="auto"/>
        <w:jc w:val="center"/>
        <w:textAlignment w:val="baseline"/>
        <w:rPr>
          <w:rFonts w:ascii="Arial" w:eastAsia="Times New Roman" w:hAnsi="Arial" w:cs="Arial"/>
          <w:b/>
          <w:bCs/>
          <w:iCs/>
        </w:rPr>
      </w:pPr>
    </w:p>
    <w:bookmarkEnd w:id="2"/>
    <w:p w14:paraId="20E66CC3" w14:textId="77777777" w:rsidR="00846404" w:rsidRPr="00B01850" w:rsidRDefault="00846404" w:rsidP="007C2E1B">
      <w:pPr>
        <w:spacing w:after="0" w:line="240" w:lineRule="auto"/>
        <w:jc w:val="center"/>
        <w:rPr>
          <w:rFonts w:ascii="Arial" w:eastAsia="Calibri" w:hAnsi="Arial" w:cs="Arial"/>
          <w:b/>
          <w:bCs/>
          <w:color w:val="424242"/>
          <w:shd w:val="clear" w:color="auto" w:fill="FAFAFA"/>
        </w:rPr>
      </w:pPr>
    </w:p>
    <w:p w14:paraId="1D9B03FB" w14:textId="171878FE" w:rsidR="007C2E1B" w:rsidRPr="00B01850" w:rsidRDefault="007C2E1B" w:rsidP="00846404">
      <w:pPr>
        <w:spacing w:after="0" w:line="360" w:lineRule="auto"/>
        <w:jc w:val="center"/>
        <w:rPr>
          <w:rFonts w:ascii="Arial" w:eastAsia="Calibri" w:hAnsi="Arial" w:cs="Arial"/>
          <w:b/>
          <w:bCs/>
        </w:rPr>
      </w:pPr>
      <w:bookmarkStart w:id="3" w:name="_Hlk196466826"/>
      <w:r w:rsidRPr="00B01850">
        <w:rPr>
          <w:rFonts w:ascii="Arial" w:eastAsia="Calibri" w:hAnsi="Arial" w:cs="Arial"/>
          <w:b/>
          <w:bCs/>
          <w:color w:val="424242"/>
          <w:shd w:val="clear" w:color="auto" w:fill="FAFAFA"/>
        </w:rPr>
        <w:t>PROJET DE RÉPONSE D'URGENCE CONTINGENTE</w:t>
      </w:r>
      <w:r w:rsidRPr="00B01850">
        <w:rPr>
          <w:rFonts w:ascii="Arial" w:eastAsia="Calibri" w:hAnsi="Arial" w:cs="Arial"/>
          <w:b/>
          <w:bCs/>
        </w:rPr>
        <w:t xml:space="preserve"> (CERP)</w:t>
      </w:r>
      <w:bookmarkEnd w:id="3"/>
    </w:p>
    <w:p w14:paraId="5EF47944" w14:textId="77777777" w:rsidR="007C2E1B" w:rsidRPr="00B01850" w:rsidRDefault="007C2E1B" w:rsidP="00846404">
      <w:pPr>
        <w:spacing w:after="0" w:line="360" w:lineRule="auto"/>
        <w:jc w:val="center"/>
        <w:rPr>
          <w:rFonts w:ascii="Arial" w:eastAsia="Calibri" w:hAnsi="Arial" w:cs="Arial"/>
          <w:b/>
          <w:bCs/>
          <w:color w:val="424242"/>
          <w:shd w:val="clear" w:color="auto" w:fill="FAFAFA"/>
        </w:rPr>
      </w:pPr>
      <w:r w:rsidRPr="00B01850">
        <w:rPr>
          <w:rFonts w:ascii="Arial" w:eastAsia="Calibri" w:hAnsi="Arial" w:cs="Arial"/>
          <w:b/>
          <w:color w:val="FF0000"/>
          <w:shd w:val="clear" w:color="auto" w:fill="FAFAFA"/>
        </w:rPr>
        <w:t>(PN°509503)</w:t>
      </w:r>
    </w:p>
    <w:p w14:paraId="54BE569F" w14:textId="63DD11AC" w:rsidR="007C2E1B" w:rsidRPr="00B01850" w:rsidRDefault="007C2E1B">
      <w:pPr>
        <w:rPr>
          <w:rFonts w:ascii="Arial" w:hAnsi="Arial" w:cs="Arial"/>
          <w:b/>
          <w:smallCaps/>
        </w:rPr>
      </w:pPr>
    </w:p>
    <w:p w14:paraId="759AAE2A" w14:textId="77777777" w:rsidR="00BB141B" w:rsidRPr="00B01850" w:rsidRDefault="00BB141B">
      <w:pPr>
        <w:rPr>
          <w:rFonts w:ascii="Arial" w:hAnsi="Arial" w:cs="Arial"/>
          <w:b/>
          <w:smallCaps/>
        </w:rPr>
      </w:pPr>
    </w:p>
    <w:p w14:paraId="18F55707" w14:textId="77777777" w:rsidR="00846404" w:rsidRPr="00B01850" w:rsidRDefault="00846404">
      <w:pPr>
        <w:rPr>
          <w:rFonts w:ascii="Arial" w:hAnsi="Arial" w:cs="Arial"/>
          <w:b/>
          <w:smallCaps/>
        </w:rPr>
      </w:pPr>
    </w:p>
    <w:tbl>
      <w:tblPr>
        <w:tblW w:w="5104"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9524"/>
      </w:tblGrid>
      <w:tr w:rsidR="00BB141B" w:rsidRPr="00B01850" w14:paraId="7C40F729" w14:textId="77777777" w:rsidTr="00BB141B">
        <w:trPr>
          <w:trHeight w:val="654"/>
        </w:trPr>
        <w:tc>
          <w:tcPr>
            <w:tcW w:w="5000" w:type="pct"/>
            <w:vAlign w:val="center"/>
          </w:tcPr>
          <w:p w14:paraId="3B746B30" w14:textId="37034842" w:rsidR="00BB141B" w:rsidRPr="00B01850" w:rsidRDefault="008B23D9" w:rsidP="008E45FE">
            <w:pPr>
              <w:autoSpaceDE w:val="0"/>
              <w:autoSpaceDN w:val="0"/>
              <w:adjustRightInd w:val="0"/>
              <w:spacing w:after="0" w:line="240" w:lineRule="auto"/>
              <w:jc w:val="center"/>
              <w:rPr>
                <w:rFonts w:ascii="Aharoni" w:hAnsi="Aharoni" w:cs="Aharoni"/>
                <w:b/>
                <w:bCs/>
                <w:color w:val="4F81BD" w:themeColor="accent1"/>
                <w:sz w:val="32"/>
                <w:szCs w:val="32"/>
              </w:rPr>
            </w:pPr>
            <w:r w:rsidRPr="00B01850">
              <w:rPr>
                <w:rFonts w:ascii="Aharoni" w:hAnsi="Aharoni" w:cs="Aharoni"/>
                <w:b/>
                <w:bCs/>
                <w:color w:val="4F81BD" w:themeColor="accent1"/>
                <w:sz w:val="32"/>
                <w:szCs w:val="32"/>
              </w:rPr>
              <w:t xml:space="preserve">PLAN </w:t>
            </w:r>
            <w:r w:rsidR="00BB141B" w:rsidRPr="00B01850">
              <w:rPr>
                <w:rFonts w:ascii="Aharoni" w:hAnsi="Aharoni" w:cs="Aharoni" w:hint="cs"/>
                <w:b/>
                <w:bCs/>
                <w:color w:val="4F81BD" w:themeColor="accent1"/>
                <w:sz w:val="32"/>
                <w:szCs w:val="32"/>
              </w:rPr>
              <w:t>DE GESTION ENVIRONNEMENTALE ET SOCIALE (</w:t>
            </w:r>
            <w:r w:rsidRPr="00B01850">
              <w:rPr>
                <w:rFonts w:ascii="Aharoni" w:hAnsi="Aharoni" w:cs="Aharoni"/>
                <w:b/>
                <w:bCs/>
                <w:color w:val="4F81BD" w:themeColor="accent1"/>
                <w:sz w:val="32"/>
                <w:szCs w:val="32"/>
              </w:rPr>
              <w:t>P</w:t>
            </w:r>
            <w:r w:rsidR="00BB141B" w:rsidRPr="00B01850">
              <w:rPr>
                <w:rFonts w:ascii="Aharoni" w:hAnsi="Aharoni" w:cs="Aharoni" w:hint="cs"/>
                <w:b/>
                <w:bCs/>
                <w:color w:val="4F81BD" w:themeColor="accent1"/>
                <w:sz w:val="32"/>
                <w:szCs w:val="32"/>
              </w:rPr>
              <w:t>GES)</w:t>
            </w:r>
          </w:p>
        </w:tc>
      </w:tr>
    </w:tbl>
    <w:p w14:paraId="27A46F34" w14:textId="77777777" w:rsidR="00BB141B" w:rsidRPr="00B01850" w:rsidRDefault="00BB141B">
      <w:pPr>
        <w:rPr>
          <w:rFonts w:ascii="Arial" w:hAnsi="Arial" w:cs="Arial"/>
          <w:b/>
          <w:smallCaps/>
        </w:rPr>
      </w:pPr>
    </w:p>
    <w:p w14:paraId="18D74573" w14:textId="77777777" w:rsidR="00D12414" w:rsidRPr="00B01850" w:rsidRDefault="00D12414" w:rsidP="00E342F3">
      <w:pPr>
        <w:spacing w:after="0"/>
        <w:jc w:val="center"/>
        <w:rPr>
          <w:rFonts w:ascii="Arial" w:hAnsi="Arial" w:cs="Arial"/>
          <w:b/>
          <w:bCs/>
        </w:rPr>
      </w:pPr>
      <w:bookmarkStart w:id="4" w:name="_Toc369170870"/>
      <w:bookmarkEnd w:id="0"/>
    </w:p>
    <w:p w14:paraId="4FCB5645" w14:textId="77777777" w:rsidR="00D12414" w:rsidRPr="00B01850" w:rsidRDefault="00D12414" w:rsidP="00E342F3">
      <w:pPr>
        <w:spacing w:after="0"/>
        <w:jc w:val="center"/>
        <w:rPr>
          <w:rFonts w:ascii="Arial" w:hAnsi="Arial" w:cs="Arial"/>
          <w:b/>
          <w:bCs/>
        </w:rPr>
      </w:pPr>
    </w:p>
    <w:p w14:paraId="51AA19EB" w14:textId="77777777" w:rsidR="00D12414" w:rsidRPr="00B01850" w:rsidRDefault="00D12414" w:rsidP="00E342F3">
      <w:pPr>
        <w:spacing w:after="0"/>
        <w:jc w:val="center"/>
        <w:rPr>
          <w:rFonts w:ascii="Arial" w:hAnsi="Arial" w:cs="Arial"/>
          <w:b/>
          <w:bCs/>
        </w:rPr>
      </w:pPr>
    </w:p>
    <w:p w14:paraId="7B77D03B" w14:textId="77777777" w:rsidR="00D12414" w:rsidRPr="00B01850" w:rsidRDefault="00D12414" w:rsidP="00E342F3">
      <w:pPr>
        <w:spacing w:after="0"/>
        <w:jc w:val="center"/>
        <w:rPr>
          <w:rFonts w:ascii="Arial" w:hAnsi="Arial" w:cs="Arial"/>
          <w:b/>
          <w:bCs/>
        </w:rPr>
      </w:pPr>
    </w:p>
    <w:p w14:paraId="4305C7F7" w14:textId="77777777" w:rsidR="00D12414" w:rsidRPr="00B01850" w:rsidRDefault="00D12414" w:rsidP="00E342F3">
      <w:pPr>
        <w:spacing w:after="0"/>
        <w:jc w:val="center"/>
        <w:rPr>
          <w:rFonts w:ascii="Arial" w:hAnsi="Arial" w:cs="Arial"/>
          <w:b/>
          <w:bCs/>
        </w:rPr>
      </w:pPr>
    </w:p>
    <w:p w14:paraId="400954A2" w14:textId="77777777" w:rsidR="00D12414" w:rsidRPr="00B01850" w:rsidRDefault="00D12414" w:rsidP="00E342F3">
      <w:pPr>
        <w:spacing w:after="0"/>
        <w:jc w:val="center"/>
        <w:rPr>
          <w:rFonts w:ascii="Arial" w:hAnsi="Arial" w:cs="Arial"/>
          <w:b/>
          <w:bCs/>
        </w:rPr>
      </w:pPr>
    </w:p>
    <w:p w14:paraId="5061CFFB" w14:textId="77777777" w:rsidR="00D12414" w:rsidRPr="00B01850" w:rsidRDefault="00D12414" w:rsidP="00E342F3">
      <w:pPr>
        <w:spacing w:after="0"/>
        <w:jc w:val="center"/>
        <w:rPr>
          <w:rFonts w:ascii="Arial" w:hAnsi="Arial" w:cs="Arial"/>
          <w:b/>
          <w:bCs/>
        </w:rPr>
      </w:pPr>
    </w:p>
    <w:p w14:paraId="3F8004C6" w14:textId="77777777" w:rsidR="00D12414" w:rsidRPr="00B01850" w:rsidRDefault="00D12414" w:rsidP="00E342F3">
      <w:pPr>
        <w:spacing w:after="0"/>
        <w:jc w:val="center"/>
        <w:rPr>
          <w:rFonts w:ascii="Arial" w:hAnsi="Arial" w:cs="Arial"/>
          <w:b/>
          <w:bCs/>
        </w:rPr>
      </w:pPr>
    </w:p>
    <w:p w14:paraId="20D24EC5" w14:textId="77777777" w:rsidR="00D12414" w:rsidRPr="00B01850" w:rsidRDefault="00D12414" w:rsidP="00E342F3">
      <w:pPr>
        <w:spacing w:after="0"/>
        <w:jc w:val="center"/>
        <w:rPr>
          <w:rFonts w:ascii="Arial" w:hAnsi="Arial" w:cs="Arial"/>
          <w:b/>
          <w:bCs/>
        </w:rPr>
      </w:pPr>
    </w:p>
    <w:p w14:paraId="7C6A5E4E" w14:textId="77777777" w:rsidR="00D12414" w:rsidRPr="00B01850" w:rsidRDefault="00D12414" w:rsidP="00E342F3">
      <w:pPr>
        <w:spacing w:after="0"/>
        <w:jc w:val="center"/>
        <w:rPr>
          <w:rFonts w:ascii="Arial" w:hAnsi="Arial" w:cs="Arial"/>
          <w:b/>
          <w:bCs/>
        </w:rPr>
      </w:pPr>
    </w:p>
    <w:p w14:paraId="76F5145C" w14:textId="77777777" w:rsidR="00D12414" w:rsidRPr="00B01850" w:rsidRDefault="00D12414" w:rsidP="00E342F3">
      <w:pPr>
        <w:spacing w:after="0"/>
        <w:jc w:val="center"/>
        <w:rPr>
          <w:rFonts w:ascii="Arial" w:hAnsi="Arial" w:cs="Arial"/>
          <w:b/>
          <w:bCs/>
        </w:rPr>
      </w:pPr>
    </w:p>
    <w:p w14:paraId="7B7BD5DF" w14:textId="77777777" w:rsidR="00D12414" w:rsidRPr="00B01850" w:rsidRDefault="00D12414" w:rsidP="00D12414">
      <w:pPr>
        <w:jc w:val="center"/>
        <w:rPr>
          <w:rFonts w:ascii="Arial" w:hAnsi="Arial" w:cs="Arial"/>
          <w:b/>
          <w:bCs/>
        </w:rPr>
      </w:pPr>
    </w:p>
    <w:p w14:paraId="286F2140" w14:textId="77777777" w:rsidR="00D12414" w:rsidRPr="00B01850" w:rsidRDefault="00D12414" w:rsidP="00D12414">
      <w:pPr>
        <w:jc w:val="center"/>
        <w:rPr>
          <w:rFonts w:ascii="Arial" w:hAnsi="Arial" w:cs="Arial"/>
          <w:b/>
          <w:bCs/>
        </w:rPr>
      </w:pPr>
    </w:p>
    <w:p w14:paraId="3030DED0" w14:textId="77777777" w:rsidR="00D12414" w:rsidRPr="00B01850" w:rsidRDefault="00D12414" w:rsidP="00D12414">
      <w:pPr>
        <w:jc w:val="center"/>
        <w:rPr>
          <w:rFonts w:ascii="Arial" w:hAnsi="Arial" w:cs="Arial"/>
          <w:b/>
          <w:bCs/>
        </w:rPr>
      </w:pPr>
    </w:p>
    <w:p w14:paraId="1C2F9EBE" w14:textId="4A5B6B51" w:rsidR="00E342F3" w:rsidRPr="00B01850" w:rsidRDefault="00E342F3" w:rsidP="00D12414">
      <w:pPr>
        <w:jc w:val="center"/>
        <w:rPr>
          <w:rFonts w:ascii="Arial" w:hAnsi="Arial" w:cs="Arial"/>
          <w:b/>
          <w:bCs/>
        </w:rPr>
      </w:pPr>
      <w:r w:rsidRPr="00B01850">
        <w:rPr>
          <w:rFonts w:ascii="Arial" w:hAnsi="Arial" w:cs="Arial"/>
          <w:b/>
          <w:bCs/>
        </w:rPr>
        <w:t>AVRIL 2025</w:t>
      </w:r>
      <w:r w:rsidRPr="00B01850">
        <w:rPr>
          <w:rFonts w:ascii="Arial" w:hAnsi="Arial" w:cs="Arial"/>
          <w:b/>
          <w:bCs/>
        </w:rPr>
        <w:br w:type="page"/>
      </w:r>
    </w:p>
    <w:bookmarkEnd w:id="4" w:displacedByCustomXml="next"/>
    <w:bookmarkStart w:id="5" w:name="_Toc991412084" w:displacedByCustomXml="next"/>
    <w:sdt>
      <w:sdtPr>
        <w:rPr>
          <w:rFonts w:ascii="Arial" w:eastAsiaTheme="minorEastAsia" w:hAnsi="Arial" w:cs="Arial"/>
          <w:color w:val="auto"/>
          <w:sz w:val="22"/>
          <w:szCs w:val="22"/>
        </w:rPr>
        <w:id w:val="808065597"/>
        <w:docPartObj>
          <w:docPartGallery w:val="Table of Contents"/>
          <w:docPartUnique/>
        </w:docPartObj>
      </w:sdtPr>
      <w:sdtEndPr/>
      <w:sdtContent>
        <w:p w14:paraId="284C0C73" w14:textId="497D7D50" w:rsidR="000674EF" w:rsidRPr="007D0282" w:rsidRDefault="000674EF" w:rsidP="000674EF">
          <w:pPr>
            <w:pStyle w:val="TOCHeading"/>
            <w:jc w:val="center"/>
            <w:rPr>
              <w:rFonts w:ascii="Aharoni" w:hAnsi="Aharoni" w:cs="Aharoni" w:hint="cs"/>
              <w:color w:val="1F497D" w:themeColor="text2"/>
            </w:rPr>
          </w:pPr>
          <w:r w:rsidRPr="007D0282">
            <w:rPr>
              <w:rFonts w:ascii="Aharoni" w:hAnsi="Aharoni" w:cs="Aharoni" w:hint="cs"/>
              <w:color w:val="1F497D" w:themeColor="text2"/>
            </w:rPr>
            <w:t>Tableau des matières</w:t>
          </w:r>
        </w:p>
        <w:p w14:paraId="75246156" w14:textId="3B6DFCF8" w:rsidR="00E152C6" w:rsidRPr="00E152C6" w:rsidRDefault="000674EF">
          <w:pPr>
            <w:pStyle w:val="TOC1"/>
            <w:rPr>
              <w:rFonts w:ascii="Arial" w:eastAsiaTheme="minorEastAsia" w:hAnsi="Arial" w:cs="Arial"/>
              <w:b w:val="0"/>
              <w:bCs w:val="0"/>
              <w:noProof/>
              <w:color w:val="auto"/>
              <w:kern w:val="2"/>
              <w:sz w:val="22"/>
              <w:szCs w:val="22"/>
              <w:lang w:val="en-US"/>
              <w14:ligatures w14:val="standardContextual"/>
            </w:rPr>
          </w:pPr>
          <w:r w:rsidRPr="00E152C6">
            <w:rPr>
              <w:rFonts w:ascii="Arial" w:hAnsi="Arial" w:cs="Arial"/>
              <w:b w:val="0"/>
              <w:bCs w:val="0"/>
              <w:sz w:val="22"/>
              <w:szCs w:val="22"/>
            </w:rPr>
            <w:fldChar w:fldCharType="begin"/>
          </w:r>
          <w:r w:rsidRPr="00E152C6">
            <w:rPr>
              <w:rFonts w:ascii="Arial" w:hAnsi="Arial" w:cs="Arial"/>
              <w:b w:val="0"/>
              <w:bCs w:val="0"/>
              <w:sz w:val="22"/>
              <w:szCs w:val="22"/>
            </w:rPr>
            <w:instrText xml:space="preserve"> TOC \o "1-3" \h \z \u </w:instrText>
          </w:r>
          <w:r w:rsidRPr="00E152C6">
            <w:rPr>
              <w:rFonts w:ascii="Arial" w:hAnsi="Arial" w:cs="Arial"/>
              <w:b w:val="0"/>
              <w:bCs w:val="0"/>
              <w:sz w:val="22"/>
              <w:szCs w:val="22"/>
            </w:rPr>
            <w:fldChar w:fldCharType="separate"/>
          </w:r>
          <w:hyperlink w:anchor="_Toc197382141" w:history="1">
            <w:r w:rsidR="00E152C6" w:rsidRPr="00E152C6">
              <w:rPr>
                <w:rStyle w:val="Hyperlink"/>
                <w:rFonts w:ascii="Arial" w:hAnsi="Arial" w:cs="Arial"/>
                <w:b w:val="0"/>
                <w:bCs w:val="0"/>
                <w:noProof/>
                <w:sz w:val="22"/>
                <w:szCs w:val="22"/>
              </w:rPr>
              <w:t>INTRODUCTION</w:t>
            </w:r>
            <w:r w:rsidR="00E152C6" w:rsidRPr="00E152C6">
              <w:rPr>
                <w:rFonts w:ascii="Arial" w:hAnsi="Arial" w:cs="Arial"/>
                <w:b w:val="0"/>
                <w:bCs w:val="0"/>
                <w:noProof/>
                <w:webHidden/>
                <w:sz w:val="22"/>
                <w:szCs w:val="22"/>
              </w:rPr>
              <w:tab/>
            </w:r>
            <w:r w:rsidR="00E152C6" w:rsidRPr="00E152C6">
              <w:rPr>
                <w:rFonts w:ascii="Arial" w:hAnsi="Arial" w:cs="Arial"/>
                <w:b w:val="0"/>
                <w:bCs w:val="0"/>
                <w:noProof/>
                <w:webHidden/>
                <w:sz w:val="22"/>
                <w:szCs w:val="22"/>
              </w:rPr>
              <w:fldChar w:fldCharType="begin"/>
            </w:r>
            <w:r w:rsidR="00E152C6" w:rsidRPr="00E152C6">
              <w:rPr>
                <w:rFonts w:ascii="Arial" w:hAnsi="Arial" w:cs="Arial"/>
                <w:b w:val="0"/>
                <w:bCs w:val="0"/>
                <w:noProof/>
                <w:webHidden/>
                <w:sz w:val="22"/>
                <w:szCs w:val="22"/>
              </w:rPr>
              <w:instrText xml:space="preserve"> PAGEREF _Toc197382141 \h </w:instrText>
            </w:r>
            <w:r w:rsidR="00E152C6" w:rsidRPr="00E152C6">
              <w:rPr>
                <w:rFonts w:ascii="Arial" w:hAnsi="Arial" w:cs="Arial"/>
                <w:b w:val="0"/>
                <w:bCs w:val="0"/>
                <w:noProof/>
                <w:webHidden/>
                <w:sz w:val="22"/>
                <w:szCs w:val="22"/>
              </w:rPr>
            </w:r>
            <w:r w:rsidR="00E152C6" w:rsidRPr="00E152C6">
              <w:rPr>
                <w:rFonts w:ascii="Arial" w:hAnsi="Arial" w:cs="Arial"/>
                <w:b w:val="0"/>
                <w:bCs w:val="0"/>
                <w:noProof/>
                <w:webHidden/>
                <w:sz w:val="22"/>
                <w:szCs w:val="22"/>
              </w:rPr>
              <w:fldChar w:fldCharType="separate"/>
            </w:r>
            <w:r w:rsidR="00E152C6" w:rsidRPr="00E152C6">
              <w:rPr>
                <w:rFonts w:ascii="Arial" w:hAnsi="Arial" w:cs="Arial"/>
                <w:b w:val="0"/>
                <w:bCs w:val="0"/>
                <w:noProof/>
                <w:webHidden/>
                <w:sz w:val="22"/>
                <w:szCs w:val="22"/>
              </w:rPr>
              <w:t>4</w:t>
            </w:r>
            <w:r w:rsidR="00E152C6" w:rsidRPr="00E152C6">
              <w:rPr>
                <w:rFonts w:ascii="Arial" w:hAnsi="Arial" w:cs="Arial"/>
                <w:b w:val="0"/>
                <w:bCs w:val="0"/>
                <w:noProof/>
                <w:webHidden/>
                <w:sz w:val="22"/>
                <w:szCs w:val="22"/>
              </w:rPr>
              <w:fldChar w:fldCharType="end"/>
            </w:r>
          </w:hyperlink>
        </w:p>
        <w:p w14:paraId="0FB714AF" w14:textId="6841165F"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42" w:history="1">
            <w:r w:rsidRPr="00E152C6">
              <w:rPr>
                <w:rStyle w:val="Hyperlink"/>
                <w:rFonts w:ascii="Arial" w:hAnsi="Arial" w:cs="Arial"/>
                <w:b w:val="0"/>
                <w:bCs w:val="0"/>
                <w:noProof/>
                <w:sz w:val="22"/>
                <w:szCs w:val="22"/>
              </w:rPr>
              <w:t>SECTION 1 : CONTEXTE</w:t>
            </w:r>
            <w:r w:rsidRPr="00E152C6">
              <w:rPr>
                <w:rStyle w:val="Hyperlink"/>
                <w:rFonts w:ascii="Arial" w:hAnsi="Arial" w:cs="Arial"/>
                <w:b w:val="0"/>
                <w:bCs w:val="0"/>
                <w:noProof/>
                <w:sz w:val="22"/>
                <w:szCs w:val="22"/>
                <w:shd w:val="clear" w:color="auto" w:fill="FAFAFA"/>
              </w:rPr>
              <w:t xml:space="preserve"> DU </w:t>
            </w:r>
            <w:r w:rsidRPr="00E152C6">
              <w:rPr>
                <w:rStyle w:val="Hyperlink"/>
                <w:rFonts w:ascii="Arial" w:hAnsi="Arial" w:cs="Arial"/>
                <w:b w:val="0"/>
                <w:bCs w:val="0"/>
                <w:noProof/>
                <w:sz w:val="22"/>
                <w:szCs w:val="22"/>
              </w:rPr>
              <w:t>PROJET DE RÉPONSE D'URGENCE CONTINGENTE (CERP)</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_Toc197382142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5</w:t>
            </w:r>
            <w:r w:rsidRPr="00E152C6">
              <w:rPr>
                <w:rFonts w:ascii="Arial" w:hAnsi="Arial" w:cs="Arial"/>
                <w:b w:val="0"/>
                <w:bCs w:val="0"/>
                <w:noProof/>
                <w:webHidden/>
                <w:sz w:val="22"/>
                <w:szCs w:val="22"/>
              </w:rPr>
              <w:fldChar w:fldCharType="end"/>
            </w:r>
          </w:hyperlink>
        </w:p>
        <w:p w14:paraId="7DA13B89" w14:textId="026F5FD0"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43" w:history="1">
            <w:r w:rsidRPr="00E152C6">
              <w:rPr>
                <w:rStyle w:val="Hyperlink"/>
                <w:rFonts w:ascii="Arial" w:hAnsi="Arial" w:cs="Arial"/>
                <w:b w:val="0"/>
                <w:bCs w:val="0"/>
                <w:noProof/>
                <w:sz w:val="22"/>
                <w:szCs w:val="22"/>
              </w:rPr>
              <w:t>SECTION 2 : BREVE DESCRIPTION DE LA SITUATION ENVIRONNEMENTALE ET SOCIALE DE LA GUINÉE</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_Toc197382143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26</w:t>
            </w:r>
            <w:r w:rsidRPr="00E152C6">
              <w:rPr>
                <w:rFonts w:ascii="Arial" w:hAnsi="Arial" w:cs="Arial"/>
                <w:b w:val="0"/>
                <w:bCs w:val="0"/>
                <w:noProof/>
                <w:webHidden/>
                <w:sz w:val="22"/>
                <w:szCs w:val="22"/>
              </w:rPr>
              <w:fldChar w:fldCharType="end"/>
            </w:r>
          </w:hyperlink>
        </w:p>
        <w:p w14:paraId="2D75FF4A" w14:textId="362AF9EC" w:rsidR="00E152C6" w:rsidRPr="00E152C6" w:rsidRDefault="00E152C6">
          <w:pPr>
            <w:pStyle w:val="TOC3"/>
            <w:tabs>
              <w:tab w:val="left" w:pos="880"/>
              <w:tab w:val="right" w:leader="dot" w:pos="9350"/>
            </w:tabs>
            <w:rPr>
              <w:rFonts w:ascii="Arial" w:eastAsiaTheme="minorEastAsia" w:hAnsi="Arial" w:cs="Arial"/>
              <w:noProof/>
              <w:color w:val="auto"/>
              <w:kern w:val="2"/>
              <w:lang w:val="en-US"/>
              <w14:ligatures w14:val="standardContextual"/>
            </w:rPr>
          </w:pPr>
          <w:hyperlink w:anchor="_Toc197382144" w:history="1">
            <w:r w:rsidRPr="00E152C6">
              <w:rPr>
                <w:rStyle w:val="Hyperlink"/>
                <w:rFonts w:ascii="Arial" w:hAnsi="Arial" w:cs="Arial"/>
                <w:noProof/>
              </w:rPr>
              <w:t></w:t>
            </w:r>
            <w:r w:rsidRPr="00E152C6">
              <w:rPr>
                <w:rFonts w:ascii="Arial" w:eastAsiaTheme="minorEastAsia" w:hAnsi="Arial" w:cs="Arial"/>
                <w:noProof/>
                <w:color w:val="auto"/>
                <w:kern w:val="2"/>
                <w:lang w:val="en-US"/>
                <w14:ligatures w14:val="standardContextual"/>
              </w:rPr>
              <w:tab/>
            </w:r>
            <w:r w:rsidRPr="00E152C6">
              <w:rPr>
                <w:rStyle w:val="Hyperlink"/>
                <w:rFonts w:ascii="Arial" w:hAnsi="Arial" w:cs="Arial"/>
                <w:noProof/>
              </w:rPr>
              <w:t>Contexte général et local</w:t>
            </w:r>
            <w:r w:rsidRPr="00E152C6">
              <w:rPr>
                <w:rFonts w:ascii="Arial" w:hAnsi="Arial" w:cs="Arial"/>
                <w:noProof/>
                <w:webHidden/>
              </w:rPr>
              <w:tab/>
            </w:r>
            <w:r w:rsidRPr="00E152C6">
              <w:rPr>
                <w:rFonts w:ascii="Arial" w:hAnsi="Arial" w:cs="Arial"/>
                <w:noProof/>
                <w:webHidden/>
              </w:rPr>
              <w:fldChar w:fldCharType="begin"/>
            </w:r>
            <w:r w:rsidRPr="00E152C6">
              <w:rPr>
                <w:rFonts w:ascii="Arial" w:hAnsi="Arial" w:cs="Arial"/>
                <w:noProof/>
                <w:webHidden/>
              </w:rPr>
              <w:instrText xml:space="preserve"> PAGEREF _Toc197382144 \h </w:instrText>
            </w:r>
            <w:r w:rsidRPr="00E152C6">
              <w:rPr>
                <w:rFonts w:ascii="Arial" w:hAnsi="Arial" w:cs="Arial"/>
                <w:noProof/>
                <w:webHidden/>
              </w:rPr>
            </w:r>
            <w:r w:rsidRPr="00E152C6">
              <w:rPr>
                <w:rFonts w:ascii="Arial" w:hAnsi="Arial" w:cs="Arial"/>
                <w:noProof/>
                <w:webHidden/>
              </w:rPr>
              <w:fldChar w:fldCharType="separate"/>
            </w:r>
            <w:r w:rsidRPr="00E152C6">
              <w:rPr>
                <w:rFonts w:ascii="Arial" w:hAnsi="Arial" w:cs="Arial"/>
                <w:noProof/>
                <w:webHidden/>
              </w:rPr>
              <w:t>26</w:t>
            </w:r>
            <w:r w:rsidRPr="00E152C6">
              <w:rPr>
                <w:rFonts w:ascii="Arial" w:hAnsi="Arial" w:cs="Arial"/>
                <w:noProof/>
                <w:webHidden/>
              </w:rPr>
              <w:fldChar w:fldCharType="end"/>
            </w:r>
          </w:hyperlink>
        </w:p>
        <w:p w14:paraId="22CF91ED" w14:textId="27B21CB0" w:rsidR="00E152C6" w:rsidRPr="00E152C6" w:rsidRDefault="00E152C6">
          <w:pPr>
            <w:pStyle w:val="TOC3"/>
            <w:tabs>
              <w:tab w:val="left" w:pos="880"/>
              <w:tab w:val="right" w:leader="dot" w:pos="9350"/>
            </w:tabs>
            <w:rPr>
              <w:rFonts w:ascii="Arial" w:eastAsiaTheme="minorEastAsia" w:hAnsi="Arial" w:cs="Arial"/>
              <w:noProof/>
              <w:color w:val="auto"/>
              <w:kern w:val="2"/>
              <w:lang w:val="en-US"/>
              <w14:ligatures w14:val="standardContextual"/>
            </w:rPr>
          </w:pPr>
          <w:hyperlink w:anchor="_Toc197382145" w:history="1">
            <w:r w:rsidRPr="00E152C6">
              <w:rPr>
                <w:rStyle w:val="Hyperlink"/>
                <w:rFonts w:ascii="Arial" w:hAnsi="Arial" w:cs="Arial"/>
                <w:noProof/>
              </w:rPr>
              <w:t></w:t>
            </w:r>
            <w:r w:rsidRPr="00E152C6">
              <w:rPr>
                <w:rFonts w:ascii="Arial" w:eastAsiaTheme="minorEastAsia" w:hAnsi="Arial" w:cs="Arial"/>
                <w:noProof/>
                <w:color w:val="auto"/>
                <w:kern w:val="2"/>
                <w:lang w:val="en-US"/>
                <w14:ligatures w14:val="standardContextual"/>
              </w:rPr>
              <w:tab/>
            </w:r>
            <w:r w:rsidRPr="00E152C6">
              <w:rPr>
                <w:rStyle w:val="Hyperlink"/>
                <w:rFonts w:ascii="Arial" w:hAnsi="Arial" w:cs="Arial"/>
                <w:noProof/>
              </w:rPr>
              <w:t>Description du milieu biophysique</w:t>
            </w:r>
            <w:r w:rsidRPr="00E152C6">
              <w:rPr>
                <w:rFonts w:ascii="Arial" w:hAnsi="Arial" w:cs="Arial"/>
                <w:noProof/>
                <w:webHidden/>
              </w:rPr>
              <w:tab/>
            </w:r>
            <w:r w:rsidRPr="00E152C6">
              <w:rPr>
                <w:rFonts w:ascii="Arial" w:hAnsi="Arial" w:cs="Arial"/>
                <w:noProof/>
                <w:webHidden/>
              </w:rPr>
              <w:fldChar w:fldCharType="begin"/>
            </w:r>
            <w:r w:rsidRPr="00E152C6">
              <w:rPr>
                <w:rFonts w:ascii="Arial" w:hAnsi="Arial" w:cs="Arial"/>
                <w:noProof/>
                <w:webHidden/>
              </w:rPr>
              <w:instrText xml:space="preserve"> PAGEREF _Toc197382145 \h </w:instrText>
            </w:r>
            <w:r w:rsidRPr="00E152C6">
              <w:rPr>
                <w:rFonts w:ascii="Arial" w:hAnsi="Arial" w:cs="Arial"/>
                <w:noProof/>
                <w:webHidden/>
              </w:rPr>
            </w:r>
            <w:r w:rsidRPr="00E152C6">
              <w:rPr>
                <w:rFonts w:ascii="Arial" w:hAnsi="Arial" w:cs="Arial"/>
                <w:noProof/>
                <w:webHidden/>
              </w:rPr>
              <w:fldChar w:fldCharType="separate"/>
            </w:r>
            <w:r w:rsidRPr="00E152C6">
              <w:rPr>
                <w:rFonts w:ascii="Arial" w:hAnsi="Arial" w:cs="Arial"/>
                <w:noProof/>
                <w:webHidden/>
              </w:rPr>
              <w:t>27</w:t>
            </w:r>
            <w:r w:rsidRPr="00E152C6">
              <w:rPr>
                <w:rFonts w:ascii="Arial" w:hAnsi="Arial" w:cs="Arial"/>
                <w:noProof/>
                <w:webHidden/>
              </w:rPr>
              <w:fldChar w:fldCharType="end"/>
            </w:r>
          </w:hyperlink>
        </w:p>
        <w:p w14:paraId="101DF4FC" w14:textId="639E4B2A" w:rsidR="00E152C6" w:rsidRPr="00E152C6" w:rsidRDefault="00E152C6">
          <w:pPr>
            <w:pStyle w:val="TOC3"/>
            <w:tabs>
              <w:tab w:val="left" w:pos="880"/>
              <w:tab w:val="right" w:leader="dot" w:pos="9350"/>
            </w:tabs>
            <w:rPr>
              <w:rFonts w:ascii="Arial" w:eastAsiaTheme="minorEastAsia" w:hAnsi="Arial" w:cs="Arial"/>
              <w:noProof/>
              <w:color w:val="auto"/>
              <w:kern w:val="2"/>
              <w:lang w:val="en-US"/>
              <w14:ligatures w14:val="standardContextual"/>
            </w:rPr>
          </w:pPr>
          <w:hyperlink w:anchor="_Toc197382146" w:history="1">
            <w:r w:rsidRPr="00E152C6">
              <w:rPr>
                <w:rStyle w:val="Hyperlink"/>
                <w:rFonts w:ascii="Arial" w:hAnsi="Arial" w:cs="Arial"/>
                <w:noProof/>
              </w:rPr>
              <w:t></w:t>
            </w:r>
            <w:r w:rsidRPr="00E152C6">
              <w:rPr>
                <w:rFonts w:ascii="Arial" w:eastAsiaTheme="minorEastAsia" w:hAnsi="Arial" w:cs="Arial"/>
                <w:noProof/>
                <w:color w:val="auto"/>
                <w:kern w:val="2"/>
                <w:lang w:val="en-US"/>
                <w14:ligatures w14:val="standardContextual"/>
              </w:rPr>
              <w:tab/>
            </w:r>
            <w:r w:rsidRPr="00E152C6">
              <w:rPr>
                <w:rStyle w:val="Hyperlink"/>
                <w:rFonts w:ascii="Arial" w:hAnsi="Arial" w:cs="Arial"/>
                <w:noProof/>
              </w:rPr>
              <w:t>Population, démographique, migration et conditions socioéconomiques</w:t>
            </w:r>
            <w:r w:rsidRPr="00E152C6">
              <w:rPr>
                <w:rFonts w:ascii="Arial" w:hAnsi="Arial" w:cs="Arial"/>
                <w:noProof/>
                <w:webHidden/>
              </w:rPr>
              <w:tab/>
            </w:r>
            <w:r w:rsidRPr="00E152C6">
              <w:rPr>
                <w:rFonts w:ascii="Arial" w:hAnsi="Arial" w:cs="Arial"/>
                <w:noProof/>
                <w:webHidden/>
              </w:rPr>
              <w:fldChar w:fldCharType="begin"/>
            </w:r>
            <w:r w:rsidRPr="00E152C6">
              <w:rPr>
                <w:rFonts w:ascii="Arial" w:hAnsi="Arial" w:cs="Arial"/>
                <w:noProof/>
                <w:webHidden/>
              </w:rPr>
              <w:instrText xml:space="preserve"> PAGEREF _Toc197382146 \h </w:instrText>
            </w:r>
            <w:r w:rsidRPr="00E152C6">
              <w:rPr>
                <w:rFonts w:ascii="Arial" w:hAnsi="Arial" w:cs="Arial"/>
                <w:noProof/>
                <w:webHidden/>
              </w:rPr>
            </w:r>
            <w:r w:rsidRPr="00E152C6">
              <w:rPr>
                <w:rFonts w:ascii="Arial" w:hAnsi="Arial" w:cs="Arial"/>
                <w:noProof/>
                <w:webHidden/>
              </w:rPr>
              <w:fldChar w:fldCharType="separate"/>
            </w:r>
            <w:r w:rsidRPr="00E152C6">
              <w:rPr>
                <w:rFonts w:ascii="Arial" w:hAnsi="Arial" w:cs="Arial"/>
                <w:noProof/>
                <w:webHidden/>
              </w:rPr>
              <w:t>30</w:t>
            </w:r>
            <w:r w:rsidRPr="00E152C6">
              <w:rPr>
                <w:rFonts w:ascii="Arial" w:hAnsi="Arial" w:cs="Arial"/>
                <w:noProof/>
                <w:webHidden/>
              </w:rPr>
              <w:fldChar w:fldCharType="end"/>
            </w:r>
          </w:hyperlink>
        </w:p>
        <w:p w14:paraId="684C30C0" w14:textId="3661A638" w:rsidR="00E152C6" w:rsidRPr="00E152C6" w:rsidRDefault="00E152C6">
          <w:pPr>
            <w:pStyle w:val="TOC3"/>
            <w:tabs>
              <w:tab w:val="left" w:pos="880"/>
              <w:tab w:val="right" w:leader="dot" w:pos="9350"/>
            </w:tabs>
            <w:rPr>
              <w:rFonts w:ascii="Arial" w:eastAsiaTheme="minorEastAsia" w:hAnsi="Arial" w:cs="Arial"/>
              <w:noProof/>
              <w:color w:val="auto"/>
              <w:kern w:val="2"/>
              <w:lang w:val="en-US"/>
              <w14:ligatures w14:val="standardContextual"/>
            </w:rPr>
          </w:pPr>
          <w:hyperlink w:anchor="_Toc197382147" w:history="1">
            <w:r w:rsidRPr="00E152C6">
              <w:rPr>
                <w:rStyle w:val="Hyperlink"/>
                <w:rFonts w:ascii="Arial" w:hAnsi="Arial" w:cs="Arial"/>
                <w:iCs/>
                <w:noProof/>
              </w:rPr>
              <w:t></w:t>
            </w:r>
            <w:r w:rsidRPr="00E152C6">
              <w:rPr>
                <w:rFonts w:ascii="Arial" w:eastAsiaTheme="minorEastAsia" w:hAnsi="Arial" w:cs="Arial"/>
                <w:noProof/>
                <w:color w:val="auto"/>
                <w:kern w:val="2"/>
                <w:lang w:val="en-US"/>
                <w14:ligatures w14:val="standardContextual"/>
              </w:rPr>
              <w:tab/>
            </w:r>
            <w:r w:rsidRPr="00E152C6">
              <w:rPr>
                <w:rStyle w:val="Hyperlink"/>
                <w:rFonts w:ascii="Arial" w:hAnsi="Arial" w:cs="Arial"/>
                <w:i/>
                <w:iCs/>
                <w:noProof/>
              </w:rPr>
              <w:t>Habitats et services</w:t>
            </w:r>
            <w:r w:rsidRPr="00E152C6">
              <w:rPr>
                <w:rFonts w:ascii="Arial" w:hAnsi="Arial" w:cs="Arial"/>
                <w:noProof/>
                <w:webHidden/>
              </w:rPr>
              <w:tab/>
            </w:r>
            <w:r w:rsidRPr="00E152C6">
              <w:rPr>
                <w:rFonts w:ascii="Arial" w:hAnsi="Arial" w:cs="Arial"/>
                <w:noProof/>
                <w:webHidden/>
              </w:rPr>
              <w:fldChar w:fldCharType="begin"/>
            </w:r>
            <w:r w:rsidRPr="00E152C6">
              <w:rPr>
                <w:rFonts w:ascii="Arial" w:hAnsi="Arial" w:cs="Arial"/>
                <w:noProof/>
                <w:webHidden/>
              </w:rPr>
              <w:instrText xml:space="preserve"> PAGEREF _Toc197382147 \h </w:instrText>
            </w:r>
            <w:r w:rsidRPr="00E152C6">
              <w:rPr>
                <w:rFonts w:ascii="Arial" w:hAnsi="Arial" w:cs="Arial"/>
                <w:noProof/>
                <w:webHidden/>
              </w:rPr>
            </w:r>
            <w:r w:rsidRPr="00E152C6">
              <w:rPr>
                <w:rFonts w:ascii="Arial" w:hAnsi="Arial" w:cs="Arial"/>
                <w:noProof/>
                <w:webHidden/>
              </w:rPr>
              <w:fldChar w:fldCharType="separate"/>
            </w:r>
            <w:r w:rsidRPr="00E152C6">
              <w:rPr>
                <w:rFonts w:ascii="Arial" w:hAnsi="Arial" w:cs="Arial"/>
                <w:noProof/>
                <w:webHidden/>
              </w:rPr>
              <w:t>30</w:t>
            </w:r>
            <w:r w:rsidRPr="00E152C6">
              <w:rPr>
                <w:rFonts w:ascii="Arial" w:hAnsi="Arial" w:cs="Arial"/>
                <w:noProof/>
                <w:webHidden/>
              </w:rPr>
              <w:fldChar w:fldCharType="end"/>
            </w:r>
          </w:hyperlink>
        </w:p>
        <w:p w14:paraId="4DF72159" w14:textId="4BEE1B3F" w:rsidR="00E152C6" w:rsidRPr="00E152C6" w:rsidRDefault="00E152C6">
          <w:pPr>
            <w:pStyle w:val="TOC3"/>
            <w:tabs>
              <w:tab w:val="left" w:pos="880"/>
              <w:tab w:val="right" w:leader="dot" w:pos="9350"/>
            </w:tabs>
            <w:rPr>
              <w:rFonts w:ascii="Arial" w:eastAsiaTheme="minorEastAsia" w:hAnsi="Arial" w:cs="Arial"/>
              <w:noProof/>
              <w:color w:val="auto"/>
              <w:kern w:val="2"/>
              <w:lang w:val="en-US"/>
              <w14:ligatures w14:val="standardContextual"/>
            </w:rPr>
          </w:pPr>
          <w:hyperlink w:anchor="_Toc197382148" w:history="1">
            <w:r w:rsidRPr="00E152C6">
              <w:rPr>
                <w:rStyle w:val="Hyperlink"/>
                <w:rFonts w:ascii="Arial" w:hAnsi="Arial" w:cs="Arial"/>
                <w:iCs/>
                <w:noProof/>
              </w:rPr>
              <w:t></w:t>
            </w:r>
            <w:r w:rsidRPr="00E152C6">
              <w:rPr>
                <w:rFonts w:ascii="Arial" w:eastAsiaTheme="minorEastAsia" w:hAnsi="Arial" w:cs="Arial"/>
                <w:noProof/>
                <w:color w:val="auto"/>
                <w:kern w:val="2"/>
                <w:lang w:val="en-US"/>
                <w14:ligatures w14:val="standardContextual"/>
              </w:rPr>
              <w:tab/>
            </w:r>
            <w:r w:rsidRPr="00E152C6">
              <w:rPr>
                <w:rStyle w:val="Hyperlink"/>
                <w:rFonts w:ascii="Arial" w:hAnsi="Arial" w:cs="Arial"/>
                <w:i/>
                <w:iCs/>
                <w:noProof/>
              </w:rPr>
              <w:t>Électricité</w:t>
            </w:r>
            <w:r w:rsidRPr="00E152C6">
              <w:rPr>
                <w:rFonts w:ascii="Arial" w:hAnsi="Arial" w:cs="Arial"/>
                <w:noProof/>
                <w:webHidden/>
              </w:rPr>
              <w:tab/>
            </w:r>
            <w:r w:rsidRPr="00E152C6">
              <w:rPr>
                <w:rFonts w:ascii="Arial" w:hAnsi="Arial" w:cs="Arial"/>
                <w:noProof/>
                <w:webHidden/>
              </w:rPr>
              <w:fldChar w:fldCharType="begin"/>
            </w:r>
            <w:r w:rsidRPr="00E152C6">
              <w:rPr>
                <w:rFonts w:ascii="Arial" w:hAnsi="Arial" w:cs="Arial"/>
                <w:noProof/>
                <w:webHidden/>
              </w:rPr>
              <w:instrText xml:space="preserve"> PAGEREF _Toc197382148 \h </w:instrText>
            </w:r>
            <w:r w:rsidRPr="00E152C6">
              <w:rPr>
                <w:rFonts w:ascii="Arial" w:hAnsi="Arial" w:cs="Arial"/>
                <w:noProof/>
                <w:webHidden/>
              </w:rPr>
            </w:r>
            <w:r w:rsidRPr="00E152C6">
              <w:rPr>
                <w:rFonts w:ascii="Arial" w:hAnsi="Arial" w:cs="Arial"/>
                <w:noProof/>
                <w:webHidden/>
              </w:rPr>
              <w:fldChar w:fldCharType="separate"/>
            </w:r>
            <w:r w:rsidRPr="00E152C6">
              <w:rPr>
                <w:rFonts w:ascii="Arial" w:hAnsi="Arial" w:cs="Arial"/>
                <w:noProof/>
                <w:webHidden/>
              </w:rPr>
              <w:t>30</w:t>
            </w:r>
            <w:r w:rsidRPr="00E152C6">
              <w:rPr>
                <w:rFonts w:ascii="Arial" w:hAnsi="Arial" w:cs="Arial"/>
                <w:noProof/>
                <w:webHidden/>
              </w:rPr>
              <w:fldChar w:fldCharType="end"/>
            </w:r>
          </w:hyperlink>
        </w:p>
        <w:p w14:paraId="1CC726E1" w14:textId="16A3E936" w:rsidR="00E152C6" w:rsidRPr="00E152C6" w:rsidRDefault="00E152C6">
          <w:pPr>
            <w:pStyle w:val="TOC3"/>
            <w:tabs>
              <w:tab w:val="left" w:pos="880"/>
              <w:tab w:val="right" w:leader="dot" w:pos="9350"/>
            </w:tabs>
            <w:rPr>
              <w:rFonts w:ascii="Arial" w:eastAsiaTheme="minorEastAsia" w:hAnsi="Arial" w:cs="Arial"/>
              <w:noProof/>
              <w:color w:val="auto"/>
              <w:kern w:val="2"/>
              <w:lang w:val="en-US"/>
              <w14:ligatures w14:val="standardContextual"/>
            </w:rPr>
          </w:pPr>
          <w:hyperlink w:anchor="_Toc197382149" w:history="1">
            <w:r w:rsidRPr="00E152C6">
              <w:rPr>
                <w:rStyle w:val="Hyperlink"/>
                <w:rFonts w:ascii="Arial" w:hAnsi="Arial" w:cs="Arial"/>
                <w:iCs/>
                <w:noProof/>
              </w:rPr>
              <w:t></w:t>
            </w:r>
            <w:r w:rsidRPr="00E152C6">
              <w:rPr>
                <w:rFonts w:ascii="Arial" w:eastAsiaTheme="minorEastAsia" w:hAnsi="Arial" w:cs="Arial"/>
                <w:noProof/>
                <w:color w:val="auto"/>
                <w:kern w:val="2"/>
                <w:lang w:val="en-US"/>
                <w14:ligatures w14:val="standardContextual"/>
              </w:rPr>
              <w:tab/>
            </w:r>
            <w:r w:rsidRPr="00E152C6">
              <w:rPr>
                <w:rStyle w:val="Hyperlink"/>
                <w:rFonts w:ascii="Arial" w:hAnsi="Arial" w:cs="Arial"/>
                <w:i/>
                <w:iCs/>
                <w:noProof/>
              </w:rPr>
              <w:t>Accès à l’éducation et infrastructures scolaires</w:t>
            </w:r>
            <w:r w:rsidRPr="00E152C6">
              <w:rPr>
                <w:rFonts w:ascii="Arial" w:hAnsi="Arial" w:cs="Arial"/>
                <w:noProof/>
                <w:webHidden/>
              </w:rPr>
              <w:tab/>
            </w:r>
            <w:r w:rsidRPr="00E152C6">
              <w:rPr>
                <w:rFonts w:ascii="Arial" w:hAnsi="Arial" w:cs="Arial"/>
                <w:noProof/>
                <w:webHidden/>
              </w:rPr>
              <w:fldChar w:fldCharType="begin"/>
            </w:r>
            <w:r w:rsidRPr="00E152C6">
              <w:rPr>
                <w:rFonts w:ascii="Arial" w:hAnsi="Arial" w:cs="Arial"/>
                <w:noProof/>
                <w:webHidden/>
              </w:rPr>
              <w:instrText xml:space="preserve"> PAGEREF _Toc197382149 \h </w:instrText>
            </w:r>
            <w:r w:rsidRPr="00E152C6">
              <w:rPr>
                <w:rFonts w:ascii="Arial" w:hAnsi="Arial" w:cs="Arial"/>
                <w:noProof/>
                <w:webHidden/>
              </w:rPr>
            </w:r>
            <w:r w:rsidRPr="00E152C6">
              <w:rPr>
                <w:rFonts w:ascii="Arial" w:hAnsi="Arial" w:cs="Arial"/>
                <w:noProof/>
                <w:webHidden/>
              </w:rPr>
              <w:fldChar w:fldCharType="separate"/>
            </w:r>
            <w:r w:rsidRPr="00E152C6">
              <w:rPr>
                <w:rFonts w:ascii="Arial" w:hAnsi="Arial" w:cs="Arial"/>
                <w:noProof/>
                <w:webHidden/>
              </w:rPr>
              <w:t>31</w:t>
            </w:r>
            <w:r w:rsidRPr="00E152C6">
              <w:rPr>
                <w:rFonts w:ascii="Arial" w:hAnsi="Arial" w:cs="Arial"/>
                <w:noProof/>
                <w:webHidden/>
              </w:rPr>
              <w:fldChar w:fldCharType="end"/>
            </w:r>
          </w:hyperlink>
        </w:p>
        <w:p w14:paraId="1F2B4D86" w14:textId="31882727" w:rsidR="00E152C6" w:rsidRPr="00E152C6" w:rsidRDefault="00E152C6">
          <w:pPr>
            <w:pStyle w:val="TOC3"/>
            <w:tabs>
              <w:tab w:val="left" w:pos="880"/>
              <w:tab w:val="right" w:leader="dot" w:pos="9350"/>
            </w:tabs>
            <w:rPr>
              <w:rFonts w:ascii="Arial" w:eastAsiaTheme="minorEastAsia" w:hAnsi="Arial" w:cs="Arial"/>
              <w:noProof/>
              <w:color w:val="auto"/>
              <w:kern w:val="2"/>
              <w:lang w:val="en-US"/>
              <w14:ligatures w14:val="standardContextual"/>
            </w:rPr>
          </w:pPr>
          <w:hyperlink w:anchor="_Toc197382150" w:history="1">
            <w:r w:rsidRPr="00E152C6">
              <w:rPr>
                <w:rStyle w:val="Hyperlink"/>
                <w:rFonts w:ascii="Arial" w:hAnsi="Arial" w:cs="Arial"/>
                <w:iCs/>
                <w:noProof/>
              </w:rPr>
              <w:t></w:t>
            </w:r>
            <w:r w:rsidRPr="00E152C6">
              <w:rPr>
                <w:rFonts w:ascii="Arial" w:eastAsiaTheme="minorEastAsia" w:hAnsi="Arial" w:cs="Arial"/>
                <w:noProof/>
                <w:color w:val="auto"/>
                <w:kern w:val="2"/>
                <w:lang w:val="en-US"/>
                <w14:ligatures w14:val="standardContextual"/>
              </w:rPr>
              <w:tab/>
            </w:r>
            <w:r w:rsidRPr="00E152C6">
              <w:rPr>
                <w:rStyle w:val="Hyperlink"/>
                <w:rFonts w:ascii="Arial" w:hAnsi="Arial" w:cs="Arial"/>
                <w:i/>
                <w:iCs/>
                <w:noProof/>
              </w:rPr>
              <w:t>Santé et accès aux services de santé</w:t>
            </w:r>
            <w:r w:rsidRPr="00E152C6">
              <w:rPr>
                <w:rFonts w:ascii="Arial" w:hAnsi="Arial" w:cs="Arial"/>
                <w:noProof/>
                <w:webHidden/>
              </w:rPr>
              <w:tab/>
            </w:r>
            <w:r w:rsidRPr="00E152C6">
              <w:rPr>
                <w:rFonts w:ascii="Arial" w:hAnsi="Arial" w:cs="Arial"/>
                <w:noProof/>
                <w:webHidden/>
              </w:rPr>
              <w:fldChar w:fldCharType="begin"/>
            </w:r>
            <w:r w:rsidRPr="00E152C6">
              <w:rPr>
                <w:rFonts w:ascii="Arial" w:hAnsi="Arial" w:cs="Arial"/>
                <w:noProof/>
                <w:webHidden/>
              </w:rPr>
              <w:instrText xml:space="preserve"> PAGEREF _Toc197382150 \h </w:instrText>
            </w:r>
            <w:r w:rsidRPr="00E152C6">
              <w:rPr>
                <w:rFonts w:ascii="Arial" w:hAnsi="Arial" w:cs="Arial"/>
                <w:noProof/>
                <w:webHidden/>
              </w:rPr>
            </w:r>
            <w:r w:rsidRPr="00E152C6">
              <w:rPr>
                <w:rFonts w:ascii="Arial" w:hAnsi="Arial" w:cs="Arial"/>
                <w:noProof/>
                <w:webHidden/>
              </w:rPr>
              <w:fldChar w:fldCharType="separate"/>
            </w:r>
            <w:r w:rsidRPr="00E152C6">
              <w:rPr>
                <w:rFonts w:ascii="Arial" w:hAnsi="Arial" w:cs="Arial"/>
                <w:noProof/>
                <w:webHidden/>
              </w:rPr>
              <w:t>32</w:t>
            </w:r>
            <w:r w:rsidRPr="00E152C6">
              <w:rPr>
                <w:rFonts w:ascii="Arial" w:hAnsi="Arial" w:cs="Arial"/>
                <w:noProof/>
                <w:webHidden/>
              </w:rPr>
              <w:fldChar w:fldCharType="end"/>
            </w:r>
          </w:hyperlink>
        </w:p>
        <w:p w14:paraId="5B49C19B" w14:textId="0C399597" w:rsidR="00E152C6" w:rsidRPr="00E152C6" w:rsidRDefault="00E152C6">
          <w:pPr>
            <w:pStyle w:val="TOC3"/>
            <w:tabs>
              <w:tab w:val="left" w:pos="880"/>
              <w:tab w:val="right" w:leader="dot" w:pos="9350"/>
            </w:tabs>
            <w:rPr>
              <w:rFonts w:ascii="Arial" w:eastAsiaTheme="minorEastAsia" w:hAnsi="Arial" w:cs="Arial"/>
              <w:noProof/>
              <w:color w:val="auto"/>
              <w:kern w:val="2"/>
              <w:lang w:val="en-US"/>
              <w14:ligatures w14:val="standardContextual"/>
            </w:rPr>
          </w:pPr>
          <w:hyperlink w:anchor="_Toc197382151" w:history="1">
            <w:r w:rsidRPr="00E152C6">
              <w:rPr>
                <w:rStyle w:val="Hyperlink"/>
                <w:rFonts w:ascii="Arial" w:hAnsi="Arial" w:cs="Arial"/>
                <w:iCs/>
                <w:noProof/>
              </w:rPr>
              <w:t></w:t>
            </w:r>
            <w:r w:rsidRPr="00E152C6">
              <w:rPr>
                <w:rFonts w:ascii="Arial" w:eastAsiaTheme="minorEastAsia" w:hAnsi="Arial" w:cs="Arial"/>
                <w:noProof/>
                <w:color w:val="auto"/>
                <w:kern w:val="2"/>
                <w:lang w:val="en-US"/>
                <w14:ligatures w14:val="standardContextual"/>
              </w:rPr>
              <w:tab/>
            </w:r>
            <w:r w:rsidRPr="00E152C6">
              <w:rPr>
                <w:rStyle w:val="Hyperlink"/>
                <w:rFonts w:ascii="Arial" w:hAnsi="Arial" w:cs="Arial"/>
                <w:i/>
                <w:iCs/>
                <w:noProof/>
              </w:rPr>
              <w:t>Eau potable, adduction d’eau et hygiène assainissement</w:t>
            </w:r>
            <w:r w:rsidRPr="00E152C6">
              <w:rPr>
                <w:rFonts w:ascii="Arial" w:hAnsi="Arial" w:cs="Arial"/>
                <w:noProof/>
                <w:webHidden/>
              </w:rPr>
              <w:tab/>
            </w:r>
            <w:r w:rsidRPr="00E152C6">
              <w:rPr>
                <w:rFonts w:ascii="Arial" w:hAnsi="Arial" w:cs="Arial"/>
                <w:noProof/>
                <w:webHidden/>
              </w:rPr>
              <w:fldChar w:fldCharType="begin"/>
            </w:r>
            <w:r w:rsidRPr="00E152C6">
              <w:rPr>
                <w:rFonts w:ascii="Arial" w:hAnsi="Arial" w:cs="Arial"/>
                <w:noProof/>
                <w:webHidden/>
              </w:rPr>
              <w:instrText xml:space="preserve"> PAGEREF _Toc197382151 \h </w:instrText>
            </w:r>
            <w:r w:rsidRPr="00E152C6">
              <w:rPr>
                <w:rFonts w:ascii="Arial" w:hAnsi="Arial" w:cs="Arial"/>
                <w:noProof/>
                <w:webHidden/>
              </w:rPr>
            </w:r>
            <w:r w:rsidRPr="00E152C6">
              <w:rPr>
                <w:rFonts w:ascii="Arial" w:hAnsi="Arial" w:cs="Arial"/>
                <w:noProof/>
                <w:webHidden/>
              </w:rPr>
              <w:fldChar w:fldCharType="separate"/>
            </w:r>
            <w:r w:rsidRPr="00E152C6">
              <w:rPr>
                <w:rFonts w:ascii="Arial" w:hAnsi="Arial" w:cs="Arial"/>
                <w:noProof/>
                <w:webHidden/>
              </w:rPr>
              <w:t>32</w:t>
            </w:r>
            <w:r w:rsidRPr="00E152C6">
              <w:rPr>
                <w:rFonts w:ascii="Arial" w:hAnsi="Arial" w:cs="Arial"/>
                <w:noProof/>
                <w:webHidden/>
              </w:rPr>
              <w:fldChar w:fldCharType="end"/>
            </w:r>
          </w:hyperlink>
        </w:p>
        <w:p w14:paraId="37952C6E" w14:textId="2F867944"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52" w:history="1">
            <w:r w:rsidRPr="00E152C6">
              <w:rPr>
                <w:rStyle w:val="Hyperlink"/>
                <w:rFonts w:ascii="Arial" w:hAnsi="Arial" w:cs="Arial"/>
                <w:b w:val="0"/>
                <w:bCs w:val="0"/>
                <w:noProof/>
                <w:sz w:val="22"/>
                <w:szCs w:val="22"/>
              </w:rPr>
              <w:t>SECTION 3 : ACTIVITÉS DU PROJET</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_Toc197382152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33</w:t>
            </w:r>
            <w:r w:rsidRPr="00E152C6">
              <w:rPr>
                <w:rFonts w:ascii="Arial" w:hAnsi="Arial" w:cs="Arial"/>
                <w:b w:val="0"/>
                <w:bCs w:val="0"/>
                <w:noProof/>
                <w:webHidden/>
                <w:sz w:val="22"/>
                <w:szCs w:val="22"/>
              </w:rPr>
              <w:fldChar w:fldCharType="end"/>
            </w:r>
          </w:hyperlink>
        </w:p>
        <w:p w14:paraId="70D6389F" w14:textId="5BC51F22"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53" w:history="1">
            <w:r w:rsidRPr="00E152C6">
              <w:rPr>
                <w:rStyle w:val="Hyperlink"/>
                <w:rFonts w:ascii="Arial" w:hAnsi="Arial" w:cs="Arial"/>
                <w:b w:val="0"/>
                <w:bCs w:val="0"/>
                <w:noProof/>
                <w:sz w:val="22"/>
                <w:szCs w:val="22"/>
              </w:rPr>
              <w:t>SECTION 4 : ANALYSE DU CADRE POLITIQUE, JURIDIQUE ET INSTITUTIONNEL NATIONAL EN MATIERE DE SAUVEGARDE ENVIRONNEMENTALE ET SOCIALE</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_Toc197382153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34</w:t>
            </w:r>
            <w:r w:rsidRPr="00E152C6">
              <w:rPr>
                <w:rFonts w:ascii="Arial" w:hAnsi="Arial" w:cs="Arial"/>
                <w:b w:val="0"/>
                <w:bCs w:val="0"/>
                <w:noProof/>
                <w:webHidden/>
                <w:sz w:val="22"/>
                <w:szCs w:val="22"/>
              </w:rPr>
              <w:fldChar w:fldCharType="end"/>
            </w:r>
          </w:hyperlink>
        </w:p>
        <w:p w14:paraId="65472299" w14:textId="598CB3F0"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54" w:history="1">
            <w:r w:rsidRPr="00E152C6">
              <w:rPr>
                <w:rStyle w:val="Hyperlink"/>
                <w:rFonts w:ascii="Arial" w:hAnsi="Arial" w:cs="Arial"/>
                <w:b w:val="0"/>
                <w:bCs w:val="0"/>
                <w:noProof/>
                <w:sz w:val="22"/>
                <w:szCs w:val="22"/>
              </w:rPr>
              <w:t>SECTION 5 : AUTRES MESURES DE MAITRISE DES RISQUES ET IMPACTS ENVIRONNEMENTAUX ET SOCIAUX</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_Toc197382154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45</w:t>
            </w:r>
            <w:r w:rsidRPr="00E152C6">
              <w:rPr>
                <w:rFonts w:ascii="Arial" w:hAnsi="Arial" w:cs="Arial"/>
                <w:b w:val="0"/>
                <w:bCs w:val="0"/>
                <w:noProof/>
                <w:webHidden/>
                <w:sz w:val="22"/>
                <w:szCs w:val="22"/>
              </w:rPr>
              <w:fldChar w:fldCharType="end"/>
            </w:r>
          </w:hyperlink>
        </w:p>
        <w:p w14:paraId="750724B7" w14:textId="2A28F13A"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55" w:history="1">
            <w:r w:rsidRPr="00E152C6">
              <w:rPr>
                <w:rStyle w:val="Hyperlink"/>
                <w:rFonts w:ascii="Arial" w:hAnsi="Arial" w:cs="Arial"/>
                <w:b w:val="0"/>
                <w:bCs w:val="0"/>
                <w:noProof/>
                <w:sz w:val="22"/>
                <w:szCs w:val="22"/>
              </w:rPr>
              <w:t>SECTION 6 : PROCÉDURES DE TRAITEMENT DES QUESTIONS ENVIRONNEMENTALES ET SOCIALES</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_Toc197382155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52</w:t>
            </w:r>
            <w:r w:rsidRPr="00E152C6">
              <w:rPr>
                <w:rFonts w:ascii="Arial" w:hAnsi="Arial" w:cs="Arial"/>
                <w:b w:val="0"/>
                <w:bCs w:val="0"/>
                <w:noProof/>
                <w:webHidden/>
                <w:sz w:val="22"/>
                <w:szCs w:val="22"/>
              </w:rPr>
              <w:fldChar w:fldCharType="end"/>
            </w:r>
          </w:hyperlink>
        </w:p>
        <w:p w14:paraId="2E187838" w14:textId="5FB55805"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56" w:history="1">
            <w:r w:rsidRPr="00E152C6">
              <w:rPr>
                <w:rStyle w:val="Hyperlink"/>
                <w:rFonts w:ascii="Arial" w:hAnsi="Arial" w:cs="Arial"/>
                <w:b w:val="0"/>
                <w:bCs w:val="0"/>
                <w:noProof/>
                <w:sz w:val="22"/>
                <w:szCs w:val="22"/>
                <w:lang w:eastAsia="zh-CN"/>
              </w:rPr>
              <w:t>SECTION 7 : CONSULTATION ET DIVULGATION</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_Toc197382156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52</w:t>
            </w:r>
            <w:r w:rsidRPr="00E152C6">
              <w:rPr>
                <w:rFonts w:ascii="Arial" w:hAnsi="Arial" w:cs="Arial"/>
                <w:b w:val="0"/>
                <w:bCs w:val="0"/>
                <w:noProof/>
                <w:webHidden/>
                <w:sz w:val="22"/>
                <w:szCs w:val="22"/>
              </w:rPr>
              <w:fldChar w:fldCharType="end"/>
            </w:r>
          </w:hyperlink>
        </w:p>
        <w:p w14:paraId="7BC8BA02" w14:textId="3B3554B3"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57" w:history="1">
            <w:r w:rsidRPr="00E152C6">
              <w:rPr>
                <w:rStyle w:val="Hyperlink"/>
                <w:rFonts w:ascii="Arial" w:hAnsi="Arial" w:cs="Arial"/>
                <w:b w:val="0"/>
                <w:bCs w:val="0"/>
                <w:noProof/>
                <w:sz w:val="22"/>
                <w:szCs w:val="22"/>
              </w:rPr>
              <w:t>SECTION 8 : DISPOSITIONS INSTITUTIONNELLES ET RESSOURCES</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_Toc197382157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53</w:t>
            </w:r>
            <w:r w:rsidRPr="00E152C6">
              <w:rPr>
                <w:rFonts w:ascii="Arial" w:hAnsi="Arial" w:cs="Arial"/>
                <w:b w:val="0"/>
                <w:bCs w:val="0"/>
                <w:noProof/>
                <w:webHidden/>
                <w:sz w:val="22"/>
                <w:szCs w:val="22"/>
              </w:rPr>
              <w:fldChar w:fldCharType="end"/>
            </w:r>
          </w:hyperlink>
        </w:p>
        <w:p w14:paraId="5E94CB5F" w14:textId="2C366ABF"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58" w:history="1">
            <w:r w:rsidRPr="00E152C6">
              <w:rPr>
                <w:rStyle w:val="Hyperlink"/>
                <w:rFonts w:ascii="Arial" w:hAnsi="Arial" w:cs="Arial"/>
                <w:b w:val="0"/>
                <w:bCs w:val="0"/>
                <w:noProof/>
                <w:sz w:val="22"/>
                <w:szCs w:val="22"/>
              </w:rPr>
              <w:t>SECTION 9 : SUIVI ET ÉTABLISSEMENT DE RAPPORTS</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_Toc197382158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54</w:t>
            </w:r>
            <w:r w:rsidRPr="00E152C6">
              <w:rPr>
                <w:rFonts w:ascii="Arial" w:hAnsi="Arial" w:cs="Arial"/>
                <w:b w:val="0"/>
                <w:bCs w:val="0"/>
                <w:noProof/>
                <w:webHidden/>
                <w:sz w:val="22"/>
                <w:szCs w:val="22"/>
              </w:rPr>
              <w:fldChar w:fldCharType="end"/>
            </w:r>
          </w:hyperlink>
        </w:p>
        <w:p w14:paraId="0D4AE40A" w14:textId="161DBA2E"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59" w:history="1">
            <w:r w:rsidRPr="00E152C6">
              <w:rPr>
                <w:rStyle w:val="Hyperlink"/>
                <w:rFonts w:ascii="Arial" w:hAnsi="Arial" w:cs="Arial"/>
                <w:b w:val="0"/>
                <w:bCs w:val="0"/>
                <w:noProof/>
                <w:sz w:val="22"/>
                <w:szCs w:val="22"/>
              </w:rPr>
              <w:t>Annexe 1 : Liste de contrôle pour l'établissement de rapports environnementaux et sociaux sur les activités du projet</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_Toc197382159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56</w:t>
            </w:r>
            <w:r w:rsidRPr="00E152C6">
              <w:rPr>
                <w:rFonts w:ascii="Arial" w:hAnsi="Arial" w:cs="Arial"/>
                <w:b w:val="0"/>
                <w:bCs w:val="0"/>
                <w:noProof/>
                <w:webHidden/>
                <w:sz w:val="22"/>
                <w:szCs w:val="22"/>
              </w:rPr>
              <w:fldChar w:fldCharType="end"/>
            </w:r>
          </w:hyperlink>
        </w:p>
        <w:p w14:paraId="0D1B1606" w14:textId="35D84D5B"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60" w:history="1">
            <w:r w:rsidRPr="00E152C6">
              <w:rPr>
                <w:rStyle w:val="Hyperlink"/>
                <w:rFonts w:ascii="Arial" w:hAnsi="Arial" w:cs="Arial"/>
                <w:b w:val="0"/>
                <w:bCs w:val="0"/>
                <w:noProof/>
                <w:sz w:val="22"/>
                <w:szCs w:val="22"/>
              </w:rPr>
              <w:t>Annexe 2 : Procédures de Gestion de la Main-d'œuvre (PGMo)</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_Toc197382160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62</w:t>
            </w:r>
            <w:r w:rsidRPr="00E152C6">
              <w:rPr>
                <w:rFonts w:ascii="Arial" w:hAnsi="Arial" w:cs="Arial"/>
                <w:b w:val="0"/>
                <w:bCs w:val="0"/>
                <w:noProof/>
                <w:webHidden/>
                <w:sz w:val="22"/>
                <w:szCs w:val="22"/>
              </w:rPr>
              <w:fldChar w:fldCharType="end"/>
            </w:r>
          </w:hyperlink>
        </w:p>
        <w:p w14:paraId="6328951B" w14:textId="63D0D534"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61" w:history="1">
            <w:r w:rsidRPr="00E152C6">
              <w:rPr>
                <w:rStyle w:val="Hyperlink"/>
                <w:rFonts w:ascii="Arial" w:hAnsi="Arial" w:cs="Arial"/>
                <w:b w:val="0"/>
                <w:bCs w:val="0"/>
                <w:noProof/>
                <w:sz w:val="22"/>
                <w:szCs w:val="22"/>
              </w:rPr>
              <w:t>Annexe 3 : Cadre de Santé et Sécurité au travail</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_Toc197382161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81</w:t>
            </w:r>
            <w:r w:rsidRPr="00E152C6">
              <w:rPr>
                <w:rFonts w:ascii="Arial" w:hAnsi="Arial" w:cs="Arial"/>
                <w:b w:val="0"/>
                <w:bCs w:val="0"/>
                <w:noProof/>
                <w:webHidden/>
                <w:sz w:val="22"/>
                <w:szCs w:val="22"/>
              </w:rPr>
              <w:fldChar w:fldCharType="end"/>
            </w:r>
          </w:hyperlink>
        </w:p>
        <w:p w14:paraId="26ED1E1A" w14:textId="14A91A6C"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62" w:history="1">
            <w:r w:rsidRPr="00E152C6">
              <w:rPr>
                <w:rStyle w:val="Hyperlink"/>
                <w:rFonts w:ascii="Arial" w:hAnsi="Arial" w:cs="Arial"/>
                <w:b w:val="0"/>
                <w:bCs w:val="0"/>
                <w:noProof/>
                <w:sz w:val="22"/>
                <w:szCs w:val="22"/>
              </w:rPr>
              <w:t>Annexe 4 : Mécanisme de gestion des réclamations</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_Toc197382162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89</w:t>
            </w:r>
            <w:r w:rsidRPr="00E152C6">
              <w:rPr>
                <w:rFonts w:ascii="Arial" w:hAnsi="Arial" w:cs="Arial"/>
                <w:b w:val="0"/>
                <w:bCs w:val="0"/>
                <w:noProof/>
                <w:webHidden/>
                <w:sz w:val="22"/>
                <w:szCs w:val="22"/>
              </w:rPr>
              <w:fldChar w:fldCharType="end"/>
            </w:r>
          </w:hyperlink>
        </w:p>
        <w:p w14:paraId="71A8977F" w14:textId="1FE5FE08"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63" w:history="1">
            <w:r w:rsidRPr="00E152C6">
              <w:rPr>
                <w:rStyle w:val="Hyperlink"/>
                <w:rFonts w:ascii="Arial" w:hAnsi="Arial" w:cs="Arial"/>
                <w:b w:val="0"/>
                <w:bCs w:val="0"/>
                <w:noProof/>
                <w:sz w:val="22"/>
                <w:szCs w:val="22"/>
              </w:rPr>
              <w:t>Annexe 5 : Cadre de gestion des déchets</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_Toc197382163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20</w:t>
            </w:r>
            <w:r w:rsidRPr="00E152C6">
              <w:rPr>
                <w:rFonts w:ascii="Arial" w:hAnsi="Arial" w:cs="Arial"/>
                <w:b w:val="0"/>
                <w:bCs w:val="0"/>
                <w:noProof/>
                <w:webHidden/>
                <w:sz w:val="22"/>
                <w:szCs w:val="22"/>
              </w:rPr>
              <w:fldChar w:fldCharType="end"/>
            </w:r>
          </w:hyperlink>
        </w:p>
        <w:p w14:paraId="6BC8CAFC" w14:textId="2074AC07" w:rsidR="00E152C6" w:rsidRPr="00E152C6" w:rsidRDefault="00E152C6">
          <w:pPr>
            <w:pStyle w:val="TOC1"/>
            <w:rPr>
              <w:rFonts w:ascii="Arial" w:eastAsiaTheme="minorEastAsia" w:hAnsi="Arial" w:cs="Arial"/>
              <w:b w:val="0"/>
              <w:bCs w:val="0"/>
              <w:noProof/>
              <w:color w:val="auto"/>
              <w:kern w:val="2"/>
              <w:sz w:val="22"/>
              <w:szCs w:val="22"/>
              <w:lang w:val="en-US"/>
              <w14:ligatures w14:val="standardContextual"/>
            </w:rPr>
          </w:pPr>
          <w:hyperlink w:anchor="_Toc197382164" w:history="1">
            <w:r w:rsidRPr="00E152C6">
              <w:rPr>
                <w:rStyle w:val="Hyperlink"/>
                <w:rFonts w:ascii="Arial" w:hAnsi="Arial" w:cs="Arial"/>
                <w:b w:val="0"/>
                <w:bCs w:val="0"/>
                <w:noProof/>
                <w:sz w:val="22"/>
                <w:szCs w:val="22"/>
              </w:rPr>
              <w:t>Annexe 6 : Cadre de gestion de la sécurité routière</w:t>
            </w:r>
            <w:r w:rsidRPr="00E152C6">
              <w:rPr>
                <w:rFonts w:ascii="Arial" w:hAnsi="Arial" w:cs="Arial"/>
                <w:b w:val="0"/>
                <w:bCs w:val="0"/>
                <w:noProof/>
                <w:webHidden/>
                <w:sz w:val="22"/>
                <w:szCs w:val="22"/>
              </w:rPr>
              <w:tab/>
            </w:r>
            <w:r w:rsidRPr="00E152C6">
              <w:rPr>
                <w:rFonts w:ascii="Arial" w:hAnsi="Arial" w:cs="Arial"/>
                <w:b w:val="0"/>
                <w:bCs w:val="0"/>
                <w:noProof/>
                <w:webHidden/>
                <w:sz w:val="22"/>
                <w:szCs w:val="22"/>
              </w:rPr>
              <w:fldChar w:fldCharType="begin"/>
            </w:r>
            <w:r w:rsidRPr="00E152C6">
              <w:rPr>
                <w:rFonts w:ascii="Arial" w:hAnsi="Arial" w:cs="Arial"/>
                <w:b w:val="0"/>
                <w:bCs w:val="0"/>
                <w:noProof/>
                <w:webHidden/>
                <w:sz w:val="22"/>
                <w:szCs w:val="22"/>
              </w:rPr>
              <w:instrText xml:space="preserve"> PAGEREF _Toc197382164 \h </w:instrText>
            </w:r>
            <w:r w:rsidRPr="00E152C6">
              <w:rPr>
                <w:rFonts w:ascii="Arial" w:hAnsi="Arial" w:cs="Arial"/>
                <w:b w:val="0"/>
                <w:bCs w:val="0"/>
                <w:noProof/>
                <w:webHidden/>
                <w:sz w:val="22"/>
                <w:szCs w:val="22"/>
              </w:rPr>
            </w:r>
            <w:r w:rsidRPr="00E152C6">
              <w:rPr>
                <w:rFonts w:ascii="Arial" w:hAnsi="Arial" w:cs="Arial"/>
                <w:b w:val="0"/>
                <w:bCs w:val="0"/>
                <w:noProof/>
                <w:webHidden/>
                <w:sz w:val="22"/>
                <w:szCs w:val="22"/>
              </w:rPr>
              <w:fldChar w:fldCharType="separate"/>
            </w:r>
            <w:r w:rsidRPr="00E152C6">
              <w:rPr>
                <w:rFonts w:ascii="Arial" w:hAnsi="Arial" w:cs="Arial"/>
                <w:b w:val="0"/>
                <w:bCs w:val="0"/>
                <w:noProof/>
                <w:webHidden/>
                <w:sz w:val="22"/>
                <w:szCs w:val="22"/>
              </w:rPr>
              <w:t>28</w:t>
            </w:r>
            <w:r w:rsidRPr="00E152C6">
              <w:rPr>
                <w:rFonts w:ascii="Arial" w:hAnsi="Arial" w:cs="Arial"/>
                <w:b w:val="0"/>
                <w:bCs w:val="0"/>
                <w:noProof/>
                <w:webHidden/>
                <w:sz w:val="22"/>
                <w:szCs w:val="22"/>
              </w:rPr>
              <w:fldChar w:fldCharType="end"/>
            </w:r>
          </w:hyperlink>
        </w:p>
        <w:p w14:paraId="0886512D" w14:textId="11201C76" w:rsidR="000674EF" w:rsidRPr="00B01850" w:rsidRDefault="000674EF">
          <w:r w:rsidRPr="00E152C6">
            <w:rPr>
              <w:rFonts w:ascii="Arial" w:hAnsi="Arial" w:cs="Arial"/>
            </w:rPr>
            <w:fldChar w:fldCharType="end"/>
          </w:r>
        </w:p>
      </w:sdtContent>
    </w:sdt>
    <w:p w14:paraId="5265040B" w14:textId="77777777" w:rsidR="000674EF" w:rsidRPr="00B01850" w:rsidRDefault="000674EF">
      <w:pPr>
        <w:rPr>
          <w:rFonts w:ascii="Arial" w:hAnsi="Arial" w:cs="Arial"/>
        </w:rPr>
      </w:pPr>
      <w:r w:rsidRPr="00B01850">
        <w:rPr>
          <w:rFonts w:ascii="Arial" w:hAnsi="Arial" w:cs="Arial"/>
        </w:rPr>
        <w:br w:type="page"/>
      </w:r>
    </w:p>
    <w:tbl>
      <w:tblPr>
        <w:tblStyle w:val="TableGrid"/>
        <w:tblW w:w="0" w:type="auto"/>
        <w:tblLook w:val="04A0" w:firstRow="1" w:lastRow="0" w:firstColumn="1" w:lastColumn="0" w:noHBand="0" w:noVBand="1"/>
      </w:tblPr>
      <w:tblGrid>
        <w:gridCol w:w="1525"/>
        <w:gridCol w:w="7825"/>
      </w:tblGrid>
      <w:tr w:rsidR="000674EF" w:rsidRPr="002F6E4A" w14:paraId="075BB65B" w14:textId="77777777" w:rsidTr="005D3F66">
        <w:trPr>
          <w:trHeight w:val="432"/>
        </w:trPr>
        <w:tc>
          <w:tcPr>
            <w:tcW w:w="9350" w:type="dxa"/>
            <w:gridSpan w:val="2"/>
            <w:shd w:val="clear" w:color="auto" w:fill="FDE9D9" w:themeFill="accent6" w:themeFillTint="33"/>
            <w:vAlign w:val="center"/>
          </w:tcPr>
          <w:p w14:paraId="7CEC112C" w14:textId="2F173562" w:rsidR="000674EF" w:rsidRPr="002F6E4A" w:rsidRDefault="000674EF" w:rsidP="000674EF">
            <w:pPr>
              <w:jc w:val="center"/>
              <w:rPr>
                <w:rFonts w:ascii="Arial" w:hAnsi="Arial" w:cs="Arial"/>
                <w:b/>
                <w:bCs/>
                <w:sz w:val="22"/>
                <w:szCs w:val="22"/>
              </w:rPr>
            </w:pPr>
            <w:r w:rsidRPr="002F6E4A">
              <w:rPr>
                <w:rFonts w:ascii="Arial" w:hAnsi="Arial" w:cs="Arial"/>
                <w:b/>
                <w:bCs/>
                <w:sz w:val="22"/>
                <w:szCs w:val="22"/>
              </w:rPr>
              <w:lastRenderedPageBreak/>
              <w:t>Liste des sigles et abréviations</w:t>
            </w:r>
          </w:p>
        </w:tc>
      </w:tr>
      <w:tr w:rsidR="00F05B22" w:rsidRPr="00B01850" w14:paraId="23DAEFD7" w14:textId="77777777" w:rsidTr="00DC4959">
        <w:tc>
          <w:tcPr>
            <w:tcW w:w="1525" w:type="dxa"/>
            <w:vAlign w:val="center"/>
          </w:tcPr>
          <w:p w14:paraId="3165A01C" w14:textId="77777777" w:rsidR="00F05B22" w:rsidRPr="00DC4959" w:rsidRDefault="00F05B22">
            <w:pPr>
              <w:rPr>
                <w:rFonts w:ascii="Arial" w:hAnsi="Arial" w:cs="Arial"/>
                <w:b/>
                <w:bCs/>
              </w:rPr>
            </w:pPr>
            <w:r w:rsidRPr="00DC4959">
              <w:rPr>
                <w:rFonts w:ascii="Arial" w:hAnsi="Arial" w:cs="Arial"/>
                <w:b/>
                <w:bCs/>
              </w:rPr>
              <w:t>ANGUCH</w:t>
            </w:r>
          </w:p>
        </w:tc>
        <w:tc>
          <w:tcPr>
            <w:tcW w:w="7825" w:type="dxa"/>
          </w:tcPr>
          <w:p w14:paraId="22BC10BD" w14:textId="77777777" w:rsidR="00F05B22" w:rsidRPr="00B01850" w:rsidRDefault="00F05B22">
            <w:pPr>
              <w:rPr>
                <w:rFonts w:ascii="Arial" w:hAnsi="Arial" w:cs="Arial"/>
              </w:rPr>
            </w:pPr>
            <w:r w:rsidRPr="00B01850">
              <w:rPr>
                <w:rFonts w:ascii="Arial" w:hAnsi="Arial" w:cs="Arial"/>
              </w:rPr>
              <w:t>Agence Nationale de Gestion des Urgences et des Catastrophes Humanitaires</w:t>
            </w:r>
          </w:p>
        </w:tc>
      </w:tr>
      <w:tr w:rsidR="00F05B22" w:rsidRPr="00B01850" w14:paraId="0ED737D6" w14:textId="77777777" w:rsidTr="00DC4959">
        <w:tc>
          <w:tcPr>
            <w:tcW w:w="1525" w:type="dxa"/>
            <w:vAlign w:val="center"/>
          </w:tcPr>
          <w:p w14:paraId="212FC208" w14:textId="77777777" w:rsidR="00F05B22" w:rsidRPr="00DC4959" w:rsidRDefault="00F05B22">
            <w:pPr>
              <w:rPr>
                <w:rFonts w:ascii="Arial" w:hAnsi="Arial" w:cs="Arial"/>
                <w:b/>
                <w:bCs/>
              </w:rPr>
            </w:pPr>
            <w:r w:rsidRPr="00DC4959">
              <w:rPr>
                <w:rFonts w:ascii="Arial" w:hAnsi="Arial" w:cs="Arial"/>
                <w:b/>
                <w:bCs/>
              </w:rPr>
              <w:t>ANIES</w:t>
            </w:r>
          </w:p>
        </w:tc>
        <w:tc>
          <w:tcPr>
            <w:tcW w:w="7825" w:type="dxa"/>
          </w:tcPr>
          <w:p w14:paraId="403365DA" w14:textId="77777777" w:rsidR="00F05B22" w:rsidRPr="00B01850" w:rsidRDefault="00F05B22">
            <w:pPr>
              <w:rPr>
                <w:rFonts w:ascii="Arial" w:hAnsi="Arial" w:cs="Arial"/>
              </w:rPr>
            </w:pPr>
            <w:r w:rsidRPr="00B01850">
              <w:rPr>
                <w:rFonts w:ascii="Arial" w:hAnsi="Arial" w:cs="Arial"/>
              </w:rPr>
              <w:t>Agence Nationale pour l'Inclusion Économique et Sociale</w:t>
            </w:r>
          </w:p>
        </w:tc>
      </w:tr>
      <w:tr w:rsidR="00F05B22" w:rsidRPr="00B01850" w14:paraId="072AD6B9" w14:textId="77777777" w:rsidTr="00DC4959">
        <w:tc>
          <w:tcPr>
            <w:tcW w:w="1525" w:type="dxa"/>
            <w:vAlign w:val="center"/>
          </w:tcPr>
          <w:p w14:paraId="7185C5D6" w14:textId="77777777" w:rsidR="00F05B22" w:rsidRPr="00DC4959" w:rsidRDefault="00F05B22">
            <w:pPr>
              <w:rPr>
                <w:rFonts w:ascii="Arial" w:hAnsi="Arial" w:cs="Arial"/>
                <w:b/>
                <w:bCs/>
              </w:rPr>
            </w:pPr>
            <w:r w:rsidRPr="00DC4959">
              <w:rPr>
                <w:rFonts w:ascii="Arial" w:hAnsi="Arial" w:cs="Arial"/>
                <w:b/>
                <w:bCs/>
              </w:rPr>
              <w:t>ANM</w:t>
            </w:r>
          </w:p>
        </w:tc>
        <w:tc>
          <w:tcPr>
            <w:tcW w:w="7825" w:type="dxa"/>
          </w:tcPr>
          <w:p w14:paraId="34038C51" w14:textId="77777777" w:rsidR="00F05B22" w:rsidRPr="00B01850" w:rsidRDefault="00F05B22">
            <w:pPr>
              <w:rPr>
                <w:rFonts w:ascii="Arial" w:hAnsi="Arial" w:cs="Arial"/>
              </w:rPr>
            </w:pPr>
            <w:r w:rsidRPr="00B01850">
              <w:rPr>
                <w:rFonts w:ascii="Arial" w:hAnsi="Arial" w:cs="Arial"/>
              </w:rPr>
              <w:t>Agence Nationale de Météorologie</w:t>
            </w:r>
          </w:p>
        </w:tc>
      </w:tr>
      <w:tr w:rsidR="00F05B22" w:rsidRPr="00B01850" w14:paraId="46A9F309" w14:textId="77777777" w:rsidTr="00DC4959">
        <w:tc>
          <w:tcPr>
            <w:tcW w:w="1525" w:type="dxa"/>
            <w:vAlign w:val="center"/>
          </w:tcPr>
          <w:p w14:paraId="117C1BC6" w14:textId="77777777" w:rsidR="00F05B22" w:rsidRPr="00DC4959" w:rsidRDefault="00F05B22">
            <w:pPr>
              <w:rPr>
                <w:rFonts w:ascii="Arial" w:hAnsi="Arial" w:cs="Arial"/>
                <w:b/>
                <w:bCs/>
              </w:rPr>
            </w:pPr>
            <w:r w:rsidRPr="00DC4959">
              <w:rPr>
                <w:rFonts w:ascii="Arial" w:hAnsi="Arial" w:cs="Arial"/>
                <w:b/>
                <w:bCs/>
              </w:rPr>
              <w:t>ANSS</w:t>
            </w:r>
          </w:p>
        </w:tc>
        <w:tc>
          <w:tcPr>
            <w:tcW w:w="7825" w:type="dxa"/>
          </w:tcPr>
          <w:p w14:paraId="614246FB" w14:textId="77777777" w:rsidR="00F05B22" w:rsidRPr="00B01850" w:rsidRDefault="00F05B22">
            <w:pPr>
              <w:rPr>
                <w:rFonts w:ascii="Arial" w:hAnsi="Arial" w:cs="Arial"/>
              </w:rPr>
            </w:pPr>
            <w:r w:rsidRPr="00B01850">
              <w:rPr>
                <w:rFonts w:ascii="Arial" w:hAnsi="Arial" w:cs="Arial"/>
              </w:rPr>
              <w:t xml:space="preserve">Agence Nationale de Sécurité Sanitaire </w:t>
            </w:r>
          </w:p>
        </w:tc>
      </w:tr>
      <w:tr w:rsidR="00F05B22" w:rsidRPr="00B01850" w14:paraId="671BFAA2" w14:textId="77777777" w:rsidTr="00DC4959">
        <w:tc>
          <w:tcPr>
            <w:tcW w:w="1525" w:type="dxa"/>
            <w:vAlign w:val="center"/>
          </w:tcPr>
          <w:p w14:paraId="00DD70AC"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CCDR</w:t>
            </w:r>
          </w:p>
        </w:tc>
        <w:tc>
          <w:tcPr>
            <w:tcW w:w="7825" w:type="dxa"/>
          </w:tcPr>
          <w:p w14:paraId="4A382623" w14:textId="77777777" w:rsidR="00F05B22" w:rsidRPr="00B01850" w:rsidRDefault="00F05B22" w:rsidP="004F0DAC">
            <w:pPr>
              <w:jc w:val="both"/>
              <w:rPr>
                <w:rFonts w:ascii="Arial" w:eastAsia="Aptos" w:hAnsi="Arial" w:cs="Arial"/>
                <w:kern w:val="2"/>
                <w14:ligatures w14:val="standardContextual"/>
              </w:rPr>
            </w:pPr>
            <w:r w:rsidRPr="00B01850">
              <w:rPr>
                <w:rFonts w:ascii="Arial" w:eastAsia="Aptos" w:hAnsi="Arial" w:cs="Arial"/>
                <w:kern w:val="2"/>
                <w14:ligatures w14:val="standardContextual"/>
              </w:rPr>
              <w:t xml:space="preserve">Rapport sur le Climat et le Développement du Pays </w:t>
            </w:r>
          </w:p>
        </w:tc>
      </w:tr>
      <w:tr w:rsidR="00F05B22" w:rsidRPr="00B01850" w14:paraId="30DAEBFD" w14:textId="77777777" w:rsidTr="00DC4959">
        <w:tc>
          <w:tcPr>
            <w:tcW w:w="1525" w:type="dxa"/>
            <w:vAlign w:val="center"/>
          </w:tcPr>
          <w:p w14:paraId="376B1010" w14:textId="77777777" w:rsidR="00F05B22" w:rsidRPr="00DC4959" w:rsidRDefault="00F05B22">
            <w:pPr>
              <w:rPr>
                <w:rFonts w:ascii="Arial" w:hAnsi="Arial" w:cs="Arial"/>
                <w:b/>
                <w:bCs/>
              </w:rPr>
            </w:pPr>
            <w:r w:rsidRPr="00DC4959">
              <w:rPr>
                <w:rFonts w:ascii="Arial" w:hAnsi="Arial" w:cs="Arial"/>
                <w:b/>
                <w:bCs/>
              </w:rPr>
              <w:t>CDN</w:t>
            </w:r>
          </w:p>
        </w:tc>
        <w:tc>
          <w:tcPr>
            <w:tcW w:w="7825" w:type="dxa"/>
          </w:tcPr>
          <w:p w14:paraId="21540F47" w14:textId="77777777" w:rsidR="00F05B22" w:rsidRPr="00B01850" w:rsidRDefault="00F05B22">
            <w:pPr>
              <w:rPr>
                <w:rFonts w:ascii="Arial" w:hAnsi="Arial" w:cs="Arial"/>
              </w:rPr>
            </w:pPr>
            <w:r w:rsidRPr="00B01850">
              <w:rPr>
                <w:rFonts w:ascii="Arial" w:hAnsi="Arial" w:cs="Arial"/>
                <w:spacing w:val="4"/>
                <w:sz w:val="22"/>
                <w:szCs w:val="22"/>
              </w:rPr>
              <w:t>Contribution Déterminée au Niveau National</w:t>
            </w:r>
          </w:p>
        </w:tc>
      </w:tr>
      <w:tr w:rsidR="00F05B22" w:rsidRPr="00B01850" w14:paraId="777D1231" w14:textId="77777777" w:rsidTr="00DC4959">
        <w:tc>
          <w:tcPr>
            <w:tcW w:w="1525" w:type="dxa"/>
            <w:vAlign w:val="center"/>
          </w:tcPr>
          <w:p w14:paraId="599C108A" w14:textId="77777777" w:rsidR="00F05B22" w:rsidRPr="00DC4959" w:rsidRDefault="00F05B22" w:rsidP="005337B3">
            <w:pPr>
              <w:rPr>
                <w:rFonts w:ascii="Arial" w:eastAsia="Aptos" w:hAnsi="Arial" w:cs="Arial"/>
                <w:b/>
                <w:bCs/>
                <w:kern w:val="2"/>
                <w14:ligatures w14:val="standardContextual"/>
              </w:rPr>
            </w:pPr>
            <w:r w:rsidRPr="00DC4959">
              <w:rPr>
                <w:rFonts w:ascii="Arial" w:eastAsia="SimSun" w:hAnsi="Arial" w:cs="Arial"/>
                <w:b/>
                <w:bCs/>
                <w:color w:val="000000"/>
                <w:kern w:val="2"/>
                <w14:ligatures w14:val="standardContextual"/>
              </w:rPr>
              <w:t>CEDEF</w:t>
            </w:r>
          </w:p>
        </w:tc>
        <w:tc>
          <w:tcPr>
            <w:tcW w:w="7825" w:type="dxa"/>
          </w:tcPr>
          <w:p w14:paraId="533370D9" w14:textId="77777777" w:rsidR="00F05B22" w:rsidRPr="00B01850" w:rsidRDefault="00F05B22" w:rsidP="004F0DAC">
            <w:pPr>
              <w:jc w:val="both"/>
              <w:rPr>
                <w:rFonts w:ascii="Arial" w:eastAsia="Aptos" w:hAnsi="Arial" w:cs="Arial"/>
                <w:kern w:val="2"/>
                <w14:ligatures w14:val="standardContextual"/>
              </w:rPr>
            </w:pPr>
            <w:r w:rsidRPr="00B01850">
              <w:rPr>
                <w:rFonts w:ascii="Arial" w:eastAsia="SimSun" w:hAnsi="Arial" w:cs="Arial"/>
                <w:color w:val="000000"/>
                <w:kern w:val="2"/>
                <w14:ligatures w14:val="standardContextual"/>
              </w:rPr>
              <w:t xml:space="preserve">Convention sur l’élimination de toutes les formes de discrimination à l’égard des femmes </w:t>
            </w:r>
          </w:p>
        </w:tc>
      </w:tr>
      <w:tr w:rsidR="00F05B22" w:rsidRPr="00B01850" w14:paraId="21DE7E5D" w14:textId="77777777" w:rsidTr="00DC4959">
        <w:tc>
          <w:tcPr>
            <w:tcW w:w="1525" w:type="dxa"/>
            <w:vAlign w:val="center"/>
          </w:tcPr>
          <w:p w14:paraId="142FC815" w14:textId="77777777" w:rsidR="00F05B22" w:rsidRPr="00DC4959" w:rsidRDefault="00F05B22">
            <w:pPr>
              <w:rPr>
                <w:rFonts w:ascii="Arial" w:hAnsi="Arial" w:cs="Arial"/>
                <w:b/>
                <w:bCs/>
              </w:rPr>
            </w:pPr>
            <w:r w:rsidRPr="00DC4959">
              <w:rPr>
                <w:rFonts w:ascii="Arial" w:hAnsi="Arial" w:cs="Arial"/>
                <w:b/>
                <w:bCs/>
              </w:rPr>
              <w:t>CENAGCUE</w:t>
            </w:r>
          </w:p>
        </w:tc>
        <w:tc>
          <w:tcPr>
            <w:tcW w:w="7825" w:type="dxa"/>
          </w:tcPr>
          <w:p w14:paraId="081B7EDC" w14:textId="77777777" w:rsidR="00F05B22" w:rsidRPr="00B01850" w:rsidRDefault="00F05B22">
            <w:pPr>
              <w:rPr>
                <w:rFonts w:ascii="Arial" w:hAnsi="Arial" w:cs="Arial"/>
              </w:rPr>
            </w:pPr>
            <w:r w:rsidRPr="00B01850">
              <w:rPr>
                <w:rFonts w:ascii="Arial" w:hAnsi="Arial" w:cs="Arial"/>
              </w:rPr>
              <w:t xml:space="preserve">Centre National de Gestion des Catastrophes et des Urgences Environnementales </w:t>
            </w:r>
          </w:p>
        </w:tc>
      </w:tr>
      <w:tr w:rsidR="00F05B22" w:rsidRPr="00B01850" w14:paraId="41C155D2" w14:textId="77777777" w:rsidTr="00DC4959">
        <w:tc>
          <w:tcPr>
            <w:tcW w:w="1525" w:type="dxa"/>
            <w:vAlign w:val="center"/>
          </w:tcPr>
          <w:p w14:paraId="6FA2715A" w14:textId="77777777" w:rsidR="00F05B22" w:rsidRPr="00DC4959" w:rsidRDefault="00F05B22">
            <w:pPr>
              <w:rPr>
                <w:rFonts w:ascii="Arial" w:hAnsi="Arial" w:cs="Arial"/>
                <w:b/>
                <w:bCs/>
                <w:sz w:val="22"/>
                <w:szCs w:val="22"/>
              </w:rPr>
            </w:pPr>
            <w:r w:rsidRPr="00DC4959">
              <w:rPr>
                <w:rFonts w:ascii="Arial" w:hAnsi="Arial" w:cs="Arial"/>
                <w:b/>
                <w:bCs/>
                <w:sz w:val="22"/>
                <w:szCs w:val="22"/>
              </w:rPr>
              <w:t>CERP</w:t>
            </w:r>
          </w:p>
        </w:tc>
        <w:tc>
          <w:tcPr>
            <w:tcW w:w="7825" w:type="dxa"/>
          </w:tcPr>
          <w:p w14:paraId="45E3730B" w14:textId="77777777" w:rsidR="00F05B22" w:rsidRPr="00604112" w:rsidRDefault="00F05B22">
            <w:pPr>
              <w:rPr>
                <w:rFonts w:ascii="Arial" w:hAnsi="Arial" w:cs="Arial"/>
                <w:sz w:val="22"/>
                <w:szCs w:val="22"/>
              </w:rPr>
            </w:pPr>
            <w:r w:rsidRPr="00604112">
              <w:rPr>
                <w:rFonts w:ascii="Arial" w:hAnsi="Arial" w:cs="Arial"/>
                <w:sz w:val="22"/>
                <w:szCs w:val="22"/>
              </w:rPr>
              <w:t>Projet De Réponse D'urgence Contingente</w:t>
            </w:r>
          </w:p>
        </w:tc>
      </w:tr>
      <w:tr w:rsidR="00F05B22" w:rsidRPr="00B01850" w14:paraId="1C4B7656" w14:textId="77777777" w:rsidTr="00DC4959">
        <w:tc>
          <w:tcPr>
            <w:tcW w:w="1525" w:type="dxa"/>
            <w:vAlign w:val="center"/>
          </w:tcPr>
          <w:p w14:paraId="3106378D" w14:textId="77777777" w:rsidR="00F05B22" w:rsidRPr="00DC4959" w:rsidRDefault="00F05B22">
            <w:pPr>
              <w:rPr>
                <w:rFonts w:ascii="Arial" w:hAnsi="Arial" w:cs="Arial"/>
                <w:b/>
                <w:bCs/>
                <w:sz w:val="22"/>
                <w:szCs w:val="22"/>
              </w:rPr>
            </w:pPr>
            <w:r w:rsidRPr="00DC4959">
              <w:rPr>
                <w:rFonts w:ascii="Arial" w:hAnsi="Arial" w:cs="Arial"/>
                <w:b/>
                <w:bCs/>
                <w:sz w:val="22"/>
                <w:szCs w:val="22"/>
              </w:rPr>
              <w:t>CES</w:t>
            </w:r>
          </w:p>
        </w:tc>
        <w:tc>
          <w:tcPr>
            <w:tcW w:w="7825" w:type="dxa"/>
          </w:tcPr>
          <w:p w14:paraId="568DE307" w14:textId="77777777" w:rsidR="00F05B22" w:rsidRPr="00B01850" w:rsidRDefault="00F05B22">
            <w:pPr>
              <w:rPr>
                <w:rFonts w:ascii="Arial" w:hAnsi="Arial" w:cs="Arial"/>
                <w:sz w:val="22"/>
                <w:szCs w:val="22"/>
              </w:rPr>
            </w:pPr>
            <w:r>
              <w:rPr>
                <w:rFonts w:ascii="Arial" w:hAnsi="Arial" w:cs="Arial"/>
                <w:sz w:val="22"/>
                <w:szCs w:val="22"/>
              </w:rPr>
              <w:t xml:space="preserve">Cadre Environnemental Social </w:t>
            </w:r>
          </w:p>
        </w:tc>
      </w:tr>
      <w:tr w:rsidR="00F05B22" w:rsidRPr="00B01850" w14:paraId="1EA4F20A" w14:textId="77777777" w:rsidTr="00DC4959">
        <w:tc>
          <w:tcPr>
            <w:tcW w:w="1525" w:type="dxa"/>
            <w:vAlign w:val="center"/>
          </w:tcPr>
          <w:p w14:paraId="16077F36" w14:textId="77777777" w:rsidR="00F05B22" w:rsidRPr="00DC4959" w:rsidRDefault="00F05B22">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CNGC</w:t>
            </w:r>
          </w:p>
        </w:tc>
        <w:tc>
          <w:tcPr>
            <w:tcW w:w="7825" w:type="dxa"/>
          </w:tcPr>
          <w:p w14:paraId="38A7F669" w14:textId="77777777" w:rsidR="00F05B22" w:rsidRPr="00B01850" w:rsidRDefault="00F05B22">
            <w:pPr>
              <w:rPr>
                <w:rFonts w:ascii="Arial" w:eastAsia="Aptos" w:hAnsi="Arial" w:cs="Arial"/>
                <w:kern w:val="2"/>
                <w14:ligatures w14:val="standardContextual"/>
              </w:rPr>
            </w:pPr>
            <w:r w:rsidRPr="00B01850">
              <w:rPr>
                <w:rFonts w:ascii="Arial" w:eastAsia="Aptos" w:hAnsi="Arial" w:cs="Arial"/>
                <w:kern w:val="2"/>
                <w14:ligatures w14:val="standardContextual"/>
              </w:rPr>
              <w:t xml:space="preserve">Comité National de Gestion des Catastrophes </w:t>
            </w:r>
          </w:p>
        </w:tc>
      </w:tr>
      <w:tr w:rsidR="00F05B22" w:rsidRPr="00B01850" w14:paraId="60F6BA40" w14:textId="77777777" w:rsidTr="00DC4959">
        <w:tc>
          <w:tcPr>
            <w:tcW w:w="1525" w:type="dxa"/>
            <w:vAlign w:val="center"/>
          </w:tcPr>
          <w:p w14:paraId="38E61F95"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CPF</w:t>
            </w:r>
          </w:p>
        </w:tc>
        <w:tc>
          <w:tcPr>
            <w:tcW w:w="7825" w:type="dxa"/>
          </w:tcPr>
          <w:p w14:paraId="6F566893" w14:textId="77777777" w:rsidR="00F05B22" w:rsidRPr="00B01850" w:rsidRDefault="00F05B22">
            <w:pPr>
              <w:rPr>
                <w:rFonts w:ascii="Arial" w:eastAsia="Aptos" w:hAnsi="Arial" w:cs="Arial"/>
                <w:kern w:val="2"/>
                <w14:ligatures w14:val="standardContextual"/>
              </w:rPr>
            </w:pPr>
            <w:r w:rsidRPr="00B01850">
              <w:rPr>
                <w:rFonts w:ascii="Arial" w:eastAsia="Aptos" w:hAnsi="Arial" w:cs="Arial"/>
                <w:kern w:val="2"/>
                <w14:ligatures w14:val="standardContextual"/>
              </w:rPr>
              <w:t xml:space="preserve">Cadre de Partenariat Pays </w:t>
            </w:r>
          </w:p>
        </w:tc>
      </w:tr>
      <w:tr w:rsidR="00F05B22" w:rsidRPr="00B01850" w14:paraId="1E88EBC6" w14:textId="77777777" w:rsidTr="00DC4959">
        <w:tc>
          <w:tcPr>
            <w:tcW w:w="1525" w:type="dxa"/>
            <w:vAlign w:val="center"/>
          </w:tcPr>
          <w:p w14:paraId="745403FC" w14:textId="77777777" w:rsidR="00F05B22" w:rsidRPr="00DC4959" w:rsidRDefault="00F05B22" w:rsidP="005337B3">
            <w:pPr>
              <w:rPr>
                <w:rFonts w:ascii="Arial" w:eastAsia="SimSun" w:hAnsi="Arial" w:cs="Arial"/>
                <w:b/>
                <w:bCs/>
                <w:color w:val="000000"/>
                <w:kern w:val="2"/>
                <w14:ligatures w14:val="standardContextual"/>
              </w:rPr>
            </w:pPr>
            <w:r w:rsidRPr="00DC4959">
              <w:rPr>
                <w:rFonts w:ascii="Arial" w:eastAsia="SimSun" w:hAnsi="Arial" w:cs="Arial"/>
                <w:b/>
                <w:bCs/>
                <w:color w:val="000000"/>
                <w:kern w:val="2"/>
                <w14:ligatures w14:val="standardContextual"/>
              </w:rPr>
              <w:t>CPP</w:t>
            </w:r>
          </w:p>
        </w:tc>
        <w:tc>
          <w:tcPr>
            <w:tcW w:w="7825" w:type="dxa"/>
          </w:tcPr>
          <w:p w14:paraId="5629D979" w14:textId="77777777" w:rsidR="00F05B22" w:rsidRPr="00B01850" w:rsidRDefault="00F05B22" w:rsidP="004F0DAC">
            <w:pPr>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Comité de Pilotage du Projet</w:t>
            </w:r>
          </w:p>
        </w:tc>
      </w:tr>
      <w:tr w:rsidR="00F05B22" w:rsidRPr="00B01850" w14:paraId="1D6D7895" w14:textId="77777777" w:rsidTr="00DC4959">
        <w:tc>
          <w:tcPr>
            <w:tcW w:w="1525" w:type="dxa"/>
            <w:vAlign w:val="center"/>
          </w:tcPr>
          <w:p w14:paraId="05C9C53A" w14:textId="77777777" w:rsidR="00F05B22" w:rsidRPr="00DC4959" w:rsidRDefault="00F05B22">
            <w:pPr>
              <w:rPr>
                <w:rFonts w:ascii="Arial" w:hAnsi="Arial" w:cs="Arial"/>
                <w:b/>
                <w:bCs/>
              </w:rPr>
            </w:pPr>
            <w:r w:rsidRPr="00DC4959">
              <w:rPr>
                <w:rFonts w:ascii="Arial" w:hAnsi="Arial" w:cs="Arial"/>
                <w:b/>
                <w:bCs/>
              </w:rPr>
              <w:t>CRG</w:t>
            </w:r>
          </w:p>
        </w:tc>
        <w:tc>
          <w:tcPr>
            <w:tcW w:w="7825" w:type="dxa"/>
          </w:tcPr>
          <w:p w14:paraId="28A001B0" w14:textId="77777777" w:rsidR="00F05B22" w:rsidRPr="00B01850" w:rsidRDefault="00F05B22">
            <w:pPr>
              <w:rPr>
                <w:rFonts w:ascii="Arial" w:hAnsi="Arial" w:cs="Arial"/>
              </w:rPr>
            </w:pPr>
            <w:r w:rsidRPr="00B01850">
              <w:rPr>
                <w:rFonts w:ascii="Arial" w:hAnsi="Arial" w:cs="Arial"/>
              </w:rPr>
              <w:t xml:space="preserve">Croix-Rouge Guinéenne </w:t>
            </w:r>
          </w:p>
        </w:tc>
      </w:tr>
      <w:tr w:rsidR="00F05B22" w:rsidRPr="00B01850" w14:paraId="6FFF63C5" w14:textId="77777777" w:rsidTr="00DC4959">
        <w:tc>
          <w:tcPr>
            <w:tcW w:w="1525" w:type="dxa"/>
            <w:vAlign w:val="center"/>
          </w:tcPr>
          <w:p w14:paraId="0BB7B616" w14:textId="77777777" w:rsidR="00F05B22" w:rsidRPr="00DC4959" w:rsidRDefault="00F05B22">
            <w:pPr>
              <w:rPr>
                <w:rFonts w:ascii="Arial" w:hAnsi="Arial" w:cs="Arial"/>
                <w:b/>
                <w:bCs/>
                <w:sz w:val="22"/>
                <w:szCs w:val="22"/>
              </w:rPr>
            </w:pPr>
            <w:r w:rsidRPr="00DC4959">
              <w:rPr>
                <w:rFonts w:ascii="Arial" w:hAnsi="Arial" w:cs="Arial"/>
                <w:b/>
                <w:bCs/>
                <w:sz w:val="22"/>
                <w:szCs w:val="22"/>
              </w:rPr>
              <w:t>DESS</w:t>
            </w:r>
          </w:p>
        </w:tc>
        <w:tc>
          <w:tcPr>
            <w:tcW w:w="7825" w:type="dxa"/>
          </w:tcPr>
          <w:p w14:paraId="21D1282F" w14:textId="77777777" w:rsidR="00F05B22" w:rsidRPr="00B01850" w:rsidRDefault="00F05B22">
            <w:pPr>
              <w:rPr>
                <w:rFonts w:ascii="Arial" w:hAnsi="Arial" w:cs="Arial"/>
                <w:sz w:val="22"/>
                <w:szCs w:val="22"/>
              </w:rPr>
            </w:pPr>
            <w:r>
              <w:rPr>
                <w:rFonts w:ascii="Arial" w:hAnsi="Arial" w:cs="Arial"/>
                <w:sz w:val="22"/>
                <w:szCs w:val="22"/>
              </w:rPr>
              <w:t>Directive Environnementale Sécuritaire et Sanitaire</w:t>
            </w:r>
          </w:p>
        </w:tc>
      </w:tr>
      <w:tr w:rsidR="00F05B22" w:rsidRPr="00B01850" w14:paraId="3DC0F36F" w14:textId="77777777" w:rsidTr="00DC4959">
        <w:tc>
          <w:tcPr>
            <w:tcW w:w="1525" w:type="dxa"/>
            <w:vAlign w:val="center"/>
          </w:tcPr>
          <w:p w14:paraId="33A36E75" w14:textId="77777777" w:rsidR="00F05B22" w:rsidRPr="00DC4959" w:rsidRDefault="00F05B22">
            <w:pPr>
              <w:rPr>
                <w:rFonts w:ascii="Arial" w:hAnsi="Arial" w:cs="Arial"/>
                <w:b/>
                <w:bCs/>
              </w:rPr>
            </w:pPr>
            <w:r w:rsidRPr="00DC4959">
              <w:rPr>
                <w:rFonts w:ascii="Arial" w:hAnsi="Arial" w:cs="Arial"/>
                <w:b/>
                <w:bCs/>
              </w:rPr>
              <w:t>DGPC</w:t>
            </w:r>
          </w:p>
        </w:tc>
        <w:tc>
          <w:tcPr>
            <w:tcW w:w="7825" w:type="dxa"/>
          </w:tcPr>
          <w:p w14:paraId="1FD15BF1" w14:textId="77777777" w:rsidR="00F05B22" w:rsidRPr="00B01850" w:rsidRDefault="00F05B22">
            <w:pPr>
              <w:rPr>
                <w:rFonts w:ascii="Arial" w:hAnsi="Arial" w:cs="Arial"/>
              </w:rPr>
            </w:pPr>
            <w:r w:rsidRPr="00B01850">
              <w:rPr>
                <w:rFonts w:ascii="Arial" w:hAnsi="Arial" w:cs="Arial"/>
              </w:rPr>
              <w:t>Direction Générale de la Protection Civile</w:t>
            </w:r>
          </w:p>
        </w:tc>
      </w:tr>
      <w:tr w:rsidR="00F05B22" w:rsidRPr="00B01850" w14:paraId="09F13842" w14:textId="77777777" w:rsidTr="00DC4959">
        <w:tc>
          <w:tcPr>
            <w:tcW w:w="1525" w:type="dxa"/>
            <w:vAlign w:val="center"/>
          </w:tcPr>
          <w:p w14:paraId="2E47BCB9" w14:textId="77777777" w:rsidR="00F05B22" w:rsidRPr="00DC4959" w:rsidRDefault="00F05B22">
            <w:pPr>
              <w:rPr>
                <w:rFonts w:ascii="Arial" w:hAnsi="Arial" w:cs="Arial"/>
                <w:b/>
                <w:bCs/>
              </w:rPr>
            </w:pPr>
            <w:r w:rsidRPr="00DC4959">
              <w:rPr>
                <w:rFonts w:ascii="Arial" w:hAnsi="Arial" w:cs="Arial"/>
                <w:b/>
                <w:bCs/>
              </w:rPr>
              <w:t>DNH</w:t>
            </w:r>
          </w:p>
        </w:tc>
        <w:tc>
          <w:tcPr>
            <w:tcW w:w="7825" w:type="dxa"/>
          </w:tcPr>
          <w:p w14:paraId="111FBF0E" w14:textId="77777777" w:rsidR="00F05B22" w:rsidRPr="00B01850" w:rsidRDefault="00F05B22">
            <w:pPr>
              <w:rPr>
                <w:rFonts w:ascii="Arial" w:hAnsi="Arial" w:cs="Arial"/>
              </w:rPr>
            </w:pPr>
            <w:r w:rsidRPr="00B01850">
              <w:rPr>
                <w:rFonts w:ascii="Arial" w:hAnsi="Arial" w:cs="Arial"/>
              </w:rPr>
              <w:t xml:space="preserve">Direction Nationale de l'Hydrologie </w:t>
            </w:r>
          </w:p>
        </w:tc>
      </w:tr>
      <w:tr w:rsidR="00F05B22" w:rsidRPr="00B01850" w14:paraId="675000EE" w14:textId="77777777" w:rsidTr="00DC4959">
        <w:tc>
          <w:tcPr>
            <w:tcW w:w="1525" w:type="dxa"/>
            <w:vAlign w:val="center"/>
          </w:tcPr>
          <w:p w14:paraId="0607E9FD"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EIES</w:t>
            </w:r>
          </w:p>
        </w:tc>
        <w:tc>
          <w:tcPr>
            <w:tcW w:w="7825" w:type="dxa"/>
          </w:tcPr>
          <w:p w14:paraId="78A83040" w14:textId="77777777" w:rsidR="00F05B22" w:rsidRPr="00B01850" w:rsidRDefault="00F05B22" w:rsidP="004F0DAC">
            <w:pPr>
              <w:jc w:val="both"/>
              <w:rPr>
                <w:rFonts w:ascii="Arial" w:eastAsia="Aptos" w:hAnsi="Arial" w:cs="Arial"/>
                <w:kern w:val="2"/>
                <w14:ligatures w14:val="standardContextual"/>
              </w:rPr>
            </w:pPr>
            <w:r w:rsidRPr="00B01850">
              <w:rPr>
                <w:rFonts w:ascii="Arial" w:eastAsia="Aptos" w:hAnsi="Arial" w:cs="Arial"/>
                <w:kern w:val="2"/>
                <w14:ligatures w14:val="standardContextual"/>
              </w:rPr>
              <w:t>Etude d’Impact Environnemental et Social</w:t>
            </w:r>
          </w:p>
        </w:tc>
      </w:tr>
      <w:tr w:rsidR="00F05B22" w:rsidRPr="00B01850" w14:paraId="563CBF3A" w14:textId="77777777" w:rsidTr="00DC4959">
        <w:tc>
          <w:tcPr>
            <w:tcW w:w="1525" w:type="dxa"/>
            <w:vAlign w:val="center"/>
          </w:tcPr>
          <w:p w14:paraId="0340AA11" w14:textId="77777777" w:rsidR="00F05B22" w:rsidRPr="00DC4959" w:rsidRDefault="00F05B22" w:rsidP="005337B3">
            <w:pPr>
              <w:rPr>
                <w:rFonts w:ascii="Arial" w:eastAsia="SimSun" w:hAnsi="Arial" w:cs="Arial"/>
                <w:b/>
                <w:bCs/>
                <w:color w:val="000000"/>
                <w:kern w:val="2"/>
                <w14:ligatures w14:val="standardContextual"/>
              </w:rPr>
            </w:pPr>
            <w:r w:rsidRPr="00DC4959">
              <w:rPr>
                <w:rFonts w:ascii="Arial" w:hAnsi="Arial" w:cs="Arial"/>
                <w:b/>
                <w:bCs/>
              </w:rPr>
              <w:t>EPI</w:t>
            </w:r>
          </w:p>
        </w:tc>
        <w:tc>
          <w:tcPr>
            <w:tcW w:w="7825" w:type="dxa"/>
          </w:tcPr>
          <w:p w14:paraId="62C90E76" w14:textId="77777777" w:rsidR="00F05B22" w:rsidRPr="00B01850" w:rsidRDefault="00F05B22" w:rsidP="004F0DAC">
            <w:pPr>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Equipement de Protection Individuel</w:t>
            </w:r>
          </w:p>
        </w:tc>
      </w:tr>
      <w:tr w:rsidR="00F05B22" w:rsidRPr="00B01850" w14:paraId="0259B1B9" w14:textId="77777777" w:rsidTr="00DC4959">
        <w:tc>
          <w:tcPr>
            <w:tcW w:w="1525" w:type="dxa"/>
            <w:vAlign w:val="center"/>
          </w:tcPr>
          <w:p w14:paraId="7380F64C" w14:textId="77777777" w:rsidR="00F05B22" w:rsidRPr="00DC4959" w:rsidRDefault="00F05B22">
            <w:pPr>
              <w:rPr>
                <w:rFonts w:ascii="Arial" w:hAnsi="Arial" w:cs="Arial"/>
                <w:b/>
                <w:bCs/>
              </w:rPr>
            </w:pPr>
            <w:r w:rsidRPr="00DC4959">
              <w:rPr>
                <w:rFonts w:ascii="Arial" w:hAnsi="Arial" w:cs="Arial"/>
                <w:b/>
                <w:bCs/>
              </w:rPr>
              <w:t>FDSI</w:t>
            </w:r>
          </w:p>
        </w:tc>
        <w:tc>
          <w:tcPr>
            <w:tcW w:w="7825" w:type="dxa"/>
          </w:tcPr>
          <w:p w14:paraId="3575C6D5" w14:textId="77777777" w:rsidR="00F05B22" w:rsidRPr="00B01850" w:rsidRDefault="00F05B22">
            <w:pPr>
              <w:rPr>
                <w:rFonts w:ascii="Arial" w:hAnsi="Arial" w:cs="Arial"/>
              </w:rPr>
            </w:pPr>
            <w:r w:rsidRPr="00B01850">
              <w:rPr>
                <w:rFonts w:ascii="Arial" w:hAnsi="Arial" w:cs="Arial"/>
              </w:rPr>
              <w:t xml:space="preserve">Fonds de Développement Social et d'Indigence </w:t>
            </w:r>
          </w:p>
        </w:tc>
      </w:tr>
      <w:tr w:rsidR="00F05B22" w:rsidRPr="00B01850" w14:paraId="0B234EA5" w14:textId="77777777" w:rsidTr="00DC4959">
        <w:tc>
          <w:tcPr>
            <w:tcW w:w="1525" w:type="dxa"/>
            <w:vAlign w:val="center"/>
          </w:tcPr>
          <w:p w14:paraId="4603BF9A" w14:textId="77777777" w:rsidR="00F05B22" w:rsidRPr="00B30487" w:rsidRDefault="00F05B22" w:rsidP="005337B3">
            <w:pPr>
              <w:rPr>
                <w:rFonts w:ascii="Arial" w:eastAsia="Aptos" w:hAnsi="Arial" w:cs="Arial"/>
                <w:b/>
                <w:bCs/>
                <w:kern w:val="2"/>
                <w14:ligatures w14:val="standardContextual"/>
              </w:rPr>
            </w:pPr>
            <w:r w:rsidRPr="00B30487">
              <w:rPr>
                <w:rFonts w:ascii="Arial" w:eastAsia="Aptos" w:hAnsi="Arial" w:cs="Arial"/>
                <w:b/>
                <w:bCs/>
                <w:kern w:val="2"/>
                <w14:ligatures w14:val="standardContextual"/>
              </w:rPr>
              <w:t>FDSI</w:t>
            </w:r>
          </w:p>
        </w:tc>
        <w:tc>
          <w:tcPr>
            <w:tcW w:w="7825" w:type="dxa"/>
          </w:tcPr>
          <w:p w14:paraId="18DA5609" w14:textId="0B8AA18A" w:rsidR="00F05B22" w:rsidRPr="00B01850" w:rsidRDefault="00B30487">
            <w:pPr>
              <w:rPr>
                <w:rFonts w:ascii="Arial" w:eastAsia="Aptos" w:hAnsi="Arial" w:cs="Arial"/>
                <w:kern w:val="2"/>
                <w14:ligatures w14:val="standardContextual"/>
              </w:rPr>
            </w:pPr>
            <w:r>
              <w:rPr>
                <w:rFonts w:ascii="Arial" w:eastAsia="Aptos" w:hAnsi="Arial" w:cs="Arial"/>
                <w:kern w:val="2"/>
                <w14:ligatures w14:val="standardContextual"/>
              </w:rPr>
              <w:t>Fonds de Développement Social et de l’Indigence</w:t>
            </w:r>
          </w:p>
        </w:tc>
      </w:tr>
      <w:tr w:rsidR="00F05B22" w:rsidRPr="00B01850" w14:paraId="5B3033E0" w14:textId="77777777" w:rsidTr="00DC4959">
        <w:tc>
          <w:tcPr>
            <w:tcW w:w="1525" w:type="dxa"/>
            <w:vAlign w:val="center"/>
          </w:tcPr>
          <w:p w14:paraId="648CCC55" w14:textId="77777777" w:rsidR="00F05B22" w:rsidRPr="00DC4959" w:rsidRDefault="00F05B22">
            <w:pPr>
              <w:rPr>
                <w:rFonts w:ascii="Arial" w:hAnsi="Arial" w:cs="Arial"/>
                <w:b/>
                <w:bCs/>
              </w:rPr>
            </w:pPr>
            <w:r w:rsidRPr="00DC4959">
              <w:rPr>
                <w:rFonts w:ascii="Arial" w:hAnsi="Arial" w:cs="Arial"/>
                <w:b/>
                <w:bCs/>
              </w:rPr>
              <w:t>FEM</w:t>
            </w:r>
          </w:p>
        </w:tc>
        <w:tc>
          <w:tcPr>
            <w:tcW w:w="7825" w:type="dxa"/>
          </w:tcPr>
          <w:p w14:paraId="0887C228" w14:textId="77777777" w:rsidR="00F05B22" w:rsidRPr="00B01850" w:rsidRDefault="00F05B22">
            <w:pPr>
              <w:rPr>
                <w:rFonts w:ascii="Arial" w:hAnsi="Arial" w:cs="Arial"/>
              </w:rPr>
            </w:pPr>
            <w:r>
              <w:rPr>
                <w:rFonts w:ascii="Arial" w:hAnsi="Arial" w:cs="Arial"/>
              </w:rPr>
              <w:t>Fonds pour l’Environnement Mondial</w:t>
            </w:r>
          </w:p>
        </w:tc>
      </w:tr>
      <w:tr w:rsidR="00F05B22" w:rsidRPr="00B01850" w14:paraId="78728CED" w14:textId="77777777" w:rsidTr="00DC4959">
        <w:tc>
          <w:tcPr>
            <w:tcW w:w="1525" w:type="dxa"/>
            <w:vAlign w:val="center"/>
          </w:tcPr>
          <w:p w14:paraId="6342ECD1"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FNRRC</w:t>
            </w:r>
          </w:p>
        </w:tc>
        <w:tc>
          <w:tcPr>
            <w:tcW w:w="7825" w:type="dxa"/>
          </w:tcPr>
          <w:p w14:paraId="198402F7" w14:textId="77777777" w:rsidR="00F05B22" w:rsidRPr="00B01850" w:rsidRDefault="00F05B22">
            <w:pPr>
              <w:rPr>
                <w:rFonts w:ascii="Arial" w:eastAsia="Aptos" w:hAnsi="Arial" w:cs="Arial"/>
                <w:kern w:val="2"/>
                <w14:ligatures w14:val="standardContextual"/>
              </w:rPr>
            </w:pPr>
            <w:r w:rsidRPr="00B01850">
              <w:rPr>
                <w:rFonts w:ascii="Arial" w:eastAsia="Aptos" w:hAnsi="Arial" w:cs="Arial"/>
                <w:kern w:val="2"/>
                <w14:ligatures w14:val="standardContextual"/>
              </w:rPr>
              <w:t>Fonds National de Réduction des Risques de Catastrophes</w:t>
            </w:r>
          </w:p>
        </w:tc>
      </w:tr>
      <w:tr w:rsidR="00F05B22" w:rsidRPr="00B01850" w14:paraId="27D5C4A9" w14:textId="77777777" w:rsidTr="00DC4959">
        <w:tc>
          <w:tcPr>
            <w:tcW w:w="1525" w:type="dxa"/>
            <w:vAlign w:val="center"/>
          </w:tcPr>
          <w:p w14:paraId="5D956013"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INS</w:t>
            </w:r>
          </w:p>
        </w:tc>
        <w:tc>
          <w:tcPr>
            <w:tcW w:w="7825" w:type="dxa"/>
          </w:tcPr>
          <w:p w14:paraId="46939C08" w14:textId="77777777" w:rsidR="00F05B22" w:rsidRPr="00B01850" w:rsidRDefault="00F05B22" w:rsidP="004F0DAC">
            <w:pPr>
              <w:jc w:val="both"/>
              <w:rPr>
                <w:rFonts w:ascii="Arial" w:eastAsia="Aptos" w:hAnsi="Arial" w:cs="Arial"/>
                <w:kern w:val="2"/>
                <w14:ligatures w14:val="standardContextual"/>
              </w:rPr>
            </w:pPr>
            <w:r>
              <w:rPr>
                <w:rFonts w:ascii="Arial" w:eastAsia="Aptos" w:hAnsi="Arial" w:cs="Arial"/>
                <w:kern w:val="2"/>
                <w14:ligatures w14:val="standardContextual"/>
              </w:rPr>
              <w:t>Institut National de la Statistique</w:t>
            </w:r>
          </w:p>
        </w:tc>
      </w:tr>
      <w:tr w:rsidR="00F05B22" w:rsidRPr="00B01850" w14:paraId="5B81DF92" w14:textId="77777777" w:rsidTr="00DC4959">
        <w:tc>
          <w:tcPr>
            <w:tcW w:w="1525" w:type="dxa"/>
            <w:vAlign w:val="center"/>
          </w:tcPr>
          <w:p w14:paraId="4EE6547F"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MEDD</w:t>
            </w:r>
          </w:p>
        </w:tc>
        <w:tc>
          <w:tcPr>
            <w:tcW w:w="7825" w:type="dxa"/>
          </w:tcPr>
          <w:p w14:paraId="75446274" w14:textId="77777777" w:rsidR="00F05B22" w:rsidRPr="00B01850" w:rsidRDefault="00F05B22">
            <w:pPr>
              <w:rPr>
                <w:rFonts w:ascii="Arial" w:eastAsia="Aptos" w:hAnsi="Arial" w:cs="Arial"/>
                <w:kern w:val="2"/>
                <w14:ligatures w14:val="standardContextual"/>
              </w:rPr>
            </w:pPr>
            <w:r>
              <w:rPr>
                <w:rFonts w:ascii="Arial" w:eastAsia="Aptos" w:hAnsi="Arial" w:cs="Arial"/>
                <w:kern w:val="2"/>
                <w14:ligatures w14:val="standardContextual"/>
              </w:rPr>
              <w:t>Ministère de l’Environnement et du Développement Durable</w:t>
            </w:r>
          </w:p>
        </w:tc>
      </w:tr>
      <w:tr w:rsidR="00F05B22" w:rsidRPr="00B01850" w14:paraId="45320559" w14:textId="77777777" w:rsidTr="00DC4959">
        <w:tc>
          <w:tcPr>
            <w:tcW w:w="1525" w:type="dxa"/>
            <w:vAlign w:val="center"/>
          </w:tcPr>
          <w:p w14:paraId="206ABF61" w14:textId="77777777" w:rsidR="00F05B22" w:rsidRPr="00DC4959" w:rsidRDefault="00F05B22" w:rsidP="005337B3">
            <w:pPr>
              <w:rPr>
                <w:rFonts w:ascii="Arial" w:eastAsia="SimSun" w:hAnsi="Arial" w:cs="Arial"/>
                <w:b/>
                <w:bCs/>
                <w:color w:val="000000"/>
                <w:kern w:val="2"/>
                <w14:ligatures w14:val="standardContextual"/>
              </w:rPr>
            </w:pPr>
            <w:r w:rsidRPr="00DC4959">
              <w:rPr>
                <w:rFonts w:ascii="Arial" w:eastAsia="SimSun" w:hAnsi="Arial" w:cs="Arial"/>
                <w:b/>
                <w:bCs/>
                <w:color w:val="000000"/>
                <w:kern w:val="2"/>
                <w14:ligatures w14:val="standardContextual"/>
              </w:rPr>
              <w:t>MEF</w:t>
            </w:r>
          </w:p>
        </w:tc>
        <w:tc>
          <w:tcPr>
            <w:tcW w:w="7825" w:type="dxa"/>
          </w:tcPr>
          <w:p w14:paraId="3A3CAFD3" w14:textId="77777777" w:rsidR="00F05B22" w:rsidRPr="00B01850" w:rsidRDefault="00F05B22" w:rsidP="004F0DAC">
            <w:pPr>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Ministère de l’Economie et des Finances</w:t>
            </w:r>
          </w:p>
        </w:tc>
      </w:tr>
      <w:tr w:rsidR="00F05B22" w:rsidRPr="00B01850" w14:paraId="1B8A3470" w14:textId="77777777" w:rsidTr="00DC4959">
        <w:tc>
          <w:tcPr>
            <w:tcW w:w="1525" w:type="dxa"/>
            <w:vAlign w:val="center"/>
          </w:tcPr>
          <w:p w14:paraId="2B03FD0D"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MEPU-A</w:t>
            </w:r>
          </w:p>
        </w:tc>
        <w:tc>
          <w:tcPr>
            <w:tcW w:w="7825" w:type="dxa"/>
          </w:tcPr>
          <w:p w14:paraId="530FADC5" w14:textId="77777777" w:rsidR="00F05B22" w:rsidRPr="00B01850" w:rsidRDefault="00F05B22" w:rsidP="004F0DAC">
            <w:pPr>
              <w:jc w:val="both"/>
              <w:rPr>
                <w:rFonts w:ascii="Arial" w:eastAsia="Aptos" w:hAnsi="Arial" w:cs="Arial"/>
                <w:kern w:val="2"/>
                <w14:ligatures w14:val="standardContextual"/>
              </w:rPr>
            </w:pPr>
            <w:r w:rsidRPr="00B01850">
              <w:rPr>
                <w:rFonts w:ascii="Arial" w:eastAsia="Aptos" w:hAnsi="Arial" w:cs="Arial"/>
                <w:kern w:val="2"/>
                <w14:ligatures w14:val="standardContextual"/>
              </w:rPr>
              <w:t>Ministère de l’Enseignement Pré Universitaire et de l’Alphabétisation</w:t>
            </w:r>
          </w:p>
        </w:tc>
      </w:tr>
      <w:tr w:rsidR="00F05B22" w:rsidRPr="00B01850" w14:paraId="0ADCFAE3" w14:textId="77777777" w:rsidTr="00DC4959">
        <w:tc>
          <w:tcPr>
            <w:tcW w:w="1525" w:type="dxa"/>
            <w:vAlign w:val="center"/>
          </w:tcPr>
          <w:p w14:paraId="200A664F" w14:textId="77777777" w:rsidR="00F05B22" w:rsidRPr="00DC4959" w:rsidRDefault="00F05B22" w:rsidP="005337B3">
            <w:pPr>
              <w:rPr>
                <w:rFonts w:ascii="Arial" w:eastAsia="SimSun" w:hAnsi="Arial" w:cs="Arial"/>
                <w:b/>
                <w:bCs/>
                <w:color w:val="000000"/>
                <w:kern w:val="2"/>
                <w14:ligatures w14:val="standardContextual"/>
              </w:rPr>
            </w:pPr>
            <w:r w:rsidRPr="00DC4959">
              <w:rPr>
                <w:rFonts w:ascii="Arial" w:eastAsia="SimSun" w:hAnsi="Arial" w:cs="Arial"/>
                <w:b/>
                <w:bCs/>
                <w:color w:val="000000"/>
                <w:kern w:val="2"/>
                <w14:ligatures w14:val="standardContextual"/>
              </w:rPr>
              <w:t>NES</w:t>
            </w:r>
          </w:p>
        </w:tc>
        <w:tc>
          <w:tcPr>
            <w:tcW w:w="7825" w:type="dxa"/>
          </w:tcPr>
          <w:p w14:paraId="4A03B253" w14:textId="77777777" w:rsidR="00F05B22" w:rsidRPr="00B01850" w:rsidRDefault="00F05B22" w:rsidP="004F0DAC">
            <w:pPr>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Normes Environnementales et Sociales</w:t>
            </w:r>
          </w:p>
        </w:tc>
      </w:tr>
      <w:tr w:rsidR="00F05B22" w:rsidRPr="00B01850" w14:paraId="5CE34237" w14:textId="77777777" w:rsidTr="00DC4959">
        <w:tc>
          <w:tcPr>
            <w:tcW w:w="1525" w:type="dxa"/>
            <w:vAlign w:val="center"/>
          </w:tcPr>
          <w:p w14:paraId="5A919D0C" w14:textId="77777777" w:rsidR="00F05B22" w:rsidRPr="00DC4959" w:rsidRDefault="00F05B22" w:rsidP="005337B3">
            <w:pPr>
              <w:rPr>
                <w:rFonts w:ascii="Arial" w:hAnsi="Arial" w:cs="Arial"/>
                <w:b/>
                <w:bCs/>
              </w:rPr>
            </w:pPr>
            <w:r w:rsidRPr="00DC4959">
              <w:rPr>
                <w:rFonts w:ascii="Arial" w:hAnsi="Arial" w:cs="Arial"/>
                <w:b/>
                <w:bCs/>
              </w:rPr>
              <w:t>OCP</w:t>
            </w:r>
          </w:p>
        </w:tc>
        <w:tc>
          <w:tcPr>
            <w:tcW w:w="7825" w:type="dxa"/>
          </w:tcPr>
          <w:p w14:paraId="1F42B33F" w14:textId="77777777" w:rsidR="00F05B22" w:rsidRPr="00B01850" w:rsidRDefault="00F05B22" w:rsidP="004F0DAC">
            <w:pPr>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Procédure de Contrôle d’Exploitation</w:t>
            </w:r>
          </w:p>
        </w:tc>
      </w:tr>
      <w:tr w:rsidR="00F05B22" w:rsidRPr="00B01850" w14:paraId="28104A43" w14:textId="77777777" w:rsidTr="00DC4959">
        <w:tc>
          <w:tcPr>
            <w:tcW w:w="1525" w:type="dxa"/>
            <w:vAlign w:val="center"/>
          </w:tcPr>
          <w:p w14:paraId="15701904"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ODD</w:t>
            </w:r>
          </w:p>
        </w:tc>
        <w:tc>
          <w:tcPr>
            <w:tcW w:w="7825" w:type="dxa"/>
          </w:tcPr>
          <w:p w14:paraId="087C6A8D" w14:textId="77777777" w:rsidR="00F05B22" w:rsidRPr="00B01850" w:rsidRDefault="00F05B22" w:rsidP="004F0DAC">
            <w:pPr>
              <w:jc w:val="both"/>
              <w:rPr>
                <w:rFonts w:ascii="Arial" w:eastAsia="Aptos" w:hAnsi="Arial" w:cs="Arial"/>
                <w:kern w:val="2"/>
                <w14:ligatures w14:val="standardContextual"/>
              </w:rPr>
            </w:pPr>
            <w:r w:rsidRPr="00B01850">
              <w:rPr>
                <w:rFonts w:ascii="Arial" w:eastAsia="Aptos" w:hAnsi="Arial" w:cs="Arial"/>
                <w:kern w:val="2"/>
                <w14:ligatures w14:val="standardContextual"/>
              </w:rPr>
              <w:t>Objectifs de Développement Durable</w:t>
            </w:r>
          </w:p>
        </w:tc>
      </w:tr>
      <w:tr w:rsidR="00F05B22" w:rsidRPr="00B01850" w14:paraId="1847C371" w14:textId="77777777" w:rsidTr="00DC4959">
        <w:tc>
          <w:tcPr>
            <w:tcW w:w="1525" w:type="dxa"/>
            <w:vAlign w:val="center"/>
          </w:tcPr>
          <w:p w14:paraId="13FDB82C"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OIT</w:t>
            </w:r>
          </w:p>
        </w:tc>
        <w:tc>
          <w:tcPr>
            <w:tcW w:w="7825" w:type="dxa"/>
          </w:tcPr>
          <w:p w14:paraId="078F1C92" w14:textId="77777777" w:rsidR="00F05B22" w:rsidRPr="00B01850" w:rsidRDefault="00F05B22" w:rsidP="004F0DAC">
            <w:pPr>
              <w:jc w:val="both"/>
              <w:rPr>
                <w:rFonts w:ascii="Arial" w:eastAsia="Aptos" w:hAnsi="Arial" w:cs="Arial"/>
                <w:kern w:val="2"/>
                <w14:ligatures w14:val="standardContextual"/>
              </w:rPr>
            </w:pPr>
            <w:r w:rsidRPr="00B01850">
              <w:rPr>
                <w:rFonts w:ascii="Arial" w:eastAsia="Aptos" w:hAnsi="Arial" w:cs="Arial"/>
                <w:kern w:val="2"/>
                <w14:ligatures w14:val="standardContextual"/>
              </w:rPr>
              <w:t>Organisation Internationale du Travail</w:t>
            </w:r>
          </w:p>
        </w:tc>
      </w:tr>
      <w:tr w:rsidR="00F05B22" w:rsidRPr="00B01850" w14:paraId="3B675616" w14:textId="77777777" w:rsidTr="00DC4959">
        <w:tc>
          <w:tcPr>
            <w:tcW w:w="1525" w:type="dxa"/>
            <w:vAlign w:val="center"/>
          </w:tcPr>
          <w:p w14:paraId="14217496" w14:textId="77777777" w:rsidR="00F05B22" w:rsidRPr="00DC4959" w:rsidRDefault="00F05B22" w:rsidP="005337B3">
            <w:pPr>
              <w:rPr>
                <w:rFonts w:ascii="Arial" w:eastAsia="SimSun" w:hAnsi="Arial" w:cs="Arial"/>
                <w:b/>
                <w:bCs/>
                <w:color w:val="000000"/>
                <w:kern w:val="2"/>
                <w14:ligatures w14:val="standardContextual"/>
              </w:rPr>
            </w:pPr>
            <w:r w:rsidRPr="00DC4959">
              <w:rPr>
                <w:rFonts w:ascii="Arial" w:eastAsia="SimSun" w:hAnsi="Arial" w:cs="Arial"/>
                <w:b/>
                <w:bCs/>
                <w:color w:val="000000"/>
                <w:kern w:val="2"/>
                <w14:ligatures w14:val="standardContextual"/>
              </w:rPr>
              <w:t>PEES</w:t>
            </w:r>
          </w:p>
        </w:tc>
        <w:tc>
          <w:tcPr>
            <w:tcW w:w="7825" w:type="dxa"/>
          </w:tcPr>
          <w:p w14:paraId="62824A40" w14:textId="77777777" w:rsidR="00F05B22" w:rsidRPr="00B01850" w:rsidRDefault="00F05B22" w:rsidP="004F0DAC">
            <w:pPr>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Plan d’Engagement Environnemental et Social</w:t>
            </w:r>
          </w:p>
        </w:tc>
      </w:tr>
      <w:tr w:rsidR="00F05B22" w:rsidRPr="00B01850" w14:paraId="4BFD5B29" w14:textId="77777777" w:rsidTr="00DC4959">
        <w:tc>
          <w:tcPr>
            <w:tcW w:w="1525" w:type="dxa"/>
            <w:vAlign w:val="center"/>
          </w:tcPr>
          <w:p w14:paraId="065E65DC" w14:textId="77777777" w:rsidR="00F05B22" w:rsidRPr="00DC4959" w:rsidRDefault="00F05B22">
            <w:pPr>
              <w:rPr>
                <w:rFonts w:ascii="Arial" w:hAnsi="Arial" w:cs="Arial"/>
                <w:b/>
                <w:bCs/>
                <w:sz w:val="22"/>
                <w:szCs w:val="22"/>
              </w:rPr>
            </w:pPr>
            <w:r w:rsidRPr="00DC4959">
              <w:rPr>
                <w:rFonts w:ascii="Arial" w:hAnsi="Arial" w:cs="Arial"/>
                <w:b/>
                <w:bCs/>
                <w:sz w:val="22"/>
                <w:szCs w:val="22"/>
              </w:rPr>
              <w:t>PGES</w:t>
            </w:r>
          </w:p>
        </w:tc>
        <w:tc>
          <w:tcPr>
            <w:tcW w:w="7825" w:type="dxa"/>
          </w:tcPr>
          <w:p w14:paraId="6E76508E" w14:textId="77777777" w:rsidR="00F05B22" w:rsidRPr="00B01850" w:rsidRDefault="00F05B22">
            <w:pPr>
              <w:rPr>
                <w:rFonts w:ascii="Arial" w:hAnsi="Arial" w:cs="Arial"/>
                <w:sz w:val="22"/>
                <w:szCs w:val="22"/>
              </w:rPr>
            </w:pPr>
            <w:r>
              <w:rPr>
                <w:rFonts w:ascii="Arial" w:hAnsi="Arial" w:cs="Arial"/>
                <w:sz w:val="22"/>
                <w:szCs w:val="22"/>
              </w:rPr>
              <w:t>Plan de Gestion Environnementale et Sociale</w:t>
            </w:r>
          </w:p>
        </w:tc>
      </w:tr>
      <w:tr w:rsidR="00F05B22" w:rsidRPr="00B01850" w14:paraId="269DDBAC" w14:textId="77777777" w:rsidTr="00DC4959">
        <w:tc>
          <w:tcPr>
            <w:tcW w:w="1525" w:type="dxa"/>
            <w:vAlign w:val="center"/>
          </w:tcPr>
          <w:p w14:paraId="519F0C3C" w14:textId="77777777" w:rsidR="00F05B22" w:rsidRPr="00DC4959" w:rsidRDefault="00F05B22" w:rsidP="005337B3">
            <w:pPr>
              <w:rPr>
                <w:rFonts w:ascii="Arial" w:eastAsia="SimSun" w:hAnsi="Arial" w:cs="Arial"/>
                <w:b/>
                <w:bCs/>
                <w:color w:val="000000"/>
                <w:kern w:val="2"/>
                <w14:ligatures w14:val="standardContextual"/>
              </w:rPr>
            </w:pPr>
            <w:proofErr w:type="spellStart"/>
            <w:r w:rsidRPr="00DC4959">
              <w:rPr>
                <w:rFonts w:ascii="Arial" w:eastAsia="SimSun" w:hAnsi="Arial" w:cs="Arial"/>
                <w:b/>
                <w:bCs/>
                <w:color w:val="000000"/>
                <w:kern w:val="2"/>
                <w14:ligatures w14:val="standardContextual"/>
              </w:rPr>
              <w:t>PGMo</w:t>
            </w:r>
            <w:proofErr w:type="spellEnd"/>
          </w:p>
        </w:tc>
        <w:tc>
          <w:tcPr>
            <w:tcW w:w="7825" w:type="dxa"/>
          </w:tcPr>
          <w:p w14:paraId="5DA5398E" w14:textId="77777777" w:rsidR="00F05B22" w:rsidRPr="00B01850" w:rsidRDefault="00F05B22" w:rsidP="004F0DAC">
            <w:pPr>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Procédures de Gestion de la Main d’œuvre</w:t>
            </w:r>
          </w:p>
        </w:tc>
      </w:tr>
      <w:tr w:rsidR="00F05B22" w:rsidRPr="00B01850" w14:paraId="257C81ED" w14:textId="77777777" w:rsidTr="00DC4959">
        <w:tc>
          <w:tcPr>
            <w:tcW w:w="1525" w:type="dxa"/>
            <w:vAlign w:val="center"/>
          </w:tcPr>
          <w:p w14:paraId="11011C38"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PNDES</w:t>
            </w:r>
          </w:p>
        </w:tc>
        <w:tc>
          <w:tcPr>
            <w:tcW w:w="7825" w:type="dxa"/>
          </w:tcPr>
          <w:p w14:paraId="72A455CD" w14:textId="77777777" w:rsidR="00F05B22" w:rsidRPr="00B01850" w:rsidRDefault="00F05B22">
            <w:pPr>
              <w:rPr>
                <w:rFonts w:ascii="Arial" w:eastAsia="Aptos" w:hAnsi="Arial" w:cs="Arial"/>
                <w:kern w:val="2"/>
                <w14:ligatures w14:val="standardContextual"/>
              </w:rPr>
            </w:pPr>
            <w:r w:rsidRPr="00B01850">
              <w:rPr>
                <w:rFonts w:ascii="Arial" w:eastAsia="Aptos" w:hAnsi="Arial" w:cs="Arial"/>
                <w:kern w:val="2"/>
                <w14:ligatures w14:val="standardContextual"/>
              </w:rPr>
              <w:t xml:space="preserve">Plan National de Développement Économique et Social </w:t>
            </w:r>
          </w:p>
        </w:tc>
      </w:tr>
      <w:tr w:rsidR="00F05B22" w:rsidRPr="00B01850" w14:paraId="764FE77B" w14:textId="77777777" w:rsidTr="00DC4959">
        <w:tc>
          <w:tcPr>
            <w:tcW w:w="1525" w:type="dxa"/>
            <w:vAlign w:val="center"/>
          </w:tcPr>
          <w:p w14:paraId="34911CAB" w14:textId="77777777" w:rsidR="00F05B22" w:rsidRPr="00DC4959" w:rsidRDefault="00F05B22">
            <w:pPr>
              <w:rPr>
                <w:rFonts w:ascii="Arial" w:hAnsi="Arial" w:cs="Arial"/>
                <w:b/>
                <w:bCs/>
              </w:rPr>
            </w:pPr>
            <w:r w:rsidRPr="00DC4959">
              <w:rPr>
                <w:rFonts w:ascii="Arial" w:hAnsi="Arial" w:cs="Arial"/>
                <w:b/>
                <w:bCs/>
              </w:rPr>
              <w:t>PNGRC</w:t>
            </w:r>
          </w:p>
        </w:tc>
        <w:tc>
          <w:tcPr>
            <w:tcW w:w="7825" w:type="dxa"/>
          </w:tcPr>
          <w:p w14:paraId="3E058F1C" w14:textId="77777777" w:rsidR="00F05B22" w:rsidRPr="00B01850" w:rsidRDefault="00F05B22">
            <w:pPr>
              <w:rPr>
                <w:rFonts w:ascii="Arial" w:hAnsi="Arial" w:cs="Arial"/>
              </w:rPr>
            </w:pPr>
            <w:r w:rsidRPr="00B01850">
              <w:rPr>
                <w:rFonts w:ascii="Arial" w:hAnsi="Arial" w:cs="Arial"/>
              </w:rPr>
              <w:t>Politique Nationale de Gestion des Risques de Catastrophes 2016</w:t>
            </w:r>
          </w:p>
        </w:tc>
      </w:tr>
      <w:tr w:rsidR="00F05B22" w:rsidRPr="00B01850" w14:paraId="6CD62F10" w14:textId="77777777" w:rsidTr="00DC4959">
        <w:tc>
          <w:tcPr>
            <w:tcW w:w="1525" w:type="dxa"/>
            <w:vAlign w:val="center"/>
          </w:tcPr>
          <w:p w14:paraId="7270505E" w14:textId="77777777" w:rsidR="00F05B22" w:rsidRPr="00DC4959" w:rsidRDefault="00F05B22">
            <w:pPr>
              <w:rPr>
                <w:rFonts w:ascii="Arial" w:hAnsi="Arial" w:cs="Arial"/>
                <w:b/>
                <w:bCs/>
              </w:rPr>
            </w:pPr>
            <w:r w:rsidRPr="00DC4959">
              <w:rPr>
                <w:rFonts w:ascii="Arial" w:hAnsi="Arial" w:cs="Arial"/>
                <w:b/>
                <w:bCs/>
              </w:rPr>
              <w:t>PNPCOS</w:t>
            </w:r>
          </w:p>
        </w:tc>
        <w:tc>
          <w:tcPr>
            <w:tcW w:w="7825" w:type="dxa"/>
          </w:tcPr>
          <w:p w14:paraId="59C81B8F" w14:textId="77777777" w:rsidR="00F05B22" w:rsidRPr="00B01850" w:rsidRDefault="00F05B22">
            <w:pPr>
              <w:rPr>
                <w:rFonts w:ascii="Arial" w:hAnsi="Arial" w:cs="Arial"/>
              </w:rPr>
            </w:pPr>
            <w:r w:rsidRPr="00B01850">
              <w:rPr>
                <w:rFonts w:ascii="Arial" w:hAnsi="Arial" w:cs="Arial"/>
              </w:rPr>
              <w:t xml:space="preserve">Plan National de Prévention des Catastrophes et des Organisations de Secours </w:t>
            </w:r>
          </w:p>
        </w:tc>
      </w:tr>
      <w:tr w:rsidR="00F05B22" w:rsidRPr="00B01850" w14:paraId="2542BF0F" w14:textId="77777777" w:rsidTr="00DC4959">
        <w:tc>
          <w:tcPr>
            <w:tcW w:w="1525" w:type="dxa"/>
            <w:vAlign w:val="center"/>
          </w:tcPr>
          <w:p w14:paraId="6FD86B27" w14:textId="77777777" w:rsidR="00F05B22" w:rsidRPr="00DC4959" w:rsidRDefault="00F05B22">
            <w:pPr>
              <w:rPr>
                <w:rFonts w:ascii="Arial" w:hAnsi="Arial" w:cs="Arial"/>
                <w:b/>
                <w:bCs/>
              </w:rPr>
            </w:pPr>
            <w:r w:rsidRPr="00DC4959">
              <w:rPr>
                <w:rFonts w:ascii="Arial" w:hAnsi="Arial" w:cs="Arial"/>
                <w:b/>
                <w:bCs/>
              </w:rPr>
              <w:t>PNUD</w:t>
            </w:r>
          </w:p>
        </w:tc>
        <w:tc>
          <w:tcPr>
            <w:tcW w:w="7825" w:type="dxa"/>
          </w:tcPr>
          <w:p w14:paraId="5C939833" w14:textId="77777777" w:rsidR="00F05B22" w:rsidRPr="00B01850" w:rsidRDefault="00F05B22">
            <w:pPr>
              <w:rPr>
                <w:rFonts w:ascii="Arial" w:hAnsi="Arial" w:cs="Arial"/>
              </w:rPr>
            </w:pPr>
            <w:r>
              <w:rPr>
                <w:rFonts w:ascii="Arial" w:hAnsi="Arial" w:cs="Arial"/>
              </w:rPr>
              <w:t>Programme des Nations Unies pour le Développement</w:t>
            </w:r>
          </w:p>
        </w:tc>
      </w:tr>
      <w:tr w:rsidR="00F05B22" w:rsidRPr="00B01850" w14:paraId="650292F4" w14:textId="77777777" w:rsidTr="00DC4959">
        <w:tc>
          <w:tcPr>
            <w:tcW w:w="1525" w:type="dxa"/>
            <w:vAlign w:val="center"/>
          </w:tcPr>
          <w:p w14:paraId="0CA876D2" w14:textId="77777777" w:rsidR="00F05B22" w:rsidRPr="00DC4959" w:rsidRDefault="00F05B22" w:rsidP="005337B3">
            <w:pPr>
              <w:rPr>
                <w:rFonts w:ascii="Arial" w:eastAsia="Aptos" w:hAnsi="Arial" w:cs="Arial"/>
                <w:b/>
                <w:bCs/>
                <w:kern w:val="2"/>
                <w14:ligatures w14:val="standardContextual"/>
              </w:rPr>
            </w:pPr>
            <w:proofErr w:type="spellStart"/>
            <w:r w:rsidRPr="00DC4959">
              <w:rPr>
                <w:rFonts w:ascii="Arial" w:eastAsia="Aptos" w:hAnsi="Arial" w:cs="Arial"/>
                <w:b/>
                <w:bCs/>
                <w:kern w:val="2"/>
                <w14:ligatures w14:val="standardContextual"/>
              </w:rPr>
              <w:t>PRePEF</w:t>
            </w:r>
            <w:proofErr w:type="spellEnd"/>
          </w:p>
        </w:tc>
        <w:tc>
          <w:tcPr>
            <w:tcW w:w="7825" w:type="dxa"/>
          </w:tcPr>
          <w:p w14:paraId="35E31DFF" w14:textId="77777777" w:rsidR="00F05B22" w:rsidRPr="00B01850" w:rsidRDefault="00F05B22" w:rsidP="004F0DAC">
            <w:pPr>
              <w:jc w:val="both"/>
              <w:rPr>
                <w:rFonts w:ascii="Arial" w:eastAsia="Aptos" w:hAnsi="Arial" w:cs="Arial"/>
                <w:kern w:val="2"/>
                <w14:ligatures w14:val="standardContextual"/>
              </w:rPr>
            </w:pPr>
            <w:r w:rsidRPr="00B01850">
              <w:rPr>
                <w:rFonts w:ascii="Arial" w:eastAsia="Aptos" w:hAnsi="Arial" w:cs="Arial"/>
                <w:kern w:val="2"/>
                <w14:ligatures w14:val="standardContextual"/>
              </w:rPr>
              <w:t>Projet pour les Résultats au Pré Scolaire et à l’Enseignement Fondamental</w:t>
            </w:r>
          </w:p>
        </w:tc>
      </w:tr>
      <w:tr w:rsidR="00F05B22" w:rsidRPr="00B01850" w14:paraId="6FC04957" w14:textId="77777777" w:rsidTr="00DC4959">
        <w:tc>
          <w:tcPr>
            <w:tcW w:w="1525" w:type="dxa"/>
            <w:vAlign w:val="center"/>
          </w:tcPr>
          <w:p w14:paraId="2ECC9A3F"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RDNA</w:t>
            </w:r>
          </w:p>
        </w:tc>
        <w:tc>
          <w:tcPr>
            <w:tcW w:w="7825" w:type="dxa"/>
          </w:tcPr>
          <w:p w14:paraId="7A46232C" w14:textId="77777777" w:rsidR="00F05B22" w:rsidRPr="00B01850" w:rsidRDefault="00F05B22" w:rsidP="004F0DAC">
            <w:pPr>
              <w:jc w:val="both"/>
              <w:rPr>
                <w:rFonts w:ascii="Arial" w:eastAsia="Aptos" w:hAnsi="Arial" w:cs="Arial"/>
                <w:kern w:val="2"/>
                <w14:ligatures w14:val="standardContextual"/>
              </w:rPr>
            </w:pPr>
            <w:r w:rsidRPr="00B01850">
              <w:rPr>
                <w:rFonts w:ascii="Arial" w:eastAsia="Aptos" w:hAnsi="Arial" w:cs="Arial"/>
                <w:kern w:val="2"/>
                <w14:ligatures w14:val="standardContextual"/>
              </w:rPr>
              <w:t xml:space="preserve">Évaluation Rapide des Dommages et des Besoins </w:t>
            </w:r>
          </w:p>
        </w:tc>
      </w:tr>
      <w:tr w:rsidR="00F05B22" w:rsidRPr="00B01850" w14:paraId="3465217C" w14:textId="77777777" w:rsidTr="00DC4959">
        <w:tc>
          <w:tcPr>
            <w:tcW w:w="1525" w:type="dxa"/>
            <w:vAlign w:val="center"/>
          </w:tcPr>
          <w:p w14:paraId="3ECA8046" w14:textId="77777777" w:rsidR="00F05B22" w:rsidRPr="00DC4959" w:rsidRDefault="00F05B22">
            <w:pPr>
              <w:rPr>
                <w:rFonts w:ascii="Arial" w:hAnsi="Arial" w:cs="Arial"/>
                <w:b/>
                <w:bCs/>
              </w:rPr>
            </w:pPr>
            <w:r w:rsidRPr="00DC4959">
              <w:rPr>
                <w:rFonts w:ascii="Arial" w:hAnsi="Arial" w:cs="Arial"/>
                <w:b/>
                <w:bCs/>
              </w:rPr>
              <w:t>RRC</w:t>
            </w:r>
          </w:p>
        </w:tc>
        <w:tc>
          <w:tcPr>
            <w:tcW w:w="7825" w:type="dxa"/>
          </w:tcPr>
          <w:p w14:paraId="79A7C608" w14:textId="77777777" w:rsidR="00F05B22" w:rsidRPr="00B01850" w:rsidRDefault="00F05B22">
            <w:pPr>
              <w:rPr>
                <w:rFonts w:ascii="Arial" w:hAnsi="Arial" w:cs="Arial"/>
              </w:rPr>
            </w:pPr>
            <w:r w:rsidRPr="00B01850">
              <w:rPr>
                <w:rFonts w:ascii="Arial" w:hAnsi="Arial" w:cs="Arial"/>
              </w:rPr>
              <w:t>Réduction des Risques de Catastrophes</w:t>
            </w:r>
          </w:p>
        </w:tc>
      </w:tr>
      <w:tr w:rsidR="00F05B22" w:rsidRPr="00B01850" w14:paraId="0896522A" w14:textId="77777777" w:rsidTr="00DC4959">
        <w:tc>
          <w:tcPr>
            <w:tcW w:w="1525" w:type="dxa"/>
            <w:vAlign w:val="center"/>
          </w:tcPr>
          <w:p w14:paraId="26C26033" w14:textId="77777777" w:rsidR="00F05B22" w:rsidRPr="00DC4959" w:rsidRDefault="00F05B22">
            <w:pPr>
              <w:rPr>
                <w:rFonts w:ascii="Arial" w:hAnsi="Arial" w:cs="Arial"/>
                <w:b/>
                <w:bCs/>
              </w:rPr>
            </w:pPr>
            <w:r w:rsidRPr="00DC4959">
              <w:rPr>
                <w:rFonts w:ascii="Arial" w:eastAsia="Aptos" w:hAnsi="Arial" w:cs="Arial"/>
                <w:b/>
                <w:bCs/>
                <w:kern w:val="2"/>
                <w14:ligatures w14:val="standardContextual"/>
              </w:rPr>
              <w:t>SAP</w:t>
            </w:r>
          </w:p>
        </w:tc>
        <w:tc>
          <w:tcPr>
            <w:tcW w:w="7825" w:type="dxa"/>
          </w:tcPr>
          <w:p w14:paraId="09F14951" w14:textId="77777777" w:rsidR="00F05B22" w:rsidRPr="00B01850" w:rsidRDefault="00F05B22">
            <w:pPr>
              <w:rPr>
                <w:rFonts w:ascii="Arial" w:hAnsi="Arial" w:cs="Arial"/>
              </w:rPr>
            </w:pPr>
            <w:r w:rsidRPr="00B01850">
              <w:rPr>
                <w:rFonts w:ascii="Arial" w:eastAsia="Aptos" w:hAnsi="Arial" w:cs="Arial"/>
                <w:kern w:val="2"/>
                <w14:ligatures w14:val="standardContextual"/>
              </w:rPr>
              <w:t>Système d'Alerte Précoce</w:t>
            </w:r>
          </w:p>
        </w:tc>
      </w:tr>
      <w:tr w:rsidR="00F05B22" w:rsidRPr="00B01850" w14:paraId="5F8DC4C0" w14:textId="77777777" w:rsidTr="00DC4959">
        <w:tc>
          <w:tcPr>
            <w:tcW w:w="1525" w:type="dxa"/>
            <w:vAlign w:val="center"/>
          </w:tcPr>
          <w:p w14:paraId="09DACF68"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SCD</w:t>
            </w:r>
          </w:p>
        </w:tc>
        <w:tc>
          <w:tcPr>
            <w:tcW w:w="7825" w:type="dxa"/>
          </w:tcPr>
          <w:p w14:paraId="2A537A76" w14:textId="77777777" w:rsidR="00F05B22" w:rsidRPr="00B01850" w:rsidRDefault="00F05B22" w:rsidP="004F0DAC">
            <w:pPr>
              <w:jc w:val="both"/>
              <w:rPr>
                <w:rFonts w:ascii="Arial" w:eastAsia="Aptos" w:hAnsi="Arial" w:cs="Arial"/>
                <w:kern w:val="2"/>
                <w14:ligatures w14:val="standardContextual"/>
              </w:rPr>
            </w:pPr>
            <w:r w:rsidRPr="00B01850">
              <w:rPr>
                <w:rFonts w:ascii="Arial" w:eastAsia="Aptos" w:hAnsi="Arial" w:cs="Arial"/>
                <w:kern w:val="2"/>
                <w14:ligatures w14:val="standardContextual"/>
              </w:rPr>
              <w:t xml:space="preserve">Diagnostic Systématique du Pays </w:t>
            </w:r>
          </w:p>
        </w:tc>
      </w:tr>
      <w:tr w:rsidR="00F05B22" w:rsidRPr="00B01850" w14:paraId="7FA71DB9" w14:textId="77777777" w:rsidTr="00DC4959">
        <w:tc>
          <w:tcPr>
            <w:tcW w:w="1525" w:type="dxa"/>
            <w:vAlign w:val="center"/>
          </w:tcPr>
          <w:p w14:paraId="5CC1E951" w14:textId="77777777" w:rsidR="00F05B22" w:rsidRPr="00DC4959" w:rsidRDefault="00F05B22" w:rsidP="005337B3">
            <w:pPr>
              <w:rPr>
                <w:rFonts w:ascii="Arial" w:eastAsia="Aptos" w:hAnsi="Arial" w:cs="Arial"/>
                <w:b/>
                <w:bCs/>
                <w:kern w:val="2"/>
                <w14:ligatures w14:val="standardContextual"/>
              </w:rPr>
            </w:pPr>
            <w:r w:rsidRPr="00DC4959">
              <w:rPr>
                <w:rFonts w:ascii="Arial" w:eastAsia="Aptos" w:hAnsi="Arial" w:cs="Arial"/>
                <w:b/>
                <w:bCs/>
                <w:kern w:val="2"/>
                <w14:ligatures w14:val="standardContextual"/>
              </w:rPr>
              <w:t>SEG</w:t>
            </w:r>
          </w:p>
        </w:tc>
        <w:tc>
          <w:tcPr>
            <w:tcW w:w="7825" w:type="dxa"/>
          </w:tcPr>
          <w:p w14:paraId="1620B407" w14:textId="77777777" w:rsidR="00F05B22" w:rsidRPr="00B01850" w:rsidRDefault="00F05B22" w:rsidP="004F0DAC">
            <w:pPr>
              <w:jc w:val="both"/>
              <w:rPr>
                <w:rFonts w:ascii="Arial" w:eastAsia="Aptos" w:hAnsi="Arial" w:cs="Arial"/>
                <w:kern w:val="2"/>
                <w14:ligatures w14:val="standardContextual"/>
              </w:rPr>
            </w:pPr>
            <w:r w:rsidRPr="00B01850">
              <w:rPr>
                <w:rFonts w:ascii="Arial" w:eastAsia="Aptos" w:hAnsi="Arial" w:cs="Arial"/>
                <w:kern w:val="2"/>
                <w14:ligatures w14:val="standardContextual"/>
              </w:rPr>
              <w:t>Société des Eaux de Guinée</w:t>
            </w:r>
          </w:p>
        </w:tc>
      </w:tr>
      <w:tr w:rsidR="00F05B22" w:rsidRPr="00B01850" w14:paraId="3FAF4668" w14:textId="77777777" w:rsidTr="00DC4959">
        <w:tc>
          <w:tcPr>
            <w:tcW w:w="1525" w:type="dxa"/>
            <w:vAlign w:val="center"/>
          </w:tcPr>
          <w:p w14:paraId="492C305A" w14:textId="77777777" w:rsidR="00F05B22" w:rsidRPr="00DC4959" w:rsidRDefault="00F05B22" w:rsidP="005337B3">
            <w:pPr>
              <w:rPr>
                <w:rFonts w:ascii="Arial" w:hAnsi="Arial" w:cs="Arial"/>
                <w:b/>
                <w:bCs/>
              </w:rPr>
            </w:pPr>
            <w:r w:rsidRPr="00DC4959">
              <w:rPr>
                <w:rFonts w:ascii="Arial" w:hAnsi="Arial" w:cs="Arial"/>
                <w:b/>
                <w:bCs/>
              </w:rPr>
              <w:t>SSST</w:t>
            </w:r>
          </w:p>
        </w:tc>
        <w:tc>
          <w:tcPr>
            <w:tcW w:w="7825" w:type="dxa"/>
          </w:tcPr>
          <w:p w14:paraId="3F47C722" w14:textId="77777777" w:rsidR="00F05B22" w:rsidRPr="00B01850" w:rsidRDefault="00F05B22" w:rsidP="004F0DAC">
            <w:pPr>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Système de Santé Sécurité au Travail</w:t>
            </w:r>
          </w:p>
        </w:tc>
      </w:tr>
      <w:tr w:rsidR="00F05B22" w:rsidRPr="00B01850" w14:paraId="4D753E7F" w14:textId="77777777" w:rsidTr="00DC4959">
        <w:tc>
          <w:tcPr>
            <w:tcW w:w="1525" w:type="dxa"/>
            <w:vAlign w:val="center"/>
          </w:tcPr>
          <w:p w14:paraId="422CE291" w14:textId="77777777" w:rsidR="00F05B22" w:rsidRPr="00DC4959" w:rsidRDefault="00F05B22" w:rsidP="005337B3">
            <w:pPr>
              <w:rPr>
                <w:rFonts w:ascii="Arial" w:eastAsia="SimSun" w:hAnsi="Arial" w:cs="Arial"/>
                <w:b/>
                <w:bCs/>
                <w:color w:val="000000"/>
                <w:kern w:val="2"/>
                <w14:ligatures w14:val="standardContextual"/>
              </w:rPr>
            </w:pPr>
            <w:r w:rsidRPr="00DC4959">
              <w:rPr>
                <w:rFonts w:ascii="Arial" w:eastAsia="SimSun" w:hAnsi="Arial" w:cs="Arial"/>
                <w:b/>
                <w:bCs/>
                <w:color w:val="000000"/>
                <w:kern w:val="2"/>
                <w14:ligatures w14:val="standardContextual"/>
              </w:rPr>
              <w:t>SST</w:t>
            </w:r>
          </w:p>
        </w:tc>
        <w:tc>
          <w:tcPr>
            <w:tcW w:w="7825" w:type="dxa"/>
          </w:tcPr>
          <w:p w14:paraId="4EFCA5E6" w14:textId="77777777" w:rsidR="00F05B22" w:rsidRPr="00B01850" w:rsidRDefault="00F05B22" w:rsidP="004F0DAC">
            <w:pPr>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Santé Sécurité au Travail</w:t>
            </w:r>
          </w:p>
        </w:tc>
      </w:tr>
      <w:tr w:rsidR="00F05B22" w:rsidRPr="00B01850" w14:paraId="3F152508" w14:textId="77777777" w:rsidTr="00DC4959">
        <w:tc>
          <w:tcPr>
            <w:tcW w:w="1525" w:type="dxa"/>
            <w:vAlign w:val="center"/>
          </w:tcPr>
          <w:p w14:paraId="25EB7517" w14:textId="77777777" w:rsidR="00F05B22" w:rsidRPr="00DC4959" w:rsidRDefault="00F05B22" w:rsidP="005337B3">
            <w:pPr>
              <w:rPr>
                <w:rFonts w:ascii="Arial" w:eastAsia="SimSun" w:hAnsi="Arial" w:cs="Arial"/>
                <w:b/>
                <w:bCs/>
                <w:color w:val="000000"/>
                <w:kern w:val="2"/>
                <w14:ligatures w14:val="standardContextual"/>
              </w:rPr>
            </w:pPr>
            <w:r w:rsidRPr="00DC4959">
              <w:rPr>
                <w:rFonts w:ascii="Arial" w:eastAsia="SimSun" w:hAnsi="Arial" w:cs="Arial"/>
                <w:b/>
                <w:bCs/>
                <w:color w:val="000000"/>
                <w:kern w:val="2"/>
                <w14:ligatures w14:val="standardContextual"/>
              </w:rPr>
              <w:t>UGP</w:t>
            </w:r>
          </w:p>
        </w:tc>
        <w:tc>
          <w:tcPr>
            <w:tcW w:w="7825" w:type="dxa"/>
          </w:tcPr>
          <w:p w14:paraId="54F7BCDC" w14:textId="77777777" w:rsidR="00F05B22" w:rsidRPr="00B01850" w:rsidRDefault="00F05B22" w:rsidP="004F0DAC">
            <w:pPr>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Unité de Gestion du Projet</w:t>
            </w:r>
          </w:p>
        </w:tc>
      </w:tr>
      <w:tr w:rsidR="00F05B22" w:rsidRPr="00B01850" w14:paraId="7C7A8C13" w14:textId="77777777" w:rsidTr="00DC4959">
        <w:tc>
          <w:tcPr>
            <w:tcW w:w="1525" w:type="dxa"/>
            <w:vAlign w:val="center"/>
          </w:tcPr>
          <w:p w14:paraId="293A66F8" w14:textId="77777777" w:rsidR="00F05B22" w:rsidRPr="00711D99" w:rsidRDefault="00F05B22" w:rsidP="005337B3">
            <w:pPr>
              <w:rPr>
                <w:rFonts w:ascii="Arial" w:eastAsia="Aptos" w:hAnsi="Arial" w:cs="Arial"/>
                <w:b/>
                <w:bCs/>
                <w:kern w:val="2"/>
                <w14:ligatures w14:val="standardContextual"/>
              </w:rPr>
            </w:pPr>
            <w:r w:rsidRPr="00711D99">
              <w:rPr>
                <w:rFonts w:ascii="Arial" w:eastAsia="Aptos" w:hAnsi="Arial" w:cs="Arial"/>
                <w:b/>
                <w:bCs/>
                <w:kern w:val="2"/>
                <w14:ligatures w14:val="standardContextual"/>
              </w:rPr>
              <w:t>UNESCO</w:t>
            </w:r>
          </w:p>
        </w:tc>
        <w:tc>
          <w:tcPr>
            <w:tcW w:w="7825" w:type="dxa"/>
          </w:tcPr>
          <w:p w14:paraId="408D0160" w14:textId="70EE95FE" w:rsidR="00F05B22" w:rsidRPr="00B01850" w:rsidRDefault="000739CE" w:rsidP="004F0DAC">
            <w:pPr>
              <w:jc w:val="both"/>
              <w:rPr>
                <w:rFonts w:ascii="Arial" w:eastAsia="Aptos" w:hAnsi="Arial" w:cs="Arial"/>
                <w:kern w:val="2"/>
                <w14:ligatures w14:val="standardContextual"/>
              </w:rPr>
            </w:pPr>
            <w:r>
              <w:rPr>
                <w:rFonts w:ascii="Arial" w:eastAsia="Aptos" w:hAnsi="Arial" w:cs="Arial"/>
                <w:kern w:val="2"/>
                <w14:ligatures w14:val="standardContextual"/>
              </w:rPr>
              <w:t xml:space="preserve">Organisation des Nations Unies </w:t>
            </w:r>
            <w:r w:rsidR="004460FD">
              <w:rPr>
                <w:rFonts w:ascii="Arial" w:eastAsia="Aptos" w:hAnsi="Arial" w:cs="Arial"/>
                <w:kern w:val="2"/>
                <w14:ligatures w14:val="standardContextual"/>
              </w:rPr>
              <w:t>pour l’Education,</w:t>
            </w:r>
            <w:r w:rsidR="00A1094A">
              <w:rPr>
                <w:rFonts w:ascii="Arial" w:eastAsia="Aptos" w:hAnsi="Arial" w:cs="Arial"/>
                <w:kern w:val="2"/>
                <w14:ligatures w14:val="standardContextual"/>
              </w:rPr>
              <w:t xml:space="preserve"> </w:t>
            </w:r>
            <w:r w:rsidR="00884750">
              <w:rPr>
                <w:rFonts w:ascii="Arial" w:eastAsia="Aptos" w:hAnsi="Arial" w:cs="Arial"/>
                <w:kern w:val="2"/>
                <w14:ligatures w14:val="standardContextual"/>
              </w:rPr>
              <w:t>la Science et la Culture</w:t>
            </w:r>
          </w:p>
        </w:tc>
      </w:tr>
    </w:tbl>
    <w:p w14:paraId="23972DAD" w14:textId="2EF03E82" w:rsidR="000674EF" w:rsidRPr="00B01850" w:rsidRDefault="000674EF">
      <w:pPr>
        <w:rPr>
          <w:rFonts w:ascii="Arial" w:eastAsiaTheme="majorEastAsia" w:hAnsi="Arial" w:cs="Arial"/>
        </w:rPr>
      </w:pPr>
      <w:r w:rsidRPr="00B01850">
        <w:rPr>
          <w:rFonts w:ascii="Arial" w:hAnsi="Arial" w:cs="Arial"/>
        </w:rPr>
        <w:br w:type="page"/>
      </w:r>
    </w:p>
    <w:p w14:paraId="7E266BE0" w14:textId="630994F4" w:rsidR="009A6EC3" w:rsidRPr="00B01850" w:rsidRDefault="001E76C5" w:rsidP="00B233BC">
      <w:pPr>
        <w:pStyle w:val="Heading1"/>
        <w:rPr>
          <w:rFonts w:ascii="Arial" w:hAnsi="Arial" w:cs="Arial"/>
          <w:color w:val="auto"/>
          <w:sz w:val="22"/>
          <w:szCs w:val="22"/>
        </w:rPr>
      </w:pPr>
      <w:bookmarkStart w:id="6" w:name="_Toc197382141"/>
      <w:r w:rsidRPr="00B01850">
        <w:rPr>
          <w:rFonts w:ascii="Arial" w:hAnsi="Arial" w:cs="Arial"/>
          <w:color w:val="auto"/>
          <w:sz w:val="22"/>
          <w:szCs w:val="22"/>
        </w:rPr>
        <w:lastRenderedPageBreak/>
        <w:t>INTRODUCTION</w:t>
      </w:r>
      <w:bookmarkEnd w:id="5"/>
      <w:bookmarkEnd w:id="6"/>
    </w:p>
    <w:p w14:paraId="2C0A25BA" w14:textId="77777777" w:rsidR="004A4427" w:rsidRPr="00B01850" w:rsidRDefault="004A4427" w:rsidP="004A4427">
      <w:pPr>
        <w:spacing w:after="0" w:line="240" w:lineRule="auto"/>
        <w:jc w:val="both"/>
        <w:rPr>
          <w:rFonts w:ascii="Arial" w:hAnsi="Arial" w:cs="Arial"/>
        </w:rPr>
      </w:pPr>
    </w:p>
    <w:p w14:paraId="2964CE2A" w14:textId="77777777" w:rsidR="00334464" w:rsidRPr="00334464" w:rsidRDefault="00334464" w:rsidP="00334464">
      <w:pPr>
        <w:spacing w:after="0" w:line="240" w:lineRule="auto"/>
        <w:jc w:val="both"/>
        <w:rPr>
          <w:rFonts w:ascii="Arial" w:hAnsi="Arial" w:cs="Arial"/>
        </w:rPr>
      </w:pPr>
      <w:r w:rsidRPr="00334464">
        <w:rPr>
          <w:rFonts w:ascii="Arial" w:hAnsi="Arial" w:cs="Arial"/>
        </w:rPr>
        <w:t>S'appuyant sur l'engagement de la Banque mondiale à soutenir les gouvernements dans la fourniture de réponses optimales aux urgences, le gouvernement de la République de Guinée a formulé la demande de bénéficier du Projet de Réponse d'Urgence en Cas de Contingence (CERP).</w:t>
      </w:r>
    </w:p>
    <w:p w14:paraId="1B45E598" w14:textId="77777777" w:rsidR="00334464" w:rsidRPr="00334464" w:rsidRDefault="00334464" w:rsidP="00334464">
      <w:pPr>
        <w:spacing w:before="120" w:after="0" w:line="240" w:lineRule="auto"/>
        <w:jc w:val="both"/>
        <w:rPr>
          <w:rFonts w:ascii="Arial" w:hAnsi="Arial" w:cs="Arial"/>
        </w:rPr>
      </w:pPr>
      <w:r w:rsidRPr="00334464">
        <w:rPr>
          <w:rFonts w:ascii="Arial" w:hAnsi="Arial" w:cs="Arial"/>
        </w:rPr>
        <w:t>L'Association Internationale de Développement a accepté de financer le projet, comme indiqué dans les accords. Cependant, cela nécessiterait une modification générale des accords de financement IPF.</w:t>
      </w:r>
    </w:p>
    <w:p w14:paraId="6385C4DE" w14:textId="443AFF4C" w:rsidR="00334464" w:rsidRPr="00334464" w:rsidRDefault="00334464" w:rsidP="00334464">
      <w:pPr>
        <w:spacing w:before="120" w:after="0" w:line="240" w:lineRule="auto"/>
        <w:jc w:val="both"/>
        <w:rPr>
          <w:rFonts w:ascii="Arial" w:hAnsi="Arial" w:cs="Arial"/>
        </w:rPr>
      </w:pPr>
      <w:r w:rsidRPr="00334464">
        <w:rPr>
          <w:rFonts w:ascii="Arial" w:hAnsi="Arial" w:cs="Arial"/>
        </w:rPr>
        <w:t xml:space="preserve">La République de Guinée mettra en œuvre le CERP sous la direction du </w:t>
      </w:r>
      <w:proofErr w:type="gramStart"/>
      <w:r w:rsidRPr="00334464">
        <w:rPr>
          <w:rFonts w:ascii="Arial" w:hAnsi="Arial" w:cs="Arial"/>
        </w:rPr>
        <w:t>Ministère de l'Économie</w:t>
      </w:r>
      <w:proofErr w:type="gramEnd"/>
      <w:r w:rsidRPr="00334464">
        <w:rPr>
          <w:rFonts w:ascii="Arial" w:hAnsi="Arial" w:cs="Arial"/>
        </w:rPr>
        <w:t xml:space="preserve"> et des Finances (MEF), qui coordonne avec les ministères et agences concernés, et préside le Comité de Pilotage du Projet (</w:t>
      </w:r>
      <w:r w:rsidR="004252F6" w:rsidRPr="00CD709D">
        <w:rPr>
          <w:rFonts w:ascii="Arial" w:hAnsi="Arial" w:cs="Arial"/>
        </w:rPr>
        <w:t>CPP</w:t>
      </w:r>
      <w:r w:rsidRPr="00334464">
        <w:rPr>
          <w:rFonts w:ascii="Arial" w:hAnsi="Arial" w:cs="Arial"/>
        </w:rPr>
        <w:t xml:space="preserve">), qui assurera la supervision stratégique du projet. En plus du MEF, le </w:t>
      </w:r>
      <w:r w:rsidR="004252F6" w:rsidRPr="00CD709D">
        <w:rPr>
          <w:rFonts w:ascii="Arial" w:hAnsi="Arial" w:cs="Arial"/>
        </w:rPr>
        <w:t>CPP</w:t>
      </w:r>
      <w:r w:rsidRPr="00334464">
        <w:rPr>
          <w:rFonts w:ascii="Arial" w:hAnsi="Arial" w:cs="Arial"/>
        </w:rPr>
        <w:t xml:space="preserve"> comprend les parties prenantes suivantes : Ministère du Budget (</w:t>
      </w:r>
      <w:proofErr w:type="spellStart"/>
      <w:r w:rsidRPr="00334464">
        <w:rPr>
          <w:rFonts w:ascii="Arial" w:hAnsi="Arial" w:cs="Arial"/>
        </w:rPr>
        <w:t>MoB</w:t>
      </w:r>
      <w:proofErr w:type="spellEnd"/>
      <w:r w:rsidRPr="00334464">
        <w:rPr>
          <w:rFonts w:ascii="Arial" w:hAnsi="Arial" w:cs="Arial"/>
        </w:rPr>
        <w:t>), Ministère de l'Administration Territoriale et de la Décentralisation (M</w:t>
      </w:r>
      <w:r w:rsidR="005648F8" w:rsidRPr="00CD709D">
        <w:rPr>
          <w:rFonts w:ascii="Arial" w:hAnsi="Arial" w:cs="Arial"/>
        </w:rPr>
        <w:t>A</w:t>
      </w:r>
      <w:r w:rsidRPr="00334464">
        <w:rPr>
          <w:rFonts w:ascii="Arial" w:hAnsi="Arial" w:cs="Arial"/>
        </w:rPr>
        <w:t>TD), Ministère de la Sécurité et de la Protection Civile (MSCP), Ministère de l'Agriculture et de l'Élevage (MAL), Ministère de l'Environnement et du Développement Durable (ME</w:t>
      </w:r>
      <w:r w:rsidR="005648F8" w:rsidRPr="00CD709D">
        <w:rPr>
          <w:rFonts w:ascii="Arial" w:hAnsi="Arial" w:cs="Arial"/>
        </w:rPr>
        <w:t>D</w:t>
      </w:r>
      <w:r w:rsidRPr="00334464">
        <w:rPr>
          <w:rFonts w:ascii="Arial" w:hAnsi="Arial" w:cs="Arial"/>
        </w:rPr>
        <w:t>D), Ministère de</w:t>
      </w:r>
      <w:r w:rsidR="005648F8" w:rsidRPr="00CD709D">
        <w:rPr>
          <w:rFonts w:ascii="Arial" w:hAnsi="Arial" w:cs="Arial"/>
        </w:rPr>
        <w:t xml:space="preserve">s Affaires Sociales, de la </w:t>
      </w:r>
      <w:r w:rsidR="00E2059D" w:rsidRPr="00CD709D">
        <w:rPr>
          <w:rFonts w:ascii="Arial" w:hAnsi="Arial" w:cs="Arial"/>
        </w:rPr>
        <w:t xml:space="preserve">Promotion </w:t>
      </w:r>
      <w:r w:rsidRPr="00334464">
        <w:rPr>
          <w:rFonts w:ascii="Arial" w:hAnsi="Arial" w:cs="Arial"/>
        </w:rPr>
        <w:t>F</w:t>
      </w:r>
      <w:r w:rsidR="00E2059D" w:rsidRPr="00CD709D">
        <w:rPr>
          <w:rFonts w:ascii="Arial" w:hAnsi="Arial" w:cs="Arial"/>
        </w:rPr>
        <w:t>é</w:t>
      </w:r>
      <w:r w:rsidRPr="00334464">
        <w:rPr>
          <w:rFonts w:ascii="Arial" w:hAnsi="Arial" w:cs="Arial"/>
        </w:rPr>
        <w:t>m</w:t>
      </w:r>
      <w:r w:rsidR="00E2059D" w:rsidRPr="00CD709D">
        <w:rPr>
          <w:rFonts w:ascii="Arial" w:hAnsi="Arial" w:cs="Arial"/>
        </w:rPr>
        <w:t xml:space="preserve">inine, </w:t>
      </w:r>
      <w:r w:rsidRPr="00334464">
        <w:rPr>
          <w:rFonts w:ascii="Arial" w:hAnsi="Arial" w:cs="Arial"/>
        </w:rPr>
        <w:t>de l'Enfance et des Personnes Vulnérables (M</w:t>
      </w:r>
      <w:r w:rsidR="00E2059D" w:rsidRPr="00CD709D">
        <w:rPr>
          <w:rFonts w:ascii="Arial" w:hAnsi="Arial" w:cs="Arial"/>
        </w:rPr>
        <w:t>A</w:t>
      </w:r>
      <w:r w:rsidR="00E0539A" w:rsidRPr="00CD709D">
        <w:rPr>
          <w:rFonts w:ascii="Arial" w:hAnsi="Arial" w:cs="Arial"/>
        </w:rPr>
        <w:t>PFEPV</w:t>
      </w:r>
      <w:r w:rsidRPr="00334464">
        <w:rPr>
          <w:rFonts w:ascii="Arial" w:hAnsi="Arial" w:cs="Arial"/>
        </w:rPr>
        <w:t>), Ministère de la Santé et de l'Hygiène Publique (M</w:t>
      </w:r>
      <w:r w:rsidR="00E0539A" w:rsidRPr="00CD709D">
        <w:rPr>
          <w:rFonts w:ascii="Arial" w:hAnsi="Arial" w:cs="Arial"/>
        </w:rPr>
        <w:t>S</w:t>
      </w:r>
      <w:r w:rsidRPr="00334464">
        <w:rPr>
          <w:rFonts w:ascii="Arial" w:hAnsi="Arial" w:cs="Arial"/>
        </w:rPr>
        <w:t>PH).</w:t>
      </w:r>
    </w:p>
    <w:p w14:paraId="3E48B639" w14:textId="294C5F37" w:rsidR="00030A9E" w:rsidRPr="00B01850" w:rsidRDefault="00334464" w:rsidP="000C7F37">
      <w:pPr>
        <w:spacing w:before="120" w:after="0" w:line="240" w:lineRule="auto"/>
        <w:jc w:val="both"/>
        <w:rPr>
          <w:rFonts w:ascii="Arial" w:hAnsi="Arial" w:cs="Arial"/>
        </w:rPr>
      </w:pPr>
      <w:r w:rsidRPr="00334464">
        <w:rPr>
          <w:rFonts w:ascii="Arial" w:hAnsi="Arial" w:cs="Arial"/>
        </w:rPr>
        <w:t xml:space="preserve">La recrudescence actuelle des urgences oblige le gouvernement guinéen à mettre en place un service de gestion des urgences à long terme. </w:t>
      </w:r>
      <w:r w:rsidR="00892341" w:rsidRPr="00E85BC8">
        <w:rPr>
          <w:rFonts w:ascii="Arial" w:hAnsi="Arial" w:cs="Arial"/>
        </w:rPr>
        <w:t xml:space="preserve">Le CERP sera mise en œuvre par le </w:t>
      </w:r>
      <w:r w:rsidR="00660FD0" w:rsidRPr="00E85BC8">
        <w:rPr>
          <w:rFonts w:ascii="Arial" w:hAnsi="Arial" w:cs="Arial"/>
        </w:rPr>
        <w:t>Projet de Riposte Urbain et d’Appui au Programme NAFA (</w:t>
      </w:r>
      <w:r w:rsidR="009E0223" w:rsidRPr="00E85BC8">
        <w:rPr>
          <w:rFonts w:ascii="Arial" w:hAnsi="Arial" w:cs="Arial"/>
        </w:rPr>
        <w:t>P168777)</w:t>
      </w:r>
      <w:r w:rsidR="00660FD0" w:rsidRPr="00E85BC8">
        <w:rPr>
          <w:rFonts w:ascii="Arial" w:hAnsi="Arial" w:cs="Arial"/>
        </w:rPr>
        <w:t xml:space="preserve"> (PRU-APN) </w:t>
      </w:r>
      <w:r w:rsidR="00886898" w:rsidRPr="00E85BC8">
        <w:rPr>
          <w:rFonts w:ascii="Arial" w:hAnsi="Arial" w:cs="Arial"/>
        </w:rPr>
        <w:t xml:space="preserve">avec </w:t>
      </w:r>
      <w:r w:rsidR="008A204A" w:rsidRPr="00E85BC8">
        <w:rPr>
          <w:rFonts w:ascii="Arial" w:hAnsi="Arial" w:cs="Arial"/>
        </w:rPr>
        <w:t xml:space="preserve">la coordination opérationnelle de </w:t>
      </w:r>
      <w:r w:rsidRPr="00334464">
        <w:rPr>
          <w:rFonts w:ascii="Arial" w:hAnsi="Arial" w:cs="Arial"/>
        </w:rPr>
        <w:t>ANGUCH (Agence Nationale de Gestion des Urgences et des Catastrophes)</w:t>
      </w:r>
      <w:r w:rsidR="00403096" w:rsidRPr="00E85BC8">
        <w:rPr>
          <w:rFonts w:ascii="Arial" w:hAnsi="Arial" w:cs="Arial"/>
        </w:rPr>
        <w:t>,</w:t>
      </w:r>
      <w:r w:rsidR="00E85BC8" w:rsidRPr="00E85BC8">
        <w:rPr>
          <w:rFonts w:ascii="Arial" w:hAnsi="Arial" w:cs="Arial"/>
        </w:rPr>
        <w:t xml:space="preserve"> </w:t>
      </w:r>
      <w:r w:rsidRPr="00334464">
        <w:rPr>
          <w:rFonts w:ascii="Arial" w:hAnsi="Arial" w:cs="Arial"/>
        </w:rPr>
        <w:t>CENAGCUE, DGPC, ANSS</w:t>
      </w:r>
      <w:r w:rsidR="00E85BC8" w:rsidRPr="00E85BC8">
        <w:rPr>
          <w:rFonts w:ascii="Arial" w:hAnsi="Arial" w:cs="Arial"/>
        </w:rPr>
        <w:t xml:space="preserve">, </w:t>
      </w:r>
      <w:r w:rsidRPr="00334464">
        <w:rPr>
          <w:rFonts w:ascii="Arial" w:hAnsi="Arial" w:cs="Arial"/>
        </w:rPr>
        <w:t>CRG</w:t>
      </w:r>
      <w:r w:rsidR="00E85BC8" w:rsidRPr="00E85BC8">
        <w:rPr>
          <w:rFonts w:ascii="Arial" w:hAnsi="Arial" w:cs="Arial"/>
        </w:rPr>
        <w:t xml:space="preserve"> etc</w:t>
      </w:r>
      <w:r w:rsidRPr="00334464">
        <w:rPr>
          <w:rFonts w:ascii="Arial" w:hAnsi="Arial" w:cs="Arial"/>
        </w:rPr>
        <w:t>.</w:t>
      </w:r>
    </w:p>
    <w:p w14:paraId="499E28BD" w14:textId="72E70299" w:rsidR="00F31F17" w:rsidRPr="00F31F17" w:rsidRDefault="00B91987" w:rsidP="000C7F37">
      <w:pPr>
        <w:spacing w:before="120" w:after="0" w:line="240" w:lineRule="auto"/>
        <w:jc w:val="both"/>
        <w:rPr>
          <w:rFonts w:ascii="Arial" w:hAnsi="Arial" w:cs="Arial"/>
        </w:rPr>
      </w:pPr>
      <w:r w:rsidRPr="00F31F17">
        <w:rPr>
          <w:rFonts w:ascii="Arial" w:hAnsi="Arial" w:cs="Arial"/>
        </w:rPr>
        <w:t>Toutefois, la mise en œuvre du CERP nécessitera la</w:t>
      </w:r>
      <w:r w:rsidR="008D53F8" w:rsidRPr="00F31F17">
        <w:rPr>
          <w:rFonts w:ascii="Arial" w:hAnsi="Arial" w:cs="Arial"/>
        </w:rPr>
        <w:t xml:space="preserve"> prise en compte </w:t>
      </w:r>
      <w:r w:rsidR="00EF38BE" w:rsidRPr="00F31F17">
        <w:rPr>
          <w:rFonts w:ascii="Arial" w:hAnsi="Arial" w:cs="Arial"/>
        </w:rPr>
        <w:t xml:space="preserve">de </w:t>
      </w:r>
      <w:r w:rsidR="00EF38BE" w:rsidRPr="00F31F17">
        <w:rPr>
          <w:rFonts w:ascii="Arial" w:hAnsi="Arial" w:cs="Arial"/>
        </w:rPr>
        <w:t xml:space="preserve">mesures </w:t>
      </w:r>
      <w:r w:rsidR="008D53F8" w:rsidRPr="00F31F17">
        <w:rPr>
          <w:rFonts w:ascii="Arial" w:hAnsi="Arial" w:cs="Arial"/>
        </w:rPr>
        <w:t xml:space="preserve">sauvegarde </w:t>
      </w:r>
      <w:r w:rsidR="006F2EDE" w:rsidRPr="00F31F17">
        <w:rPr>
          <w:rFonts w:ascii="Arial" w:hAnsi="Arial" w:cs="Arial"/>
        </w:rPr>
        <w:t xml:space="preserve">pour assurer la viabilité environnementale et sociale de ces </w:t>
      </w:r>
      <w:r w:rsidR="00863BE9" w:rsidRPr="00F31F17">
        <w:rPr>
          <w:rFonts w:ascii="Arial" w:hAnsi="Arial" w:cs="Arial"/>
        </w:rPr>
        <w:t xml:space="preserve">interventions d’urgence. Ce sont ces mesures qui </w:t>
      </w:r>
      <w:r w:rsidR="00F763C8">
        <w:rPr>
          <w:rFonts w:ascii="Arial" w:hAnsi="Arial" w:cs="Arial"/>
        </w:rPr>
        <w:t>sont mentionnées dans ce do</w:t>
      </w:r>
      <w:r w:rsidR="00D36E2C">
        <w:rPr>
          <w:rFonts w:ascii="Arial" w:hAnsi="Arial" w:cs="Arial"/>
        </w:rPr>
        <w:t xml:space="preserve">cument désigné par : </w:t>
      </w:r>
      <w:r w:rsidR="00EF38BE" w:rsidRPr="00477C42">
        <w:rPr>
          <w:rFonts w:ascii="Arial" w:hAnsi="Arial" w:cs="Arial"/>
          <w:i/>
          <w:iCs/>
        </w:rPr>
        <w:t>P</w:t>
      </w:r>
      <w:r w:rsidR="00F31F17" w:rsidRPr="00477C42">
        <w:rPr>
          <w:rFonts w:ascii="Arial" w:hAnsi="Arial" w:cs="Arial"/>
          <w:i/>
          <w:iCs/>
        </w:rPr>
        <w:t xml:space="preserve">lan de </w:t>
      </w:r>
      <w:r w:rsidR="00EF38BE" w:rsidRPr="00477C42">
        <w:rPr>
          <w:rFonts w:ascii="Arial" w:hAnsi="Arial" w:cs="Arial"/>
          <w:i/>
          <w:iCs/>
        </w:rPr>
        <w:t>G</w:t>
      </w:r>
      <w:r w:rsidR="00F31F17" w:rsidRPr="00477C42">
        <w:rPr>
          <w:rFonts w:ascii="Arial" w:hAnsi="Arial" w:cs="Arial"/>
          <w:i/>
          <w:iCs/>
        </w:rPr>
        <w:t xml:space="preserve">estion </w:t>
      </w:r>
      <w:r w:rsidR="00EF38BE" w:rsidRPr="00477C42">
        <w:rPr>
          <w:rFonts w:ascii="Arial" w:hAnsi="Arial" w:cs="Arial"/>
          <w:i/>
          <w:iCs/>
        </w:rPr>
        <w:t>E</w:t>
      </w:r>
      <w:r w:rsidR="00F31F17" w:rsidRPr="00477C42">
        <w:rPr>
          <w:rFonts w:ascii="Arial" w:hAnsi="Arial" w:cs="Arial"/>
          <w:i/>
          <w:iCs/>
        </w:rPr>
        <w:t xml:space="preserve">nvironnementale et </w:t>
      </w:r>
      <w:r w:rsidR="00EF38BE" w:rsidRPr="00477C42">
        <w:rPr>
          <w:rFonts w:ascii="Arial" w:hAnsi="Arial" w:cs="Arial"/>
          <w:i/>
          <w:iCs/>
        </w:rPr>
        <w:t>S</w:t>
      </w:r>
      <w:r w:rsidR="00F31F17" w:rsidRPr="00477C42">
        <w:rPr>
          <w:rFonts w:ascii="Arial" w:hAnsi="Arial" w:cs="Arial"/>
          <w:i/>
          <w:iCs/>
        </w:rPr>
        <w:t>ociale</w:t>
      </w:r>
      <w:r w:rsidR="00D36E2C">
        <w:rPr>
          <w:rFonts w:ascii="Arial" w:hAnsi="Arial" w:cs="Arial"/>
        </w:rPr>
        <w:t xml:space="preserve"> (PGES)</w:t>
      </w:r>
      <w:r w:rsidR="00F31F17" w:rsidRPr="00F31F17">
        <w:rPr>
          <w:rFonts w:ascii="Arial" w:hAnsi="Arial" w:cs="Arial"/>
        </w:rPr>
        <w:t>.</w:t>
      </w:r>
    </w:p>
    <w:p w14:paraId="74A19E59" w14:textId="77777777" w:rsidR="00B30487" w:rsidRPr="00257B8E" w:rsidRDefault="000132F9" w:rsidP="001B4B5B">
      <w:pPr>
        <w:spacing w:before="120" w:after="0" w:line="240" w:lineRule="auto"/>
        <w:jc w:val="both"/>
        <w:rPr>
          <w:rFonts w:ascii="Arial" w:hAnsi="Arial" w:cs="Arial"/>
        </w:rPr>
      </w:pPr>
      <w:r w:rsidRPr="00257B8E">
        <w:rPr>
          <w:rFonts w:ascii="Arial" w:hAnsi="Arial" w:cs="Arial"/>
        </w:rPr>
        <w:t xml:space="preserve">Le </w:t>
      </w:r>
      <w:r w:rsidR="00BA073F" w:rsidRPr="00257B8E">
        <w:rPr>
          <w:rFonts w:ascii="Arial" w:hAnsi="Arial" w:cs="Arial"/>
        </w:rPr>
        <w:t xml:space="preserve">présent </w:t>
      </w:r>
      <w:r w:rsidRPr="00257B8E">
        <w:rPr>
          <w:rFonts w:ascii="Arial" w:hAnsi="Arial" w:cs="Arial"/>
        </w:rPr>
        <w:t xml:space="preserve">PGES </w:t>
      </w:r>
      <w:r w:rsidR="00126978" w:rsidRPr="00257B8E">
        <w:rPr>
          <w:rFonts w:ascii="Arial" w:hAnsi="Arial" w:cs="Arial"/>
        </w:rPr>
        <w:t xml:space="preserve">adopté par le Gouvernement de la République </w:t>
      </w:r>
      <w:r w:rsidR="00477C42" w:rsidRPr="00257B8E">
        <w:rPr>
          <w:rFonts w:ascii="Arial" w:hAnsi="Arial" w:cs="Arial"/>
        </w:rPr>
        <w:t xml:space="preserve">de </w:t>
      </w:r>
      <w:r w:rsidR="00083181" w:rsidRPr="00257B8E">
        <w:rPr>
          <w:rFonts w:ascii="Arial" w:hAnsi="Arial" w:cs="Arial"/>
        </w:rPr>
        <w:t>Guinée</w:t>
      </w:r>
      <w:r w:rsidR="00372E57" w:rsidRPr="00257B8E">
        <w:rPr>
          <w:rFonts w:ascii="Arial" w:hAnsi="Arial" w:cs="Arial"/>
        </w:rPr>
        <w:t xml:space="preserve"> indique les dispositions législatives, opérationnelle, techniques et institutionnelle nécessaires pour mettre en </w:t>
      </w:r>
      <w:r w:rsidR="00CF75C8" w:rsidRPr="00257B8E">
        <w:rPr>
          <w:rFonts w:ascii="Arial" w:hAnsi="Arial" w:cs="Arial"/>
        </w:rPr>
        <w:t xml:space="preserve">œuvre </w:t>
      </w:r>
      <w:r w:rsidR="00944660" w:rsidRPr="00257B8E">
        <w:rPr>
          <w:rFonts w:ascii="Arial" w:hAnsi="Arial" w:cs="Arial"/>
        </w:rPr>
        <w:t xml:space="preserve">les activités du CERP tout en respectant </w:t>
      </w:r>
      <w:r w:rsidR="006511DF" w:rsidRPr="00257B8E">
        <w:rPr>
          <w:rFonts w:ascii="Arial" w:hAnsi="Arial" w:cs="Arial"/>
        </w:rPr>
        <w:t xml:space="preserve">la législation environnementale guinéenne, le Cadre environnemental et social </w:t>
      </w:r>
      <w:r w:rsidR="000F144A" w:rsidRPr="00257B8E">
        <w:rPr>
          <w:rFonts w:ascii="Arial" w:hAnsi="Arial" w:cs="Arial"/>
        </w:rPr>
        <w:t xml:space="preserve">(CES) de la Banque mondiale et ses Normes, les Directives Environnementales, Sécuritaires et Sanitaires </w:t>
      </w:r>
      <w:r w:rsidR="004B2843" w:rsidRPr="00257B8E">
        <w:rPr>
          <w:rFonts w:ascii="Arial" w:hAnsi="Arial" w:cs="Arial"/>
        </w:rPr>
        <w:t xml:space="preserve">ainsi que les Bonnes Pratiques Internationales. </w:t>
      </w:r>
    </w:p>
    <w:p w14:paraId="64329FAA" w14:textId="1DF4B8E6" w:rsidR="00D35DD4" w:rsidRPr="00B01850" w:rsidRDefault="00384F4D" w:rsidP="00C0281F">
      <w:pPr>
        <w:spacing w:after="0" w:line="240" w:lineRule="auto"/>
        <w:jc w:val="both"/>
        <w:rPr>
          <w:rFonts w:ascii="Arial" w:hAnsi="Arial" w:cs="Arial"/>
        </w:rPr>
      </w:pPr>
      <w:r>
        <w:rPr>
          <w:rFonts w:ascii="Arial" w:hAnsi="Arial" w:cs="Arial"/>
        </w:rPr>
        <w:t xml:space="preserve">Il fournit </w:t>
      </w:r>
      <w:r w:rsidRPr="00E77FFD">
        <w:rPr>
          <w:rFonts w:ascii="Arial" w:hAnsi="Arial" w:cs="Arial"/>
        </w:rPr>
        <w:t xml:space="preserve">aux </w:t>
      </w:r>
      <w:r w:rsidR="00E77FFD" w:rsidRPr="00E77FFD">
        <w:rPr>
          <w:rFonts w:ascii="Arial" w:hAnsi="Arial" w:cs="Arial"/>
        </w:rPr>
        <w:t>agenc</w:t>
      </w:r>
      <w:r w:rsidR="00E77FFD">
        <w:rPr>
          <w:rFonts w:ascii="Arial" w:hAnsi="Arial" w:cs="Arial"/>
        </w:rPr>
        <w:t xml:space="preserve">es de mise en œuvre du CERP, </w:t>
      </w:r>
      <w:r w:rsidR="002A1164">
        <w:rPr>
          <w:rFonts w:ascii="Arial" w:hAnsi="Arial" w:cs="Arial"/>
        </w:rPr>
        <w:t xml:space="preserve">les instruments </w:t>
      </w:r>
      <w:r w:rsidR="00AB7F2C">
        <w:rPr>
          <w:rFonts w:ascii="Arial" w:hAnsi="Arial" w:cs="Arial"/>
        </w:rPr>
        <w:t xml:space="preserve">pour une meilleure gestion des risques et effets environnementaux et sociaux négatifs du CERP. Celles-ci devraient donc </w:t>
      </w:r>
      <w:r w:rsidR="00AB7F2C" w:rsidRPr="007150ED">
        <w:rPr>
          <w:rFonts w:ascii="Arial" w:hAnsi="Arial" w:cs="Arial"/>
        </w:rPr>
        <w:t xml:space="preserve">se </w:t>
      </w:r>
      <w:r w:rsidR="00F13DDB" w:rsidRPr="007150ED">
        <w:rPr>
          <w:rFonts w:ascii="Arial" w:hAnsi="Arial" w:cs="Arial"/>
        </w:rPr>
        <w:t>familiariser avec le contenu</w:t>
      </w:r>
      <w:r w:rsidR="00C0281F" w:rsidRPr="007150ED">
        <w:rPr>
          <w:rFonts w:ascii="Arial" w:hAnsi="Arial" w:cs="Arial"/>
        </w:rPr>
        <w:t xml:space="preserve"> ce </w:t>
      </w:r>
      <w:r w:rsidR="00F13DDB" w:rsidRPr="007150ED">
        <w:rPr>
          <w:rFonts w:ascii="Arial" w:hAnsi="Arial" w:cs="Arial"/>
        </w:rPr>
        <w:t>PGES</w:t>
      </w:r>
      <w:r w:rsidR="007150ED" w:rsidRPr="007150ED">
        <w:rPr>
          <w:rFonts w:ascii="Arial" w:hAnsi="Arial" w:cs="Arial"/>
        </w:rPr>
        <w:t xml:space="preserve"> pour une gestion adéquate des activités d’urgence dont </w:t>
      </w:r>
      <w:r w:rsidR="00F13DDB" w:rsidRPr="007150ED">
        <w:rPr>
          <w:rFonts w:ascii="Arial" w:hAnsi="Arial" w:cs="Arial"/>
        </w:rPr>
        <w:t>la responsabilité</w:t>
      </w:r>
      <w:r w:rsidR="007150ED" w:rsidRPr="007150ED">
        <w:rPr>
          <w:rFonts w:ascii="Arial" w:hAnsi="Arial" w:cs="Arial"/>
        </w:rPr>
        <w:t xml:space="preserve"> de la mise en œuvre leur </w:t>
      </w:r>
      <w:r w:rsidR="00BF60CE">
        <w:rPr>
          <w:rFonts w:ascii="Arial" w:hAnsi="Arial" w:cs="Arial"/>
        </w:rPr>
        <w:t>est confiée</w:t>
      </w:r>
      <w:r w:rsidR="00F13DDB" w:rsidRPr="007150ED">
        <w:rPr>
          <w:rFonts w:ascii="Arial" w:hAnsi="Arial" w:cs="Arial"/>
        </w:rPr>
        <w:t>.</w:t>
      </w:r>
    </w:p>
    <w:p w14:paraId="09EEB7FC" w14:textId="77777777" w:rsidR="004A4427" w:rsidRPr="00B01850" w:rsidRDefault="004A4427" w:rsidP="004A4427">
      <w:pPr>
        <w:spacing w:after="0" w:line="240" w:lineRule="auto"/>
        <w:jc w:val="both"/>
        <w:rPr>
          <w:rFonts w:ascii="Arial" w:hAnsi="Arial" w:cs="Arial"/>
        </w:rPr>
      </w:pPr>
    </w:p>
    <w:p w14:paraId="42B8C38E" w14:textId="39D810D1" w:rsidR="009074BA" w:rsidRPr="001B4658" w:rsidRDefault="00037A9F" w:rsidP="004A4427">
      <w:pPr>
        <w:spacing w:after="0" w:line="240" w:lineRule="auto"/>
        <w:jc w:val="both"/>
        <w:rPr>
          <w:rFonts w:ascii="Arial" w:hAnsi="Arial" w:cs="Arial"/>
        </w:rPr>
      </w:pPr>
      <w:r w:rsidRPr="001B4658">
        <w:rPr>
          <w:rFonts w:ascii="Arial" w:hAnsi="Arial" w:cs="Arial"/>
        </w:rPr>
        <w:t xml:space="preserve">Le présent </w:t>
      </w:r>
      <w:r w:rsidR="00847097" w:rsidRPr="001B4658">
        <w:rPr>
          <w:rFonts w:ascii="Arial" w:hAnsi="Arial" w:cs="Arial"/>
        </w:rPr>
        <w:t xml:space="preserve">PGES </w:t>
      </w:r>
      <w:r w:rsidRPr="001B4658">
        <w:rPr>
          <w:rFonts w:ascii="Arial" w:hAnsi="Arial" w:cs="Arial"/>
        </w:rPr>
        <w:t xml:space="preserve">élaboré spécifiquement pour les activités du CERP, </w:t>
      </w:r>
      <w:r w:rsidR="00F27EA6" w:rsidRPr="001B4658">
        <w:rPr>
          <w:rFonts w:ascii="Arial" w:hAnsi="Arial" w:cs="Arial"/>
        </w:rPr>
        <w:t>comporte neuf (9) sections dont :</w:t>
      </w:r>
    </w:p>
    <w:p w14:paraId="385DF52A" w14:textId="77777777" w:rsidR="004A4427" w:rsidRPr="00B01850" w:rsidRDefault="004A4427" w:rsidP="004A4427">
      <w:pPr>
        <w:spacing w:after="0" w:line="240" w:lineRule="auto"/>
        <w:jc w:val="both"/>
        <w:rPr>
          <w:rFonts w:ascii="Arial" w:hAnsi="Arial" w:cs="Arial"/>
        </w:rPr>
      </w:pPr>
    </w:p>
    <w:p w14:paraId="6728E78D" w14:textId="4789C994" w:rsidR="008D4DB0" w:rsidRPr="0060250B" w:rsidRDefault="00647862" w:rsidP="00F01052">
      <w:pPr>
        <w:pStyle w:val="ListParagraph"/>
        <w:numPr>
          <w:ilvl w:val="0"/>
          <w:numId w:val="2"/>
        </w:numPr>
        <w:spacing w:after="0" w:line="240" w:lineRule="auto"/>
        <w:jc w:val="both"/>
        <w:rPr>
          <w:rFonts w:ascii="Arial" w:hAnsi="Arial" w:cs="Arial"/>
        </w:rPr>
      </w:pPr>
      <w:r w:rsidRPr="00255C1C">
        <w:rPr>
          <w:rFonts w:ascii="Arial" w:hAnsi="Arial" w:cs="Arial"/>
          <w:b/>
          <w:bCs/>
        </w:rPr>
        <w:t>S</w:t>
      </w:r>
      <w:r w:rsidR="00BE0544" w:rsidRPr="00255C1C">
        <w:rPr>
          <w:rFonts w:ascii="Arial" w:hAnsi="Arial" w:cs="Arial"/>
          <w:b/>
          <w:bCs/>
        </w:rPr>
        <w:t>ection 1</w:t>
      </w:r>
      <w:r w:rsidR="00255C1C">
        <w:rPr>
          <w:rFonts w:ascii="Arial" w:hAnsi="Arial" w:cs="Arial"/>
          <w:b/>
          <w:bCs/>
        </w:rPr>
        <w:t> </w:t>
      </w:r>
      <w:r w:rsidR="00255C1C">
        <w:rPr>
          <w:rFonts w:ascii="Arial" w:hAnsi="Arial" w:cs="Arial"/>
        </w:rPr>
        <w:t>:</w:t>
      </w:r>
      <w:r w:rsidR="00BE0544" w:rsidRPr="00255C1C">
        <w:rPr>
          <w:rFonts w:ascii="Arial" w:hAnsi="Arial" w:cs="Arial"/>
        </w:rPr>
        <w:t xml:space="preserve"> </w:t>
      </w:r>
      <w:r w:rsidR="00097AAA" w:rsidRPr="0060250B">
        <w:rPr>
          <w:rFonts w:ascii="Arial" w:hAnsi="Arial" w:cs="Arial"/>
        </w:rPr>
        <w:t xml:space="preserve">présente le contexte </w:t>
      </w:r>
      <w:r w:rsidR="0085586C" w:rsidRPr="0060250B">
        <w:rPr>
          <w:rFonts w:ascii="Arial" w:hAnsi="Arial" w:cs="Arial"/>
        </w:rPr>
        <w:t xml:space="preserve">de la </w:t>
      </w:r>
      <w:r w:rsidR="00330A96" w:rsidRPr="0060250B">
        <w:rPr>
          <w:rFonts w:ascii="Arial" w:hAnsi="Arial" w:cs="Arial"/>
        </w:rPr>
        <w:t>sollicitation du contexte du projet de réponse d'urgence contingente</w:t>
      </w:r>
      <w:r w:rsidR="00330A96" w:rsidRPr="0060250B">
        <w:rPr>
          <w:rFonts w:ascii="Arial" w:hAnsi="Arial" w:cs="Arial"/>
        </w:rPr>
        <w:t xml:space="preserve"> </w:t>
      </w:r>
      <w:r w:rsidR="00330A96" w:rsidRPr="0060250B">
        <w:rPr>
          <w:rFonts w:ascii="Arial" w:hAnsi="Arial" w:cs="Arial"/>
        </w:rPr>
        <w:t xml:space="preserve">par la </w:t>
      </w:r>
      <w:r w:rsidR="004627EC" w:rsidRPr="0060250B">
        <w:rPr>
          <w:rFonts w:ascii="Arial" w:hAnsi="Arial" w:cs="Arial"/>
        </w:rPr>
        <w:t xml:space="preserve">République de </w:t>
      </w:r>
      <w:r w:rsidR="00330A96" w:rsidRPr="0060250B">
        <w:rPr>
          <w:rFonts w:ascii="Arial" w:hAnsi="Arial" w:cs="Arial"/>
        </w:rPr>
        <w:t>Guinée</w:t>
      </w:r>
      <w:r w:rsidR="0073352B" w:rsidRPr="0060250B">
        <w:rPr>
          <w:rFonts w:ascii="Arial" w:hAnsi="Arial" w:cs="Arial"/>
        </w:rPr>
        <w:t xml:space="preserve"> pour lequel le présent la mise en œuvre duquel </w:t>
      </w:r>
      <w:r w:rsidR="00097AAA" w:rsidRPr="0060250B">
        <w:rPr>
          <w:rFonts w:ascii="Arial" w:hAnsi="Arial" w:cs="Arial"/>
        </w:rPr>
        <w:t xml:space="preserve">le PGES </w:t>
      </w:r>
      <w:r w:rsidR="0073352B" w:rsidRPr="0060250B">
        <w:rPr>
          <w:rFonts w:ascii="Arial" w:hAnsi="Arial" w:cs="Arial"/>
        </w:rPr>
        <w:t>est élaboré</w:t>
      </w:r>
      <w:r w:rsidR="00AD184B" w:rsidRPr="0060250B">
        <w:rPr>
          <w:rFonts w:ascii="Arial" w:hAnsi="Arial" w:cs="Arial"/>
        </w:rPr>
        <w:t xml:space="preserve"> pour soutenir la mise en œuvre des activités d’urgences.</w:t>
      </w:r>
    </w:p>
    <w:p w14:paraId="195C537F" w14:textId="088664F0" w:rsidR="0084538D" w:rsidRPr="0060250B" w:rsidRDefault="00647862" w:rsidP="00D5281F">
      <w:pPr>
        <w:pStyle w:val="ListParagraph"/>
        <w:numPr>
          <w:ilvl w:val="0"/>
          <w:numId w:val="2"/>
        </w:numPr>
        <w:spacing w:before="120" w:after="0" w:line="240" w:lineRule="auto"/>
        <w:contextualSpacing w:val="0"/>
        <w:jc w:val="both"/>
        <w:rPr>
          <w:rFonts w:ascii="Arial" w:hAnsi="Arial" w:cs="Arial"/>
        </w:rPr>
      </w:pPr>
      <w:r w:rsidRPr="00255C1C">
        <w:rPr>
          <w:rFonts w:ascii="Arial" w:hAnsi="Arial" w:cs="Arial"/>
          <w:b/>
          <w:bCs/>
        </w:rPr>
        <w:t>S</w:t>
      </w:r>
      <w:r w:rsidR="006068E8" w:rsidRPr="00255C1C">
        <w:rPr>
          <w:rFonts w:ascii="Arial" w:hAnsi="Arial" w:cs="Arial"/>
          <w:b/>
          <w:bCs/>
        </w:rPr>
        <w:t>ection 2</w:t>
      </w:r>
      <w:r w:rsidR="00255C1C">
        <w:rPr>
          <w:rFonts w:ascii="Arial" w:hAnsi="Arial" w:cs="Arial"/>
          <w:b/>
          <w:bCs/>
        </w:rPr>
        <w:t> </w:t>
      </w:r>
      <w:r w:rsidR="00255C1C">
        <w:rPr>
          <w:rFonts w:ascii="Arial" w:hAnsi="Arial" w:cs="Arial"/>
          <w:bCs/>
        </w:rPr>
        <w:t>:</w:t>
      </w:r>
      <w:r w:rsidR="006068E8" w:rsidRPr="00255C1C">
        <w:rPr>
          <w:rFonts w:ascii="Arial" w:hAnsi="Arial" w:cs="Arial"/>
          <w:bCs/>
        </w:rPr>
        <w:t xml:space="preserve"> </w:t>
      </w:r>
      <w:r w:rsidR="00217B49" w:rsidRPr="0060250B">
        <w:rPr>
          <w:rFonts w:ascii="Arial" w:hAnsi="Arial" w:cs="Arial"/>
          <w:bCs/>
        </w:rPr>
        <w:t xml:space="preserve">fournit une brève description </w:t>
      </w:r>
      <w:r w:rsidR="004A6B76" w:rsidRPr="0060250B">
        <w:rPr>
          <w:rFonts w:ascii="Arial" w:hAnsi="Arial" w:cs="Arial"/>
          <w:bCs/>
        </w:rPr>
        <w:t xml:space="preserve">de </w:t>
      </w:r>
      <w:r w:rsidR="00203A96" w:rsidRPr="0060250B">
        <w:rPr>
          <w:rFonts w:ascii="Arial" w:hAnsi="Arial" w:cs="Arial"/>
          <w:bCs/>
        </w:rPr>
        <w:t xml:space="preserve">la </w:t>
      </w:r>
      <w:r w:rsidR="00AD0FDE" w:rsidRPr="0060250B">
        <w:rPr>
          <w:rFonts w:ascii="Arial" w:hAnsi="Arial" w:cs="Arial"/>
          <w:bCs/>
        </w:rPr>
        <w:t xml:space="preserve">situation </w:t>
      </w:r>
      <w:r w:rsidR="006068E8" w:rsidRPr="0060250B">
        <w:rPr>
          <w:rFonts w:ascii="Arial" w:hAnsi="Arial" w:cs="Arial"/>
        </w:rPr>
        <w:t xml:space="preserve">environnementale et sociale de </w:t>
      </w:r>
      <w:r w:rsidR="00AD0FDE" w:rsidRPr="0060250B">
        <w:rPr>
          <w:rFonts w:ascii="Arial" w:hAnsi="Arial" w:cs="Arial"/>
        </w:rPr>
        <w:t>la Guinée</w:t>
      </w:r>
      <w:r w:rsidR="0060250B" w:rsidRPr="0060250B">
        <w:rPr>
          <w:rFonts w:ascii="Arial" w:hAnsi="Arial" w:cs="Arial"/>
        </w:rPr>
        <w:t>.</w:t>
      </w:r>
    </w:p>
    <w:p w14:paraId="75B13CCF" w14:textId="77777777" w:rsidR="00987218" w:rsidRPr="00B01850" w:rsidRDefault="00987218" w:rsidP="004A4427">
      <w:pPr>
        <w:pStyle w:val="ListParagraph"/>
        <w:spacing w:after="0" w:line="240" w:lineRule="auto"/>
        <w:jc w:val="both"/>
        <w:rPr>
          <w:rFonts w:ascii="Arial" w:hAnsi="Arial" w:cs="Arial"/>
          <w:highlight w:val="yellow"/>
        </w:rPr>
      </w:pPr>
    </w:p>
    <w:p w14:paraId="369B18E3" w14:textId="6E8A5BB1" w:rsidR="004A4427" w:rsidRPr="00141D5C" w:rsidRDefault="00255C1C" w:rsidP="00F01052">
      <w:pPr>
        <w:pStyle w:val="ListParagraph"/>
        <w:numPr>
          <w:ilvl w:val="0"/>
          <w:numId w:val="2"/>
        </w:numPr>
        <w:spacing w:after="0" w:line="240" w:lineRule="auto"/>
        <w:jc w:val="both"/>
        <w:rPr>
          <w:rFonts w:ascii="Arial" w:hAnsi="Arial" w:cs="Arial"/>
        </w:rPr>
      </w:pPr>
      <w:r w:rsidRPr="00141D5C">
        <w:rPr>
          <w:rFonts w:ascii="Arial" w:hAnsi="Arial" w:cs="Arial"/>
          <w:b/>
          <w:bCs/>
        </w:rPr>
        <w:t>S</w:t>
      </w:r>
      <w:r w:rsidR="0084538D" w:rsidRPr="00141D5C">
        <w:rPr>
          <w:rFonts w:ascii="Arial" w:hAnsi="Arial" w:cs="Arial"/>
          <w:b/>
          <w:bCs/>
        </w:rPr>
        <w:t>ection 3</w:t>
      </w:r>
      <w:r w:rsidRPr="00141D5C">
        <w:rPr>
          <w:rFonts w:ascii="Arial" w:hAnsi="Arial" w:cs="Arial"/>
          <w:b/>
          <w:bCs/>
        </w:rPr>
        <w:t> </w:t>
      </w:r>
      <w:r w:rsidRPr="00141D5C">
        <w:rPr>
          <w:rFonts w:ascii="Arial" w:hAnsi="Arial" w:cs="Arial"/>
        </w:rPr>
        <w:t>:</w:t>
      </w:r>
      <w:r w:rsidR="0084538D" w:rsidRPr="00141D5C">
        <w:rPr>
          <w:rFonts w:ascii="Arial" w:hAnsi="Arial" w:cs="Arial"/>
        </w:rPr>
        <w:t xml:space="preserve"> </w:t>
      </w:r>
      <w:r w:rsidR="00141D5C" w:rsidRPr="00141D5C">
        <w:rPr>
          <w:rFonts w:ascii="Arial" w:hAnsi="Arial" w:cs="Arial"/>
        </w:rPr>
        <w:t xml:space="preserve">indique l’objectif </w:t>
      </w:r>
      <w:r w:rsidR="008E1147">
        <w:rPr>
          <w:rFonts w:ascii="Arial" w:hAnsi="Arial" w:cs="Arial"/>
        </w:rPr>
        <w:t xml:space="preserve">de développement </w:t>
      </w:r>
      <w:r w:rsidR="00141D5C" w:rsidRPr="00141D5C">
        <w:rPr>
          <w:rFonts w:ascii="Arial" w:hAnsi="Arial" w:cs="Arial"/>
        </w:rPr>
        <w:t>du projet ainsi que les activités d’urgence</w:t>
      </w:r>
      <w:r w:rsidR="00BE0544" w:rsidRPr="00141D5C">
        <w:rPr>
          <w:rFonts w:ascii="Arial" w:hAnsi="Arial" w:cs="Arial"/>
        </w:rPr>
        <w:t xml:space="preserve"> </w:t>
      </w:r>
      <w:r w:rsidR="008E1147">
        <w:rPr>
          <w:rFonts w:ascii="Arial" w:hAnsi="Arial" w:cs="Arial"/>
        </w:rPr>
        <w:t xml:space="preserve">prises en charge par </w:t>
      </w:r>
      <w:r w:rsidR="00141D5C" w:rsidRPr="00141D5C">
        <w:rPr>
          <w:rFonts w:ascii="Arial" w:hAnsi="Arial" w:cs="Arial"/>
        </w:rPr>
        <w:t xml:space="preserve">le </w:t>
      </w:r>
      <w:r w:rsidR="00BE0544" w:rsidRPr="00141D5C">
        <w:rPr>
          <w:rFonts w:ascii="Arial" w:hAnsi="Arial" w:cs="Arial"/>
        </w:rPr>
        <w:t>CERP</w:t>
      </w:r>
    </w:p>
    <w:p w14:paraId="13A95750" w14:textId="60644998" w:rsidR="009676EE" w:rsidRPr="00214E80" w:rsidRDefault="00141D5C" w:rsidP="00214E80">
      <w:pPr>
        <w:pStyle w:val="ListParagraph"/>
        <w:numPr>
          <w:ilvl w:val="0"/>
          <w:numId w:val="2"/>
        </w:numPr>
        <w:spacing w:before="120" w:after="0" w:line="240" w:lineRule="auto"/>
        <w:contextualSpacing w:val="0"/>
        <w:jc w:val="both"/>
        <w:rPr>
          <w:rFonts w:ascii="Arial" w:hAnsi="Arial" w:cs="Arial"/>
        </w:rPr>
      </w:pPr>
      <w:r w:rsidRPr="00812044">
        <w:rPr>
          <w:rFonts w:ascii="Arial" w:hAnsi="Arial" w:cs="Arial"/>
          <w:b/>
          <w:bCs/>
        </w:rPr>
        <w:t>S</w:t>
      </w:r>
      <w:r w:rsidR="009074BA" w:rsidRPr="00812044">
        <w:rPr>
          <w:rFonts w:ascii="Arial" w:hAnsi="Arial" w:cs="Arial"/>
          <w:b/>
          <w:bCs/>
        </w:rPr>
        <w:t>ection 4</w:t>
      </w:r>
      <w:r w:rsidRPr="00812044">
        <w:rPr>
          <w:rFonts w:ascii="Arial" w:hAnsi="Arial" w:cs="Arial"/>
          <w:b/>
          <w:bCs/>
        </w:rPr>
        <w:t> </w:t>
      </w:r>
      <w:r w:rsidRPr="00812044">
        <w:rPr>
          <w:rFonts w:ascii="Arial" w:hAnsi="Arial" w:cs="Arial"/>
        </w:rPr>
        <w:t>:</w:t>
      </w:r>
      <w:r w:rsidR="009074BA" w:rsidRPr="00812044">
        <w:rPr>
          <w:rFonts w:ascii="Arial" w:hAnsi="Arial" w:cs="Arial"/>
        </w:rPr>
        <w:t xml:space="preserve"> </w:t>
      </w:r>
      <w:r w:rsidR="00451EE1" w:rsidRPr="00812044">
        <w:rPr>
          <w:rFonts w:ascii="Arial" w:hAnsi="Arial" w:cs="Arial"/>
        </w:rPr>
        <w:t>fait une revue de</w:t>
      </w:r>
      <w:r w:rsidR="00516EA0" w:rsidRPr="00812044">
        <w:rPr>
          <w:rFonts w:ascii="Arial" w:hAnsi="Arial" w:cs="Arial"/>
        </w:rPr>
        <w:t xml:space="preserve"> la </w:t>
      </w:r>
      <w:r w:rsidR="0028333E" w:rsidRPr="00812044">
        <w:rPr>
          <w:rFonts w:ascii="Arial" w:hAnsi="Arial" w:cs="Arial"/>
        </w:rPr>
        <w:t xml:space="preserve">législation nationale </w:t>
      </w:r>
      <w:r w:rsidR="00516EA0" w:rsidRPr="00812044">
        <w:rPr>
          <w:rFonts w:ascii="Arial" w:hAnsi="Arial" w:cs="Arial"/>
        </w:rPr>
        <w:t xml:space="preserve">et internationale ainsi que les normes, directives et </w:t>
      </w:r>
      <w:r w:rsidR="00832E50" w:rsidRPr="00812044">
        <w:rPr>
          <w:rFonts w:ascii="Arial" w:hAnsi="Arial" w:cs="Arial"/>
        </w:rPr>
        <w:t xml:space="preserve">bonnes pratiques applicables </w:t>
      </w:r>
      <w:r w:rsidR="0028333E" w:rsidRPr="00812044">
        <w:rPr>
          <w:rFonts w:ascii="Arial" w:hAnsi="Arial" w:cs="Arial"/>
        </w:rPr>
        <w:t xml:space="preserve">relatives à </w:t>
      </w:r>
      <w:r w:rsidR="00EE3672" w:rsidRPr="00812044">
        <w:rPr>
          <w:rFonts w:ascii="Arial" w:hAnsi="Arial" w:cs="Arial"/>
        </w:rPr>
        <w:t xml:space="preserve">la sauvegarde </w:t>
      </w:r>
      <w:proofErr w:type="spellStart"/>
      <w:proofErr w:type="gramStart"/>
      <w:r w:rsidR="00812044" w:rsidRPr="00812044">
        <w:rPr>
          <w:rFonts w:ascii="Arial" w:hAnsi="Arial" w:cs="Arial"/>
        </w:rPr>
        <w:t>environneme,tale</w:t>
      </w:r>
      <w:proofErr w:type="spellEnd"/>
      <w:proofErr w:type="gramEnd"/>
      <w:r w:rsidR="00812044" w:rsidRPr="00812044">
        <w:rPr>
          <w:rFonts w:ascii="Arial" w:hAnsi="Arial" w:cs="Arial"/>
        </w:rPr>
        <w:t xml:space="preserve"> et sociale.</w:t>
      </w:r>
    </w:p>
    <w:p w14:paraId="28233487" w14:textId="24E3DE9B" w:rsidR="006A3055" w:rsidRPr="005C7BC3" w:rsidRDefault="00812044" w:rsidP="005C7BC3">
      <w:pPr>
        <w:pStyle w:val="ListParagraph"/>
        <w:numPr>
          <w:ilvl w:val="0"/>
          <w:numId w:val="2"/>
        </w:numPr>
        <w:spacing w:before="120" w:after="0" w:line="240" w:lineRule="auto"/>
        <w:contextualSpacing w:val="0"/>
        <w:jc w:val="both"/>
        <w:rPr>
          <w:rFonts w:ascii="Arial" w:hAnsi="Arial" w:cs="Arial"/>
        </w:rPr>
      </w:pPr>
      <w:r w:rsidRPr="005C7BC3">
        <w:rPr>
          <w:rFonts w:ascii="Arial" w:hAnsi="Arial" w:cs="Arial"/>
          <w:b/>
          <w:bCs/>
        </w:rPr>
        <w:t>S</w:t>
      </w:r>
      <w:r w:rsidR="00EA0F2F" w:rsidRPr="005C7BC3">
        <w:rPr>
          <w:rFonts w:ascii="Arial" w:hAnsi="Arial" w:cs="Arial"/>
          <w:b/>
          <w:bCs/>
        </w:rPr>
        <w:t>ection 5</w:t>
      </w:r>
      <w:r w:rsidRPr="005C7BC3">
        <w:rPr>
          <w:rFonts w:ascii="Arial" w:hAnsi="Arial" w:cs="Arial"/>
          <w:b/>
          <w:bCs/>
        </w:rPr>
        <w:t> :</w:t>
      </w:r>
      <w:r w:rsidR="00EA0F2F" w:rsidRPr="005C7BC3">
        <w:rPr>
          <w:rFonts w:ascii="Arial" w:hAnsi="Arial" w:cs="Arial"/>
          <w:b/>
          <w:bCs/>
          <w:i/>
          <w:iCs/>
        </w:rPr>
        <w:t xml:space="preserve"> </w:t>
      </w:r>
      <w:r w:rsidR="0009509A" w:rsidRPr="005C7BC3">
        <w:rPr>
          <w:rFonts w:ascii="Arial" w:hAnsi="Arial" w:cs="Arial"/>
        </w:rPr>
        <w:t xml:space="preserve">indique d’autres mesures de maîtrise des risques et impacts </w:t>
      </w:r>
      <w:r w:rsidR="00974193" w:rsidRPr="005C7BC3">
        <w:rPr>
          <w:rFonts w:ascii="Arial" w:hAnsi="Arial" w:cs="Arial"/>
        </w:rPr>
        <w:t>environnementaux et sociaux du CERP en faisant état de la liste indicative positive</w:t>
      </w:r>
      <w:r w:rsidR="00315294" w:rsidRPr="005C7BC3">
        <w:rPr>
          <w:rFonts w:ascii="Arial" w:hAnsi="Arial" w:cs="Arial"/>
        </w:rPr>
        <w:t xml:space="preserve"> et de la liste indicative négative.</w:t>
      </w:r>
    </w:p>
    <w:p w14:paraId="106B0BE6" w14:textId="7A8AD5AC" w:rsidR="001809D0" w:rsidRPr="004C310C" w:rsidRDefault="00737000" w:rsidP="005C7BC3">
      <w:pPr>
        <w:pStyle w:val="ListParagraph"/>
        <w:numPr>
          <w:ilvl w:val="0"/>
          <w:numId w:val="2"/>
        </w:numPr>
        <w:spacing w:before="120" w:after="0" w:line="240" w:lineRule="auto"/>
        <w:contextualSpacing w:val="0"/>
        <w:jc w:val="both"/>
        <w:rPr>
          <w:rFonts w:ascii="Arial" w:hAnsi="Arial" w:cs="Arial"/>
        </w:rPr>
      </w:pPr>
      <w:r w:rsidRPr="004C310C">
        <w:rPr>
          <w:rFonts w:ascii="Arial" w:hAnsi="Arial" w:cs="Arial"/>
          <w:b/>
          <w:bCs/>
        </w:rPr>
        <w:t>S</w:t>
      </w:r>
      <w:r w:rsidR="00DB4B79" w:rsidRPr="004C310C">
        <w:rPr>
          <w:rFonts w:ascii="Arial" w:hAnsi="Arial" w:cs="Arial"/>
          <w:b/>
          <w:bCs/>
        </w:rPr>
        <w:t>ection 6</w:t>
      </w:r>
      <w:r w:rsidR="00DB4B79" w:rsidRPr="004C310C">
        <w:rPr>
          <w:rFonts w:ascii="Arial" w:hAnsi="Arial" w:cs="Arial"/>
          <w:b/>
          <w:bCs/>
          <w:i/>
          <w:iCs/>
        </w:rPr>
        <w:t xml:space="preserve"> </w:t>
      </w:r>
      <w:r w:rsidR="00462E1D" w:rsidRPr="004C310C">
        <w:rPr>
          <w:rFonts w:ascii="Arial" w:hAnsi="Arial" w:cs="Arial"/>
        </w:rPr>
        <w:t xml:space="preserve">indique les principales mesures d'atténuation à mettre en œuvre durant l’exécution </w:t>
      </w:r>
      <w:r w:rsidR="00C2032C" w:rsidRPr="004C310C">
        <w:rPr>
          <w:rFonts w:ascii="Arial" w:hAnsi="Arial" w:cs="Arial"/>
        </w:rPr>
        <w:t xml:space="preserve">des activités </w:t>
      </w:r>
      <w:r w:rsidR="004C310C" w:rsidRPr="004C310C">
        <w:rPr>
          <w:rFonts w:ascii="Arial" w:hAnsi="Arial" w:cs="Arial"/>
        </w:rPr>
        <w:t>d’urgence</w:t>
      </w:r>
    </w:p>
    <w:p w14:paraId="52B2CDB0" w14:textId="57696C89" w:rsidR="001809D0" w:rsidRPr="00B6026A" w:rsidRDefault="00A07286" w:rsidP="005C7BC3">
      <w:pPr>
        <w:pStyle w:val="ListParagraph"/>
        <w:numPr>
          <w:ilvl w:val="0"/>
          <w:numId w:val="2"/>
        </w:numPr>
        <w:spacing w:before="120" w:after="0" w:line="240" w:lineRule="auto"/>
        <w:contextualSpacing w:val="0"/>
        <w:jc w:val="both"/>
        <w:rPr>
          <w:rFonts w:ascii="Arial" w:hAnsi="Arial" w:cs="Arial"/>
        </w:rPr>
      </w:pPr>
      <w:r w:rsidRPr="00B6026A">
        <w:rPr>
          <w:rFonts w:ascii="Arial" w:hAnsi="Arial" w:cs="Arial"/>
          <w:b/>
          <w:bCs/>
        </w:rPr>
        <w:t>S</w:t>
      </w:r>
      <w:r w:rsidR="007F4ACB" w:rsidRPr="00B6026A">
        <w:rPr>
          <w:rFonts w:ascii="Arial" w:hAnsi="Arial" w:cs="Arial"/>
          <w:b/>
          <w:bCs/>
        </w:rPr>
        <w:t>ection 7</w:t>
      </w:r>
      <w:r w:rsidR="007F4ACB" w:rsidRPr="00B6026A">
        <w:rPr>
          <w:rFonts w:ascii="Arial" w:hAnsi="Arial" w:cs="Arial"/>
          <w:b/>
          <w:bCs/>
          <w:i/>
          <w:iCs/>
        </w:rPr>
        <w:t xml:space="preserve"> </w:t>
      </w:r>
      <w:r w:rsidRPr="00B6026A">
        <w:rPr>
          <w:rFonts w:ascii="Arial" w:hAnsi="Arial" w:cs="Arial"/>
          <w:b/>
          <w:bCs/>
        </w:rPr>
        <w:t xml:space="preserve">développe </w:t>
      </w:r>
      <w:r w:rsidR="00465CC5" w:rsidRPr="00B6026A">
        <w:rPr>
          <w:rFonts w:ascii="Arial" w:hAnsi="Arial" w:cs="Arial"/>
        </w:rPr>
        <w:t xml:space="preserve">le processus de </w:t>
      </w:r>
      <w:r w:rsidR="001B776D" w:rsidRPr="00B6026A">
        <w:rPr>
          <w:rFonts w:ascii="Arial" w:hAnsi="Arial" w:cs="Arial"/>
        </w:rPr>
        <w:t xml:space="preserve">consultation des parties prenantes et la diffusion de l’information </w:t>
      </w:r>
      <w:r w:rsidR="00B6026A" w:rsidRPr="00B6026A">
        <w:rPr>
          <w:rFonts w:ascii="Arial" w:hAnsi="Arial" w:cs="Arial"/>
        </w:rPr>
        <w:t>dans le cadre de la préparation et la mise en œuvre du CERP.</w:t>
      </w:r>
    </w:p>
    <w:p w14:paraId="06C314B6" w14:textId="55AB8621" w:rsidR="006A3055" w:rsidRPr="00903A44" w:rsidRDefault="00465CC5" w:rsidP="005C7BC3">
      <w:pPr>
        <w:pStyle w:val="ListParagraph"/>
        <w:numPr>
          <w:ilvl w:val="0"/>
          <w:numId w:val="2"/>
        </w:numPr>
        <w:spacing w:before="120" w:after="0" w:line="240" w:lineRule="auto"/>
        <w:contextualSpacing w:val="0"/>
        <w:jc w:val="both"/>
        <w:rPr>
          <w:rFonts w:ascii="Arial" w:hAnsi="Arial" w:cs="Arial"/>
        </w:rPr>
      </w:pPr>
      <w:r w:rsidRPr="00903A44">
        <w:rPr>
          <w:rFonts w:ascii="Arial" w:hAnsi="Arial" w:cs="Arial"/>
          <w:b/>
          <w:bCs/>
        </w:rPr>
        <w:t>Section 8</w:t>
      </w:r>
      <w:r w:rsidR="0048605B" w:rsidRPr="00903A44">
        <w:rPr>
          <w:rFonts w:ascii="Arial" w:hAnsi="Arial" w:cs="Arial"/>
          <w:b/>
          <w:bCs/>
        </w:rPr>
        <w:t> </w:t>
      </w:r>
      <w:r w:rsidR="0048605B" w:rsidRPr="00903A44">
        <w:rPr>
          <w:rFonts w:ascii="Arial" w:hAnsi="Arial" w:cs="Arial"/>
        </w:rPr>
        <w:t>:</w:t>
      </w:r>
      <w:r w:rsidRPr="00903A44">
        <w:rPr>
          <w:rFonts w:ascii="Arial" w:hAnsi="Arial" w:cs="Arial"/>
        </w:rPr>
        <w:t xml:space="preserve"> </w:t>
      </w:r>
      <w:r w:rsidR="00054421" w:rsidRPr="00903A44">
        <w:rPr>
          <w:rFonts w:ascii="Arial" w:hAnsi="Arial" w:cs="Arial"/>
        </w:rPr>
        <w:t xml:space="preserve">cette partie traite des arrangements institutionnels </w:t>
      </w:r>
      <w:r w:rsidR="00A04EA0" w:rsidRPr="00903A44">
        <w:rPr>
          <w:rFonts w:ascii="Arial" w:hAnsi="Arial" w:cs="Arial"/>
        </w:rPr>
        <w:t xml:space="preserve">et des responsabilités dans la préparation </w:t>
      </w:r>
      <w:r w:rsidR="00DE4651" w:rsidRPr="00903A44">
        <w:rPr>
          <w:rFonts w:ascii="Arial" w:hAnsi="Arial" w:cs="Arial"/>
        </w:rPr>
        <w:t xml:space="preserve">aux situations d’urgence ainsi que </w:t>
      </w:r>
      <w:r w:rsidR="00A04EA0" w:rsidRPr="00903A44">
        <w:rPr>
          <w:rFonts w:ascii="Arial" w:hAnsi="Arial" w:cs="Arial"/>
        </w:rPr>
        <w:t xml:space="preserve">la gestion </w:t>
      </w:r>
      <w:r w:rsidRPr="00903A44">
        <w:rPr>
          <w:rFonts w:ascii="Arial" w:hAnsi="Arial" w:cs="Arial"/>
        </w:rPr>
        <w:t xml:space="preserve">des </w:t>
      </w:r>
      <w:r w:rsidR="00B52064" w:rsidRPr="00903A44">
        <w:rPr>
          <w:rFonts w:ascii="Arial" w:hAnsi="Arial" w:cs="Arial"/>
        </w:rPr>
        <w:t>a</w:t>
      </w:r>
      <w:r w:rsidRPr="00903A44">
        <w:rPr>
          <w:rFonts w:ascii="Arial" w:hAnsi="Arial" w:cs="Arial"/>
        </w:rPr>
        <w:t>ctivités</w:t>
      </w:r>
      <w:r w:rsidR="00B52064" w:rsidRPr="00903A44">
        <w:rPr>
          <w:rFonts w:ascii="Arial" w:hAnsi="Arial" w:cs="Arial"/>
        </w:rPr>
        <w:t xml:space="preserve"> indiquées </w:t>
      </w:r>
      <w:r w:rsidR="00903A44" w:rsidRPr="00903A44">
        <w:rPr>
          <w:rFonts w:ascii="Arial" w:hAnsi="Arial" w:cs="Arial"/>
        </w:rPr>
        <w:t>par le gouvernement</w:t>
      </w:r>
      <w:r w:rsidRPr="00903A44">
        <w:rPr>
          <w:rFonts w:ascii="Arial" w:hAnsi="Arial" w:cs="Arial"/>
        </w:rPr>
        <w:t>.</w:t>
      </w:r>
    </w:p>
    <w:p w14:paraId="6C2F4B9A" w14:textId="3A99C38C" w:rsidR="004A4427" w:rsidRPr="002231BD" w:rsidRDefault="2D9C0F9B" w:rsidP="005C7BC3">
      <w:pPr>
        <w:pStyle w:val="ListParagraph"/>
        <w:numPr>
          <w:ilvl w:val="0"/>
          <w:numId w:val="2"/>
        </w:numPr>
        <w:spacing w:before="120" w:after="0" w:line="240" w:lineRule="auto"/>
        <w:contextualSpacing w:val="0"/>
        <w:jc w:val="both"/>
        <w:rPr>
          <w:rFonts w:ascii="Arial" w:hAnsi="Arial" w:cs="Arial"/>
        </w:rPr>
      </w:pPr>
      <w:r w:rsidRPr="002231BD">
        <w:rPr>
          <w:rFonts w:ascii="Arial" w:hAnsi="Arial" w:cs="Arial"/>
          <w:b/>
          <w:bCs/>
        </w:rPr>
        <w:t>Section 9</w:t>
      </w:r>
      <w:r w:rsidR="0048605B" w:rsidRPr="002231BD">
        <w:rPr>
          <w:rFonts w:ascii="Arial" w:hAnsi="Arial" w:cs="Arial"/>
          <w:b/>
          <w:bCs/>
        </w:rPr>
        <w:t> :</w:t>
      </w:r>
      <w:r w:rsidRPr="002231BD">
        <w:rPr>
          <w:rFonts w:ascii="Arial" w:hAnsi="Arial" w:cs="Arial"/>
          <w:b/>
          <w:bCs/>
          <w:i/>
          <w:iCs/>
        </w:rPr>
        <w:t xml:space="preserve"> </w:t>
      </w:r>
      <w:r w:rsidR="007B2DAE" w:rsidRPr="002231BD">
        <w:rPr>
          <w:rFonts w:ascii="Arial" w:hAnsi="Arial" w:cs="Arial"/>
          <w:b/>
          <w:bCs/>
        </w:rPr>
        <w:t xml:space="preserve">porte sur le suivi des activités d’urgence indiquées par le gouvernement et </w:t>
      </w:r>
      <w:r w:rsidR="00024EFD" w:rsidRPr="002231BD">
        <w:rPr>
          <w:rFonts w:ascii="Arial" w:hAnsi="Arial" w:cs="Arial"/>
          <w:b/>
          <w:bCs/>
        </w:rPr>
        <w:t>l’</w:t>
      </w:r>
      <w:r w:rsidRPr="002231BD">
        <w:rPr>
          <w:rFonts w:ascii="Arial" w:hAnsi="Arial" w:cs="Arial"/>
        </w:rPr>
        <w:t xml:space="preserve">Établissement de Rapports </w:t>
      </w:r>
      <w:r w:rsidR="00024EFD" w:rsidRPr="002231BD">
        <w:rPr>
          <w:rFonts w:ascii="Arial" w:hAnsi="Arial" w:cs="Arial"/>
        </w:rPr>
        <w:t>relatifs à la mise en œuvre des mesures de sauvegarde durant</w:t>
      </w:r>
      <w:r w:rsidR="002231BD" w:rsidRPr="002231BD">
        <w:rPr>
          <w:rFonts w:ascii="Arial" w:hAnsi="Arial" w:cs="Arial"/>
        </w:rPr>
        <w:t xml:space="preserve"> l’activation du CERP.</w:t>
      </w:r>
    </w:p>
    <w:p w14:paraId="18F58B4D" w14:textId="3FC97AF7" w:rsidR="00B654FD" w:rsidRPr="00DB4273" w:rsidRDefault="00B654FD" w:rsidP="002B643E">
      <w:pPr>
        <w:spacing w:before="120" w:after="0" w:line="240" w:lineRule="auto"/>
        <w:jc w:val="both"/>
        <w:rPr>
          <w:rFonts w:ascii="Arial" w:hAnsi="Arial" w:cs="Arial"/>
        </w:rPr>
      </w:pPr>
      <w:r w:rsidRPr="00DB4273">
        <w:rPr>
          <w:rFonts w:ascii="Arial" w:hAnsi="Arial" w:cs="Arial"/>
        </w:rPr>
        <w:t xml:space="preserve">Par ailleurs, </w:t>
      </w:r>
      <w:r w:rsidR="009270B2" w:rsidRPr="00DB4273">
        <w:rPr>
          <w:rFonts w:ascii="Arial" w:hAnsi="Arial" w:cs="Arial"/>
        </w:rPr>
        <w:t xml:space="preserve">après </w:t>
      </w:r>
      <w:r w:rsidR="008C3580" w:rsidRPr="00DB4273">
        <w:rPr>
          <w:rFonts w:ascii="Arial" w:hAnsi="Arial" w:cs="Arial"/>
        </w:rPr>
        <w:t>l</w:t>
      </w:r>
      <w:r w:rsidR="00C43BC3">
        <w:rPr>
          <w:rFonts w:ascii="Arial" w:hAnsi="Arial" w:cs="Arial"/>
        </w:rPr>
        <w:t>a mise en vigueur</w:t>
      </w:r>
      <w:r w:rsidR="002231BD">
        <w:rPr>
          <w:rFonts w:ascii="Arial" w:hAnsi="Arial" w:cs="Arial"/>
        </w:rPr>
        <w:t xml:space="preserve"> </w:t>
      </w:r>
      <w:r w:rsidR="008C3580" w:rsidRPr="00DB4273">
        <w:rPr>
          <w:rFonts w:ascii="Arial" w:hAnsi="Arial" w:cs="Arial"/>
        </w:rPr>
        <w:t xml:space="preserve">du </w:t>
      </w:r>
      <w:r w:rsidR="00191F56" w:rsidRPr="00DB4273">
        <w:rPr>
          <w:rFonts w:ascii="Arial" w:hAnsi="Arial" w:cs="Arial"/>
        </w:rPr>
        <w:t>CERP, l’</w:t>
      </w:r>
      <w:r w:rsidR="008C3580" w:rsidRPr="00DB4273">
        <w:rPr>
          <w:rFonts w:ascii="Arial" w:hAnsi="Arial" w:cs="Arial"/>
        </w:rPr>
        <w:t>organe d</w:t>
      </w:r>
      <w:r w:rsidR="00C43BC3">
        <w:rPr>
          <w:rFonts w:ascii="Arial" w:hAnsi="Arial" w:cs="Arial"/>
        </w:rPr>
        <w:t xml:space="preserve">’exécution </w:t>
      </w:r>
      <w:r w:rsidR="008C3580" w:rsidRPr="00DB4273">
        <w:rPr>
          <w:rFonts w:ascii="Arial" w:hAnsi="Arial" w:cs="Arial"/>
        </w:rPr>
        <w:t>doi</w:t>
      </w:r>
      <w:r w:rsidR="00C43BC3">
        <w:rPr>
          <w:rFonts w:ascii="Arial" w:hAnsi="Arial" w:cs="Arial"/>
        </w:rPr>
        <w:t>t</w:t>
      </w:r>
      <w:r w:rsidR="008C3580" w:rsidRPr="00DB4273">
        <w:rPr>
          <w:rFonts w:ascii="Arial" w:hAnsi="Arial" w:cs="Arial"/>
        </w:rPr>
        <w:t xml:space="preserve"> prêter attention</w:t>
      </w:r>
      <w:r w:rsidR="008B3329">
        <w:rPr>
          <w:rFonts w:ascii="Arial" w:hAnsi="Arial" w:cs="Arial"/>
        </w:rPr>
        <w:t xml:space="preserve"> aux éléments suivants</w:t>
      </w:r>
      <w:r w:rsidR="00990B84" w:rsidRPr="00DB4273">
        <w:rPr>
          <w:rFonts w:ascii="Arial" w:hAnsi="Arial" w:cs="Arial"/>
        </w:rPr>
        <w:t> :</w:t>
      </w:r>
    </w:p>
    <w:p w14:paraId="5613970D" w14:textId="64D50CBC" w:rsidR="00990B84" w:rsidRPr="00DB4273" w:rsidRDefault="00990B84" w:rsidP="008C3580">
      <w:pPr>
        <w:pStyle w:val="ListParagraph"/>
        <w:numPr>
          <w:ilvl w:val="0"/>
          <w:numId w:val="179"/>
        </w:numPr>
        <w:spacing w:after="0" w:line="240" w:lineRule="auto"/>
        <w:jc w:val="both"/>
        <w:rPr>
          <w:rFonts w:ascii="Arial" w:hAnsi="Arial" w:cs="Arial"/>
        </w:rPr>
      </w:pPr>
      <w:r w:rsidRPr="00DB4273">
        <w:rPr>
          <w:rFonts w:ascii="Arial" w:hAnsi="Arial" w:cs="Arial"/>
        </w:rPr>
        <w:t>Elaborer un c</w:t>
      </w:r>
      <w:r w:rsidR="00076A71" w:rsidRPr="00DB4273">
        <w:rPr>
          <w:rFonts w:ascii="Arial" w:hAnsi="Arial" w:cs="Arial"/>
        </w:rPr>
        <w:t>adre de lutte contre les infections et de gestion des déchets médicaux</w:t>
      </w:r>
      <w:r w:rsidRPr="00DB4273">
        <w:rPr>
          <w:rFonts w:ascii="Arial" w:hAnsi="Arial" w:cs="Arial"/>
        </w:rPr>
        <w:t xml:space="preserve"> qui tien</w:t>
      </w:r>
      <w:r w:rsidR="003B3697">
        <w:rPr>
          <w:rFonts w:ascii="Arial" w:hAnsi="Arial" w:cs="Arial"/>
        </w:rPr>
        <w:t>dra</w:t>
      </w:r>
      <w:r w:rsidRPr="00DB4273">
        <w:rPr>
          <w:rFonts w:ascii="Arial" w:hAnsi="Arial" w:cs="Arial"/>
        </w:rPr>
        <w:t xml:space="preserve"> compte de l’expérience de la Guinée en termes de gestion des épidémies et des déchets médicaux ainsi que de la législation nationale applicable en la matière ;</w:t>
      </w:r>
    </w:p>
    <w:p w14:paraId="5B251969" w14:textId="23DFACD4" w:rsidR="008C3580" w:rsidRPr="00DB4273" w:rsidRDefault="00A0052B" w:rsidP="008C3580">
      <w:pPr>
        <w:pStyle w:val="ListParagraph"/>
        <w:numPr>
          <w:ilvl w:val="0"/>
          <w:numId w:val="179"/>
        </w:numPr>
        <w:spacing w:after="0" w:line="240" w:lineRule="auto"/>
        <w:jc w:val="both"/>
        <w:rPr>
          <w:rFonts w:ascii="Arial" w:hAnsi="Arial" w:cs="Arial"/>
        </w:rPr>
      </w:pPr>
      <w:r w:rsidRPr="00DB4273">
        <w:rPr>
          <w:rFonts w:ascii="Arial" w:hAnsi="Arial" w:cs="Arial"/>
        </w:rPr>
        <w:t xml:space="preserve">Mettre à jour le </w:t>
      </w:r>
      <w:r w:rsidR="005A3E5B" w:rsidRPr="00DB4273">
        <w:rPr>
          <w:rFonts w:ascii="Arial" w:hAnsi="Arial" w:cs="Arial"/>
        </w:rPr>
        <w:t>Plan de Mobilisation des Parties Prenantes du projet NAFA</w:t>
      </w:r>
      <w:r w:rsidRPr="00DB4273">
        <w:rPr>
          <w:rFonts w:ascii="Arial" w:hAnsi="Arial" w:cs="Arial"/>
        </w:rPr>
        <w:t xml:space="preserve"> afin de l’adapter aux réalités et aux parties prenantes du CERP.</w:t>
      </w:r>
      <w:r w:rsidR="005A3E5B" w:rsidRPr="00DB4273">
        <w:rPr>
          <w:rFonts w:ascii="Arial" w:hAnsi="Arial" w:cs="Arial"/>
        </w:rPr>
        <w:t xml:space="preserve"> </w:t>
      </w:r>
      <w:r w:rsidR="00990B84" w:rsidRPr="00DB4273">
        <w:rPr>
          <w:rFonts w:ascii="Arial" w:hAnsi="Arial" w:cs="Arial"/>
        </w:rPr>
        <w:t xml:space="preserve"> </w:t>
      </w:r>
      <w:r w:rsidR="00663D1B" w:rsidRPr="00DB4273">
        <w:rPr>
          <w:rFonts w:ascii="Arial" w:hAnsi="Arial" w:cs="Arial"/>
        </w:rPr>
        <w:t xml:space="preserve"> </w:t>
      </w:r>
      <w:r w:rsidR="008C3580" w:rsidRPr="00DB4273">
        <w:rPr>
          <w:rFonts w:ascii="Arial" w:hAnsi="Arial" w:cs="Arial"/>
        </w:rPr>
        <w:t xml:space="preserve"> </w:t>
      </w:r>
    </w:p>
    <w:p w14:paraId="340994AB" w14:textId="308DE93F" w:rsidR="004A4427" w:rsidRPr="00B01850" w:rsidRDefault="004A4427" w:rsidP="00A250E8">
      <w:pPr>
        <w:pStyle w:val="head2"/>
        <w:numPr>
          <w:ilvl w:val="0"/>
          <w:numId w:val="0"/>
        </w:numPr>
        <w:spacing w:after="0"/>
        <w:jc w:val="both"/>
        <w:outlineLvl w:val="1"/>
        <w:rPr>
          <w:rFonts w:ascii="Arial" w:hAnsi="Arial" w:cs="Arial"/>
        </w:rPr>
      </w:pPr>
    </w:p>
    <w:p w14:paraId="7E266BFE" w14:textId="65C28F44" w:rsidR="00EF0436" w:rsidRPr="00B01850" w:rsidRDefault="00DC5456" w:rsidP="0067110C">
      <w:pPr>
        <w:pStyle w:val="Heading1"/>
        <w:spacing w:before="120" w:after="120"/>
        <w:rPr>
          <w:rFonts w:ascii="Arial" w:hAnsi="Arial" w:cs="Arial"/>
          <w:b/>
          <w:bCs/>
          <w:color w:val="auto"/>
          <w:sz w:val="22"/>
          <w:szCs w:val="22"/>
        </w:rPr>
      </w:pPr>
      <w:bookmarkStart w:id="7" w:name="_Toc1052006395"/>
      <w:bookmarkStart w:id="8" w:name="_Toc197382142"/>
      <w:r w:rsidRPr="00B01850">
        <w:rPr>
          <w:rFonts w:ascii="Arial" w:hAnsi="Arial" w:cs="Arial"/>
          <w:b/>
          <w:bCs/>
          <w:color w:val="auto"/>
          <w:sz w:val="22"/>
          <w:szCs w:val="22"/>
        </w:rPr>
        <w:t xml:space="preserve">SECTION 1 </w:t>
      </w:r>
      <w:r w:rsidRPr="00B01850">
        <w:rPr>
          <w:rFonts w:ascii="Arial" w:hAnsi="Arial" w:cs="Arial"/>
          <w:color w:val="auto"/>
          <w:sz w:val="22"/>
          <w:szCs w:val="22"/>
        </w:rPr>
        <w:t>: CONTEXTE</w:t>
      </w:r>
      <w:bookmarkEnd w:id="7"/>
      <w:r w:rsidR="00D43859" w:rsidRPr="00B01850">
        <w:rPr>
          <w:rFonts w:ascii="Arial" w:eastAsia="Calibri" w:hAnsi="Arial" w:cs="Arial"/>
          <w:color w:val="424242"/>
          <w:sz w:val="22"/>
          <w:szCs w:val="22"/>
          <w:shd w:val="clear" w:color="auto" w:fill="FAFAFA"/>
        </w:rPr>
        <w:t xml:space="preserve"> DU </w:t>
      </w:r>
      <w:r w:rsidR="00D43859" w:rsidRPr="00B01850">
        <w:rPr>
          <w:rFonts w:ascii="Arial" w:hAnsi="Arial" w:cs="Arial"/>
          <w:color w:val="auto"/>
          <w:sz w:val="22"/>
          <w:szCs w:val="22"/>
        </w:rPr>
        <w:t>PROJET DE RÉPONSE D'URGENCE CONTINGENTE (CERP)</w:t>
      </w:r>
      <w:bookmarkEnd w:id="8"/>
    </w:p>
    <w:p w14:paraId="05EE3C09" w14:textId="77777777" w:rsidR="000A546D" w:rsidRPr="00B01850" w:rsidRDefault="000A546D" w:rsidP="000A546D">
      <w:pPr>
        <w:pStyle w:val="NormalWeb"/>
        <w:shd w:val="clear" w:color="auto" w:fill="FFFFFF"/>
        <w:spacing w:before="0" w:beforeAutospacing="0" w:after="0" w:afterAutospacing="0"/>
        <w:jc w:val="both"/>
        <w:rPr>
          <w:rFonts w:ascii="Arial" w:hAnsi="Arial" w:cs="Arial"/>
          <w:spacing w:val="4"/>
          <w:sz w:val="22"/>
          <w:szCs w:val="22"/>
        </w:rPr>
      </w:pPr>
      <w:r w:rsidRPr="00B01850">
        <w:rPr>
          <w:rFonts w:ascii="Arial" w:hAnsi="Arial" w:cs="Arial"/>
          <w:spacing w:val="4"/>
          <w:sz w:val="22"/>
          <w:szCs w:val="22"/>
        </w:rPr>
        <w:t xml:space="preserve">La Stratégie Nationale de Réduction des Risques de Catastrophes de la Guinée identifie 22 risques, y compris les inondations et les glissements de terrain (14,71% des régions), les épidémies (80% des régions), les incendies de forêt et les incendies (26,4% du territoire), la sécheresse (35,2% des régions). D'autres risques incluent les tremblements de terre, les vagues de chaleur, les invasions de criquets, les raz-de-marée, le transport de produits chimiques et de matériaux dangereux. La vulnérabilité de la Guinée à ces risques est due à plusieurs facteurs, notamment ses caractéristiques géomorphologiques et hydrologiques, les hauts plateaux abritant les sources des systèmes fluviaux du </w:t>
      </w:r>
      <w:proofErr w:type="spellStart"/>
      <w:r w:rsidRPr="00B01850">
        <w:rPr>
          <w:rFonts w:ascii="Arial" w:hAnsi="Arial" w:cs="Arial"/>
          <w:spacing w:val="4"/>
          <w:sz w:val="22"/>
          <w:szCs w:val="22"/>
        </w:rPr>
        <w:t>Gambia</w:t>
      </w:r>
      <w:proofErr w:type="spellEnd"/>
      <w:r w:rsidRPr="00B01850">
        <w:rPr>
          <w:rFonts w:ascii="Arial" w:hAnsi="Arial" w:cs="Arial"/>
          <w:spacing w:val="4"/>
          <w:sz w:val="22"/>
          <w:szCs w:val="22"/>
        </w:rPr>
        <w:t>, de la Guinée et du Sénégal, son exposition à la variabilité des inondations et des précipitations, au réchauffement des océans et à l'élévation du niveau de la mer, combinés à des facteurs de stress non climatiques tels que la pollution et les vecteurs de maladies.</w:t>
      </w:r>
    </w:p>
    <w:p w14:paraId="513A3903" w14:textId="77777777" w:rsidR="000A546D" w:rsidRPr="00B01850" w:rsidRDefault="000A546D" w:rsidP="00AF31A2">
      <w:pPr>
        <w:pStyle w:val="NormalWeb"/>
        <w:shd w:val="clear" w:color="auto" w:fill="FFFFFF"/>
        <w:spacing w:before="120" w:beforeAutospacing="0" w:after="0" w:afterAutospacing="0"/>
        <w:jc w:val="both"/>
        <w:rPr>
          <w:rFonts w:ascii="Arial" w:hAnsi="Arial" w:cs="Arial"/>
          <w:spacing w:val="4"/>
          <w:sz w:val="22"/>
          <w:szCs w:val="22"/>
        </w:rPr>
      </w:pPr>
      <w:r w:rsidRPr="00B01850">
        <w:rPr>
          <w:rFonts w:ascii="Arial" w:hAnsi="Arial" w:cs="Arial"/>
          <w:spacing w:val="4"/>
          <w:sz w:val="22"/>
          <w:szCs w:val="22"/>
        </w:rPr>
        <w:t xml:space="preserve">Le changement climatique augmente la vulnérabilité de la Guinée aux aléas naturels. Sa Contribution Déterminée au Niveau National (CDN) met en évidence les principaux impacts climatiques, notamment : (i) une augmentation des températures moyennes ; (ii) une baisse des précipitations annuelles moyennes, en particulier dans le Nord, ainsi qu'un changement dans la fréquence et la distribution intra-annuelle des précipitations ; et (iii) une élévation du niveau de la mer (d'environ 70-80 centimètres d'ici 2100). Le financement climatique mobilisé sur la période 2016-2020 s'élève en moyenne à 0,20 milliard USD par an, contre un besoin annuel moyen estimé à 1,59 milliard USD. Les projections pour 2020-2030 estiment un déficit annuel moyen de financement de 1,39 milliard USD. La résilience de l'économie guinéenne </w:t>
      </w:r>
      <w:r w:rsidRPr="00B01850">
        <w:rPr>
          <w:rFonts w:ascii="Arial" w:hAnsi="Arial" w:cs="Arial"/>
          <w:spacing w:val="4"/>
          <w:sz w:val="22"/>
          <w:szCs w:val="22"/>
        </w:rPr>
        <w:lastRenderedPageBreak/>
        <w:t xml:space="preserve">et la transition vers une croissance inclusive et verte seraient limitées. En l'absence de mesures adéquates de préparation et d'atténuation, ces risques pourraient </w:t>
      </w:r>
      <w:proofErr w:type="gramStart"/>
      <w:r w:rsidRPr="00B01850">
        <w:rPr>
          <w:rFonts w:ascii="Arial" w:hAnsi="Arial" w:cs="Arial"/>
          <w:spacing w:val="4"/>
          <w:sz w:val="22"/>
          <w:szCs w:val="22"/>
        </w:rPr>
        <w:t>avoir</w:t>
      </w:r>
      <w:proofErr w:type="gramEnd"/>
      <w:r w:rsidRPr="00B01850">
        <w:rPr>
          <w:rFonts w:ascii="Arial" w:hAnsi="Arial" w:cs="Arial"/>
          <w:spacing w:val="4"/>
          <w:sz w:val="22"/>
          <w:szCs w:val="22"/>
        </w:rPr>
        <w:t xml:space="preserve"> des conséquences négatives dans de nombreux secteurs et régions, y compris Conakry, le principal port de la Guinée, ainsi que sa capitale financière et commerciale. Des secteurs comme l'agriculture, l'eau, la santé, la foresterie et l'économie bleue sont susceptibles d'être fortement impactés, constituant un obstacle potentiel significatif à l'objectif d'augmentation des rendements agricoles.</w:t>
      </w:r>
    </w:p>
    <w:p w14:paraId="3298C357" w14:textId="77777777" w:rsidR="000A546D" w:rsidRPr="00B01850" w:rsidRDefault="000A546D" w:rsidP="00FB6DE5">
      <w:pPr>
        <w:pStyle w:val="NormalWeb"/>
        <w:shd w:val="clear" w:color="auto" w:fill="FFFFFF"/>
        <w:spacing w:before="120" w:beforeAutospacing="0" w:after="0" w:afterAutospacing="0"/>
        <w:jc w:val="both"/>
        <w:rPr>
          <w:rFonts w:ascii="Arial" w:hAnsi="Arial" w:cs="Arial"/>
          <w:spacing w:val="4"/>
          <w:sz w:val="22"/>
          <w:szCs w:val="22"/>
        </w:rPr>
      </w:pPr>
      <w:r w:rsidRPr="00B01850">
        <w:rPr>
          <w:rFonts w:ascii="Arial" w:hAnsi="Arial" w:cs="Arial"/>
          <w:spacing w:val="4"/>
          <w:sz w:val="22"/>
          <w:szCs w:val="22"/>
        </w:rPr>
        <w:t>Selon l'Évaluation des Risques et de la Résilience 2023, le changement climatique affecte la Guinée et est susceptible de jouer un rôle croissant dans les années à venir, exacerbant bon nombre des dynamiques de fragilité et de vulnérabilité. Un aperçu rapide des catastrophes les plus fréquentes en Guinée entre 1980 et 2020 révèle la prédominance des épidémies et des inondations dont les impacts sur les personnes touchées représentent respectivement 43,2% et 37,8%.</w:t>
      </w:r>
    </w:p>
    <w:p w14:paraId="181D793A" w14:textId="4ACBF153" w:rsidR="004A4427" w:rsidRPr="00B01850" w:rsidRDefault="000A546D" w:rsidP="00FB6DE5">
      <w:pPr>
        <w:pStyle w:val="NormalWeb"/>
        <w:shd w:val="clear" w:color="auto" w:fill="FFFFFF"/>
        <w:spacing w:before="120" w:beforeAutospacing="0" w:after="0" w:afterAutospacing="0"/>
        <w:jc w:val="both"/>
        <w:rPr>
          <w:rFonts w:ascii="Arial" w:hAnsi="Arial" w:cs="Arial"/>
          <w:spacing w:val="4"/>
          <w:sz w:val="22"/>
          <w:szCs w:val="22"/>
        </w:rPr>
      </w:pPr>
      <w:r w:rsidRPr="00B01850">
        <w:rPr>
          <w:rFonts w:ascii="Arial" w:hAnsi="Arial" w:cs="Arial"/>
          <w:spacing w:val="4"/>
          <w:sz w:val="22"/>
          <w:szCs w:val="22"/>
        </w:rPr>
        <w:t>La vulnérabilité et l'exposition des ménages guinéens ont été exacerbées par des chocs fréquents qui ont contribué à la baisse des revenus et des moyens de subsistance. Près des deux tiers des ménages ont signalé au moins un événement défavorable lié à une perte de récolte (21%), de bétail (12%), de revenu (24%), un problème de santé grave (26%) ou le décès d'un membre de la famille (23%). La vulnérabilité des pauvres augmente alors en raison de l'absence d'un mécanisme national de protection sociale fonctionnel et efficace. L'insécurité alimentaire est également relativement élevée (17%). Cependant, elle affecte principalement les 20% les plus pauvres de la population (dont 53% sont en situation d'insécurité alimentaire). En ce qui concerne les risques climatiques, l'indice ND-GAIN (Notre Dame Global Adaptation Initiative) a classé la Guinée au 154e rang sur 193 pays en 2022 selon son niveau de vulnérabilité et sa préparation au changement climatique.</w:t>
      </w:r>
    </w:p>
    <w:p w14:paraId="0C4CAE5E" w14:textId="4E31CF06" w:rsidR="008329C7" w:rsidRPr="00B01850" w:rsidRDefault="008329C7" w:rsidP="006A748B">
      <w:pPr>
        <w:pStyle w:val="ListParagraph"/>
        <w:spacing w:before="120" w:after="0" w:line="240" w:lineRule="auto"/>
        <w:ind w:left="0"/>
        <w:contextualSpacing w:val="0"/>
        <w:jc w:val="both"/>
        <w:textAlignment w:val="baseline"/>
        <w:rPr>
          <w:rFonts w:ascii="Arial" w:hAnsi="Arial" w:cs="Arial"/>
        </w:rPr>
      </w:pPr>
      <w:r w:rsidRPr="00B01850">
        <w:rPr>
          <w:rFonts w:ascii="Arial" w:hAnsi="Arial" w:cs="Arial"/>
        </w:rPr>
        <w:t>La capacité de la Guinée à faire face aux chocs, qu'ils soient d'origine humaine ou naturelle, est faible. Selon la classification des risques INFORM, le profil de la Guinée pour 2025 est caractérisé par un niveau de risque moyen de 4,2/10, les épidémies et les inondations côtières obtenant les scores les plus élevés en termes de dangers et d'exposition, les faits socio-économiques étant la vulnérabilité la plus élevée, et le manque de capacité d'adaptation étant principalement lié à la gouvernance et à la Réduction des Risques de Catastrophes (RRC). La Guinée est classée parmi les pays connaissant les plus fortes augmentations de risque entre 2015 et 2024.</w:t>
      </w:r>
    </w:p>
    <w:p w14:paraId="6F72D144" w14:textId="77777777" w:rsidR="00F434EE" w:rsidRPr="00B01850" w:rsidRDefault="00F434EE" w:rsidP="00F434EE">
      <w:pPr>
        <w:spacing w:before="120" w:after="0" w:line="278" w:lineRule="auto"/>
        <w:jc w:val="both"/>
        <w:rPr>
          <w:rFonts w:ascii="Arial" w:hAnsi="Arial" w:cs="Arial"/>
        </w:rPr>
      </w:pPr>
      <w:r w:rsidRPr="00B01850">
        <w:rPr>
          <w:rFonts w:ascii="Arial" w:hAnsi="Arial" w:cs="Arial"/>
        </w:rPr>
        <w:t xml:space="preserve">La Guinée dispose de certaines politiques et institutions pour faire face aux chocs. Les institutions nationales qui contribuent à la gestion des risques de catastrophes (GRC) sont : l'Agence Nationale de Gestion des Urgences et des Catastrophes Humanitaires (ANGUCH), la Direction Générale de la Protection Civile (DGPC), le Centre National de Gestion des Catastrophes et des Urgences Environnementales (CENAGCUE), l'Agence Nationale pour l'Inclusion Économique et Sociale (ANIES), l'Agence Nationale de Sécurité Sanitaire (ANSS), le Fonds de Développement Social et d'Indigence (FDSI), la Croix-Rouge Guinéenne (CRG), l'Agence Nationale de Météorologie (ANM) et la Direction Nationale de l'Hydrologie (DNH). Les principales institutions/parties prenantes de la GRC (ANGUCH, DGPC, Croix-Rouge) sont représentées au niveau infranational. Chaque entité a élaboré des documents stratégiques et proposé des initiatives de réforme institutionnelle, notamment : (i) la Stratégie Nationale de Réduction des Risques de Catastrophes 2024 préparée par le CENAGCUE, (ii) le Plan National de Préparation et de Réponse aux Urgences 2022 sous l'égide de l'ANGUCH, (iii) la Politique Nationale de Protection Civile et de Gestion des Catastrophes 2015 préparée par la DGPC, (iv) la Politique Nationale de Gestion des Risques de Catastrophes 2016 (PNGRC), (v) le Plan National de </w:t>
      </w:r>
      <w:r w:rsidRPr="00B01850">
        <w:rPr>
          <w:rFonts w:ascii="Arial" w:hAnsi="Arial" w:cs="Arial"/>
        </w:rPr>
        <w:lastRenderedPageBreak/>
        <w:t>Contingence 2018 élaboré par le SENAH (maintenant ANGUCH), (vi) la Politique Nationale de Gestion et de Réduction des Risques de Catastrophes, (vii) les Procédures Opérationnelles Standard de la Croix-Rouge Guinéenne (CRG/SOPs), (viii) les Plans de Contingence de la CRG pour les inondations et les épidémies (CRG/CPFE) et, (ix) le renforcement des capacités nationales des parties prenantes en matière de préparation et de réponse aux catastrophes.</w:t>
      </w:r>
    </w:p>
    <w:p w14:paraId="22D311D8" w14:textId="77777777" w:rsidR="00F434EE" w:rsidRPr="00B01850" w:rsidRDefault="00F434EE" w:rsidP="00F434EE">
      <w:pPr>
        <w:spacing w:after="0" w:line="278" w:lineRule="auto"/>
        <w:jc w:val="both"/>
        <w:rPr>
          <w:rFonts w:ascii="Arial" w:hAnsi="Arial" w:cs="Arial"/>
        </w:rPr>
      </w:pPr>
      <w:r w:rsidRPr="00B01850">
        <w:rPr>
          <w:rFonts w:ascii="Arial" w:hAnsi="Arial" w:cs="Arial"/>
        </w:rPr>
        <w:t>Le cadre juridique de la Guinée pour la GRC est guidé par la Loi 96-9 de 1996 sur la gestion des catastrophes naturelles et d'origine humaine en République de Guinée. L'article 3 stipule que : « les mesures nécessaires à la prévention des calamités et à l'organisation des secours par tous les moyens disponibles doivent être prises dans le cadre du Plan National de Prévention des Catastrophes et des Organisations de Secours (PNPCOS) », et l'article 6 stipule que « en cas de calamité, un décret du Président de la République ordonne la mise en œuvre du PNPCOS correspondant. »</w:t>
      </w:r>
    </w:p>
    <w:p w14:paraId="06F0E34F" w14:textId="1A8A1130" w:rsidR="00E87706" w:rsidRPr="00B01850" w:rsidRDefault="00B72DC6" w:rsidP="003B3CB9">
      <w:pPr>
        <w:pStyle w:val="ListParagraph"/>
        <w:spacing w:before="120" w:after="0" w:line="240" w:lineRule="auto"/>
        <w:ind w:left="0"/>
        <w:contextualSpacing w:val="0"/>
        <w:jc w:val="both"/>
        <w:textAlignment w:val="baseline"/>
        <w:rPr>
          <w:rFonts w:ascii="Arial" w:hAnsi="Arial" w:cs="Arial"/>
        </w:rPr>
      </w:pPr>
      <w:r w:rsidRPr="00B01850">
        <w:rPr>
          <w:rFonts w:ascii="Arial" w:hAnsi="Arial" w:cs="Arial"/>
        </w:rPr>
        <w:t>Les principaux risques identifiés en Guinée, leurs caractéristiques et impacts se présentent comme suit</w:t>
      </w:r>
      <w:r w:rsidR="00322F17" w:rsidRPr="00B01850">
        <w:rPr>
          <w:rStyle w:val="FootnoteReference"/>
          <w:rFonts w:ascii="Arial" w:hAnsi="Arial" w:cs="Arial"/>
        </w:rPr>
        <w:footnoteReference w:id="2"/>
      </w:r>
      <w:r w:rsidRPr="00B01850">
        <w:rPr>
          <w:rFonts w:ascii="Arial" w:hAnsi="Arial" w:cs="Arial"/>
        </w:rPr>
        <w:t> :</w:t>
      </w:r>
    </w:p>
    <w:p w14:paraId="25CA5FEE" w14:textId="3F038DB0" w:rsidR="00E87706" w:rsidRPr="00B01850" w:rsidRDefault="00E87706" w:rsidP="00322F17">
      <w:pPr>
        <w:spacing w:before="120" w:after="120"/>
        <w:textAlignment w:val="baseline"/>
        <w:rPr>
          <w:rFonts w:ascii="Arial" w:hAnsi="Arial" w:cs="Arial"/>
          <w:b/>
          <w:bCs/>
        </w:rPr>
      </w:pPr>
      <w:bookmarkStart w:id="9" w:name="_Toc44289827"/>
      <w:r w:rsidRPr="00B01850">
        <w:rPr>
          <w:rFonts w:ascii="Arial" w:hAnsi="Arial" w:cs="Arial"/>
          <w:b/>
          <w:bCs/>
        </w:rPr>
        <w:t>Inondation</w:t>
      </w:r>
      <w:bookmarkEnd w:id="9"/>
    </w:p>
    <w:p w14:paraId="14871346" w14:textId="56122A78" w:rsidR="003B3CB9" w:rsidRPr="00B01850" w:rsidRDefault="00E87706" w:rsidP="003B3CB9">
      <w:pPr>
        <w:spacing w:line="240" w:lineRule="auto"/>
        <w:jc w:val="both"/>
        <w:textAlignment w:val="baseline"/>
        <w:rPr>
          <w:rFonts w:ascii="Arial" w:hAnsi="Arial" w:cs="Arial"/>
        </w:rPr>
      </w:pPr>
      <w:r w:rsidRPr="00B01850">
        <w:rPr>
          <w:rFonts w:ascii="Arial" w:hAnsi="Arial" w:cs="Arial"/>
        </w:rPr>
        <w:t>L’inondation est une submersion temporaire, rapide ou lente, de terres habituellement hors d’eau. C’est un phénomène d’origine naturelle, mais il peut être influencé par l’activité humaine. Ses causes peuvent être très diverses : débordements de cours d’eau, submersions marines, ruissellements urbains ou agricoles, remontées de nappes phréatiques, crues des torrents de montagnes, ruptures ou défaillances d’ouvrages hydrauliques, tsunamis, cyclones, tempêtes, etc.</w:t>
      </w:r>
    </w:p>
    <w:p w14:paraId="781707FD" w14:textId="76BBC1E1" w:rsidR="00E87706" w:rsidRPr="00B01850" w:rsidRDefault="00E87706" w:rsidP="00322F17">
      <w:pPr>
        <w:spacing w:line="240" w:lineRule="auto"/>
        <w:jc w:val="both"/>
        <w:textAlignment w:val="baseline"/>
        <w:rPr>
          <w:rFonts w:ascii="Arial" w:hAnsi="Arial" w:cs="Arial"/>
        </w:rPr>
      </w:pPr>
      <w:r w:rsidRPr="00B01850">
        <w:rPr>
          <w:rFonts w:ascii="Arial" w:hAnsi="Arial" w:cs="Arial"/>
        </w:rPr>
        <w:t>Par ailleurs, les conséquences du changement climatique, avec l’élévation du niveau moyen des mers et la multiplication des fortes tempêtes, sont des facteurs qui aggravent le risque, notamment pour le littoral et les espaces estuariens.</w:t>
      </w:r>
    </w:p>
    <w:p w14:paraId="269A7AA9" w14:textId="06A6C424" w:rsidR="00E87706" w:rsidRPr="00B01850" w:rsidRDefault="00E87706" w:rsidP="00322F17">
      <w:pPr>
        <w:spacing w:line="240" w:lineRule="auto"/>
        <w:jc w:val="both"/>
        <w:textAlignment w:val="baseline"/>
        <w:rPr>
          <w:rFonts w:ascii="Arial" w:hAnsi="Arial" w:cs="Arial"/>
        </w:rPr>
      </w:pPr>
      <w:r w:rsidRPr="00B01850">
        <w:rPr>
          <w:rFonts w:ascii="Arial" w:hAnsi="Arial" w:cs="Arial"/>
        </w:rPr>
        <w:t>La carte 3.1 présente la distribution des risques d’inondation entre les 33 Préfectures et la ville de Conakry. Le phénomène d’inondation correspond au débordement des eaux hors du lit majeur à la suite d’une crue, le débordement des caniveaux et la submersion des dépressions habitées. Une inondation est caractérisée par la hauteur de submersion, la durée de submersion, la vitesse de l’écoulement et le débit (mesuré en m</w:t>
      </w:r>
      <w:r w:rsidRPr="00B01850">
        <w:rPr>
          <w:rFonts w:ascii="Arial" w:hAnsi="Arial" w:cs="Arial"/>
          <w:vertAlign w:val="superscript"/>
        </w:rPr>
        <w:t>3</w:t>
      </w:r>
      <w:r w:rsidRPr="00B01850">
        <w:rPr>
          <w:rFonts w:ascii="Arial" w:hAnsi="Arial" w:cs="Arial"/>
        </w:rPr>
        <w:t>/s).</w:t>
      </w:r>
    </w:p>
    <w:p w14:paraId="7F91656B" w14:textId="72A09251" w:rsidR="00E87706" w:rsidRPr="00B01850" w:rsidRDefault="00892341" w:rsidP="00322F17">
      <w:pPr>
        <w:spacing w:line="240" w:lineRule="auto"/>
        <w:jc w:val="both"/>
        <w:textAlignment w:val="baseline"/>
        <w:rPr>
          <w:rFonts w:ascii="Arial" w:hAnsi="Arial" w:cs="Arial"/>
        </w:rPr>
      </w:pPr>
      <w:r w:rsidRPr="00B01850">
        <w:rPr>
          <w:rFonts w:ascii="Arial" w:hAnsi="Arial" w:cs="Arial"/>
          <w:noProof/>
        </w:rPr>
        <w:drawing>
          <wp:anchor distT="0" distB="0" distL="114300" distR="114300" simplePos="0" relativeHeight="251658293" behindDoc="0" locked="0" layoutInCell="1" allowOverlap="1" wp14:anchorId="32BBC5E5" wp14:editId="0FD80911">
            <wp:simplePos x="0" y="0"/>
            <wp:positionH relativeFrom="column">
              <wp:posOffset>169138</wp:posOffset>
            </wp:positionH>
            <wp:positionV relativeFrom="paragraph">
              <wp:posOffset>1519083</wp:posOffset>
            </wp:positionV>
            <wp:extent cx="5943348" cy="3366894"/>
            <wp:effectExtent l="0" t="0" r="635" b="5080"/>
            <wp:wrapNone/>
            <wp:docPr id="1775033273" name="Picture 10" descr="A map of the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33273" name="Picture 10" descr="A map of the country&#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54540" cy="3373234"/>
                    </a:xfrm>
                    <a:prstGeom prst="rect">
                      <a:avLst/>
                    </a:prstGeom>
                    <a:noFill/>
                    <a:ln>
                      <a:noFill/>
                    </a:ln>
                  </pic:spPr>
                </pic:pic>
              </a:graphicData>
            </a:graphic>
            <wp14:sizeRelH relativeFrom="page">
              <wp14:pctWidth>0</wp14:pctWidth>
            </wp14:sizeRelH>
            <wp14:sizeRelV relativeFrom="page">
              <wp14:pctHeight>0</wp14:pctHeight>
            </wp14:sizeRelV>
          </wp:anchor>
        </w:drawing>
      </w:r>
      <w:r w:rsidR="00E87706" w:rsidRPr="00B01850">
        <w:rPr>
          <w:rFonts w:ascii="Arial" w:hAnsi="Arial" w:cs="Arial"/>
        </w:rPr>
        <w:t>Les inondations sont des processus naturels bénéfiques, du moins lorsque la montée des eaux est lente et que les populations savent s’adapter. Par exemple en Egypte, les crues du Nil étaient attendues comme un « cadeau de Dieu » car elles permettaient de fertiliser les terres agricoles (en apportant du limon et de la matière organique). La situation était identique en Irak le long du Tigre et de l’Euphrate, tout comme sur les rives des fleuve Sénégal et Niger. Les inondations favorisent également le maintien d’écosystèmes liés à l’eau dont la biodiversité est tout à fait remarquable. Ce n’est qu’à partir du moment où les sociétés ont décidé de concentrer des enjeux (permanents et sédentaires) dans les lits majeurs des cours d’eau que les inondations sont devenues des catastrophes.</w:t>
      </w:r>
    </w:p>
    <w:p w14:paraId="217727F6" w14:textId="764FE8BD" w:rsidR="00E87706" w:rsidRPr="00B01850" w:rsidRDefault="00E87706" w:rsidP="003B3CB9">
      <w:pPr>
        <w:pStyle w:val="ListParagraph"/>
        <w:spacing w:line="240" w:lineRule="auto"/>
        <w:jc w:val="center"/>
        <w:textAlignment w:val="baseline"/>
        <w:rPr>
          <w:rFonts w:ascii="Arial" w:hAnsi="Arial" w:cs="Arial"/>
        </w:rPr>
      </w:pPr>
    </w:p>
    <w:p w14:paraId="4B7B182B" w14:textId="77777777" w:rsidR="00892341" w:rsidRDefault="00892341" w:rsidP="00892341">
      <w:pPr>
        <w:rPr>
          <w:rFonts w:ascii="Arial" w:hAnsi="Arial" w:cs="Arial"/>
          <w:b/>
          <w:bCs/>
        </w:rPr>
      </w:pPr>
      <w:bookmarkStart w:id="10" w:name="_Toc44324173"/>
    </w:p>
    <w:p w14:paraId="5C1EE656" w14:textId="77777777" w:rsidR="00892341" w:rsidRDefault="00892341" w:rsidP="00892341">
      <w:pPr>
        <w:rPr>
          <w:rFonts w:ascii="Arial" w:hAnsi="Arial" w:cs="Arial"/>
          <w:b/>
          <w:bCs/>
        </w:rPr>
      </w:pPr>
    </w:p>
    <w:p w14:paraId="079027E0" w14:textId="77777777" w:rsidR="00892341" w:rsidRDefault="00892341" w:rsidP="00892341">
      <w:pPr>
        <w:rPr>
          <w:rFonts w:ascii="Arial" w:hAnsi="Arial" w:cs="Arial"/>
          <w:b/>
          <w:bCs/>
        </w:rPr>
      </w:pPr>
    </w:p>
    <w:p w14:paraId="517D93CD" w14:textId="77777777" w:rsidR="00892341" w:rsidRDefault="00892341" w:rsidP="00892341">
      <w:pPr>
        <w:rPr>
          <w:rFonts w:ascii="Arial" w:hAnsi="Arial" w:cs="Arial"/>
          <w:b/>
          <w:bCs/>
        </w:rPr>
      </w:pPr>
    </w:p>
    <w:p w14:paraId="539DB6DB" w14:textId="77777777" w:rsidR="00892341" w:rsidRDefault="00892341" w:rsidP="00892341">
      <w:pPr>
        <w:rPr>
          <w:rFonts w:ascii="Arial" w:hAnsi="Arial" w:cs="Arial"/>
          <w:b/>
          <w:bCs/>
        </w:rPr>
      </w:pPr>
    </w:p>
    <w:p w14:paraId="26605086" w14:textId="77777777" w:rsidR="00892341" w:rsidRDefault="00892341" w:rsidP="00892341">
      <w:pPr>
        <w:rPr>
          <w:rFonts w:ascii="Arial" w:hAnsi="Arial" w:cs="Arial"/>
          <w:b/>
          <w:bCs/>
        </w:rPr>
      </w:pPr>
    </w:p>
    <w:p w14:paraId="44D5349A" w14:textId="77777777" w:rsidR="00892341" w:rsidRDefault="00892341" w:rsidP="00892341">
      <w:pPr>
        <w:rPr>
          <w:rFonts w:ascii="Arial" w:hAnsi="Arial" w:cs="Arial"/>
          <w:b/>
          <w:bCs/>
        </w:rPr>
      </w:pPr>
    </w:p>
    <w:p w14:paraId="0BEAB54A" w14:textId="77777777" w:rsidR="00892341" w:rsidRDefault="00892341" w:rsidP="00892341">
      <w:pPr>
        <w:rPr>
          <w:rFonts w:ascii="Arial" w:hAnsi="Arial" w:cs="Arial"/>
          <w:b/>
          <w:bCs/>
        </w:rPr>
      </w:pPr>
    </w:p>
    <w:p w14:paraId="28ACB9B5" w14:textId="77777777" w:rsidR="00892341" w:rsidRDefault="00892341" w:rsidP="00892341">
      <w:pPr>
        <w:rPr>
          <w:rFonts w:ascii="Arial" w:hAnsi="Arial" w:cs="Arial"/>
          <w:b/>
          <w:bCs/>
        </w:rPr>
      </w:pPr>
    </w:p>
    <w:p w14:paraId="60E5C501" w14:textId="77777777" w:rsidR="00892341" w:rsidRDefault="00892341" w:rsidP="00892341">
      <w:pPr>
        <w:rPr>
          <w:rFonts w:ascii="Arial" w:hAnsi="Arial" w:cs="Arial"/>
          <w:b/>
          <w:bCs/>
        </w:rPr>
      </w:pPr>
    </w:p>
    <w:p w14:paraId="7344BB2A" w14:textId="055D21C9" w:rsidR="00E87706" w:rsidRPr="00892341" w:rsidRDefault="00E87706" w:rsidP="008403A0">
      <w:pPr>
        <w:ind w:firstLine="720"/>
        <w:rPr>
          <w:rFonts w:ascii="Arial" w:hAnsi="Arial" w:cs="Arial"/>
          <w:b/>
          <w:bCs/>
        </w:rPr>
      </w:pPr>
      <w:r w:rsidRPr="00892341">
        <w:rPr>
          <w:rFonts w:ascii="Arial" w:hAnsi="Arial" w:cs="Arial"/>
          <w:b/>
          <w:bCs/>
        </w:rPr>
        <w:t>Carte 3.1 :</w:t>
      </w:r>
      <w:r w:rsidRPr="00892341">
        <w:rPr>
          <w:rFonts w:ascii="Arial" w:hAnsi="Arial" w:cs="Arial"/>
        </w:rPr>
        <w:t xml:space="preserve"> Carte de localisation des risques d’inondations en Guinée.</w:t>
      </w:r>
      <w:bookmarkEnd w:id="10"/>
    </w:p>
    <w:p w14:paraId="2ECD404E" w14:textId="77777777" w:rsidR="00E87706" w:rsidRPr="00B01850" w:rsidRDefault="00E87706" w:rsidP="00E87706">
      <w:pPr>
        <w:pStyle w:val="ListParagraph"/>
        <w:spacing w:line="240" w:lineRule="auto"/>
        <w:textAlignment w:val="baseline"/>
        <w:rPr>
          <w:rFonts w:ascii="Arial" w:hAnsi="Arial" w:cs="Arial"/>
        </w:rPr>
      </w:pPr>
    </w:p>
    <w:p w14:paraId="1328C888" w14:textId="77777777" w:rsidR="00E87706" w:rsidRPr="00B01850" w:rsidRDefault="00E87706" w:rsidP="00322F17">
      <w:pPr>
        <w:spacing w:line="240" w:lineRule="auto"/>
        <w:jc w:val="both"/>
        <w:textAlignment w:val="baseline"/>
        <w:rPr>
          <w:rFonts w:ascii="Arial" w:hAnsi="Arial" w:cs="Arial"/>
        </w:rPr>
      </w:pPr>
      <w:r w:rsidRPr="00B01850">
        <w:rPr>
          <w:rFonts w:ascii="Arial" w:hAnsi="Arial" w:cs="Arial"/>
        </w:rPr>
        <w:t>L’analyse de cette carte permet de constater que 14,71% du territoire, correspondant à cinq (05) Préfectures du pays sur 34, incluant Conakry, sont très fréquemment exposé à l’inondation, 58,82% soient 20 Préfectures sont fréquemment exposées au phénomène, et seulement neuf (09) Préfectures (26,47%) sur les 34 sont peu fréquemment exposées. Ces inondations résultent des facteurs, comme la pluviométrie, les mauvais aménagements, l’occupation des plaines inondables et les basses terres (bas-fonds, zones de mangrove) par les habitations, le faible entretien des ouvrages comme les caniveaux et les buses.</w:t>
      </w:r>
    </w:p>
    <w:p w14:paraId="1EA1B4DE" w14:textId="6E5F1550" w:rsidR="00E87706" w:rsidRPr="00B01850" w:rsidRDefault="00E87706" w:rsidP="00322F17">
      <w:pPr>
        <w:spacing w:line="240" w:lineRule="auto"/>
        <w:jc w:val="both"/>
        <w:textAlignment w:val="baseline"/>
        <w:rPr>
          <w:rFonts w:ascii="Arial" w:hAnsi="Arial" w:cs="Arial"/>
        </w:rPr>
      </w:pPr>
      <w:r w:rsidRPr="00B01850">
        <w:rPr>
          <w:rFonts w:ascii="Arial" w:hAnsi="Arial" w:cs="Arial"/>
        </w:rPr>
        <w:t>Avant, pendant et après la crise, il faut rendre homogène la manière dont les inondations doivent être prises en compte dans la politique de gestion sur le territoire national. L’information et la sensibilisation de tous les acteurs, ainsi que la formation de spécialistes en prévention et gestion du risque d’inondation sont les stratégies les plus appropriées pour minimiser le phénomène et ses impacts.</w:t>
      </w:r>
    </w:p>
    <w:p w14:paraId="0A747206" w14:textId="77777777" w:rsidR="00E87706" w:rsidRPr="00B01850" w:rsidRDefault="00E87706" w:rsidP="00214DCC">
      <w:pPr>
        <w:pStyle w:val="ListParagraph"/>
        <w:numPr>
          <w:ilvl w:val="0"/>
          <w:numId w:val="87"/>
        </w:numPr>
        <w:jc w:val="both"/>
        <w:textAlignment w:val="baseline"/>
        <w:rPr>
          <w:rFonts w:ascii="Arial" w:hAnsi="Arial" w:cs="Arial"/>
          <w:b/>
          <w:bCs/>
        </w:rPr>
      </w:pPr>
      <w:bookmarkStart w:id="11" w:name="_Toc44289828"/>
      <w:r w:rsidRPr="00B01850">
        <w:rPr>
          <w:rFonts w:ascii="Arial" w:hAnsi="Arial" w:cs="Arial"/>
          <w:b/>
          <w:bCs/>
        </w:rPr>
        <w:t>Feux de brousse/Incendies</w:t>
      </w:r>
      <w:bookmarkEnd w:id="11"/>
    </w:p>
    <w:p w14:paraId="2D646CB9" w14:textId="77777777" w:rsidR="00E87706" w:rsidRPr="00B01850" w:rsidRDefault="00E87706" w:rsidP="00322F17">
      <w:pPr>
        <w:spacing w:line="240" w:lineRule="auto"/>
        <w:jc w:val="both"/>
        <w:textAlignment w:val="baseline"/>
        <w:rPr>
          <w:rFonts w:ascii="Arial" w:hAnsi="Arial" w:cs="Arial"/>
        </w:rPr>
      </w:pPr>
      <w:r w:rsidRPr="00B01850">
        <w:rPr>
          <w:rFonts w:ascii="Arial" w:hAnsi="Arial" w:cs="Arial"/>
        </w:rPr>
        <w:t>Faisant partie des activités de l’Homme, les feux de brousse et incendies constituent un danger pour la Planète. En Guinée, le phénomène consiste à brûler ou calciner volontairement ou accidentellement les forêts, les végétations naturelles, la faune sauvage, les cultures, les édifices, le bétail et d’autres biens dans une zone déterminée. La carte 3.2 présente la distribution des feux de brousse entre les Préfectures du pays.</w:t>
      </w:r>
    </w:p>
    <w:p w14:paraId="00ABD33F" w14:textId="77777777" w:rsidR="00E87706" w:rsidRPr="00B01850" w:rsidRDefault="00E87706" w:rsidP="00E87706">
      <w:pPr>
        <w:pStyle w:val="ListParagraph"/>
        <w:spacing w:line="240" w:lineRule="auto"/>
        <w:textAlignment w:val="baseline"/>
        <w:rPr>
          <w:rFonts w:ascii="Arial" w:hAnsi="Arial" w:cs="Arial"/>
        </w:rPr>
      </w:pPr>
    </w:p>
    <w:p w14:paraId="5B71A504" w14:textId="1CB1C1CF" w:rsidR="003B3CB9" w:rsidRPr="00B01850" w:rsidRDefault="00E87706" w:rsidP="003B3CB9">
      <w:pPr>
        <w:spacing w:after="0" w:line="240" w:lineRule="auto"/>
        <w:jc w:val="both"/>
        <w:rPr>
          <w:rFonts w:ascii="Arial" w:hAnsi="Arial" w:cs="Arial"/>
        </w:rPr>
      </w:pPr>
      <w:r w:rsidRPr="00B01850">
        <w:rPr>
          <w:rFonts w:ascii="Arial" w:hAnsi="Arial" w:cs="Arial"/>
        </w:rPr>
        <w:t>Les feux de brousse nuisent gravement à la vie humaine et toute personne doit prendre sa part de responsabilité pour éviter le pire afin de préserver la durabilité de notre Planète et de promouvoir le développement durable. On peut citer différents inconvénients des feux de brousse. Les feux de brousse affectent différents domaines : les écosystèmes, l’économie et l’équilibre sociale. Les conséquences désastreuses des feux de brousse sont :</w:t>
      </w:r>
    </w:p>
    <w:p w14:paraId="167941EF" w14:textId="457C0A92" w:rsidR="003B3CB9" w:rsidRPr="00B01850" w:rsidRDefault="00E87706" w:rsidP="00214DCC">
      <w:pPr>
        <w:pStyle w:val="ListParagraph"/>
        <w:numPr>
          <w:ilvl w:val="0"/>
          <w:numId w:val="59"/>
        </w:numPr>
        <w:spacing w:after="0" w:line="240" w:lineRule="auto"/>
        <w:jc w:val="both"/>
        <w:rPr>
          <w:rFonts w:ascii="Arial" w:hAnsi="Arial" w:cs="Arial"/>
        </w:rPr>
      </w:pPr>
      <w:proofErr w:type="gramStart"/>
      <w:r w:rsidRPr="00B01850">
        <w:rPr>
          <w:rFonts w:ascii="Arial" w:hAnsi="Arial" w:cs="Arial"/>
        </w:rPr>
        <w:t>pollution</w:t>
      </w:r>
      <w:proofErr w:type="gramEnd"/>
      <w:r w:rsidRPr="00B01850">
        <w:rPr>
          <w:rFonts w:ascii="Arial" w:hAnsi="Arial" w:cs="Arial"/>
        </w:rPr>
        <w:t xml:space="preserve"> de </w:t>
      </w:r>
      <w:proofErr w:type="gramStart"/>
      <w:r w:rsidRPr="00B01850">
        <w:rPr>
          <w:rFonts w:ascii="Arial" w:hAnsi="Arial" w:cs="Arial"/>
        </w:rPr>
        <w:t>l’air;</w:t>
      </w:r>
      <w:proofErr w:type="gramEnd"/>
    </w:p>
    <w:p w14:paraId="02DF3DA8" w14:textId="15BB3ABE" w:rsidR="00E87706" w:rsidRPr="00B01850" w:rsidRDefault="00E87706" w:rsidP="00214DCC">
      <w:pPr>
        <w:pStyle w:val="ListParagraph"/>
        <w:numPr>
          <w:ilvl w:val="0"/>
          <w:numId w:val="59"/>
        </w:numPr>
        <w:spacing w:after="0" w:line="240" w:lineRule="auto"/>
        <w:jc w:val="both"/>
        <w:rPr>
          <w:rFonts w:ascii="Arial" w:hAnsi="Arial" w:cs="Arial"/>
        </w:rPr>
      </w:pPr>
      <w:proofErr w:type="gramStart"/>
      <w:r w:rsidRPr="00B01850">
        <w:rPr>
          <w:rFonts w:ascii="Arial" w:hAnsi="Arial" w:cs="Arial"/>
        </w:rPr>
        <w:t>disparitions</w:t>
      </w:r>
      <w:proofErr w:type="gramEnd"/>
      <w:r w:rsidRPr="00B01850">
        <w:rPr>
          <w:rFonts w:ascii="Arial" w:hAnsi="Arial" w:cs="Arial"/>
        </w:rPr>
        <w:t xml:space="preserve"> d’espèces (faunes et flores</w:t>
      </w:r>
      <w:proofErr w:type="gramStart"/>
      <w:r w:rsidRPr="00B01850">
        <w:rPr>
          <w:rFonts w:ascii="Arial" w:hAnsi="Arial" w:cs="Arial"/>
        </w:rPr>
        <w:t>);</w:t>
      </w:r>
      <w:proofErr w:type="gramEnd"/>
    </w:p>
    <w:p w14:paraId="494D145F" w14:textId="2BD30864" w:rsidR="00E87706" w:rsidRPr="00B01850" w:rsidRDefault="00E87706" w:rsidP="00214DCC">
      <w:pPr>
        <w:pStyle w:val="ListParagraph"/>
        <w:numPr>
          <w:ilvl w:val="0"/>
          <w:numId w:val="59"/>
        </w:numPr>
        <w:spacing w:after="0" w:line="240" w:lineRule="auto"/>
        <w:textAlignment w:val="baseline"/>
        <w:rPr>
          <w:rFonts w:ascii="Arial" w:hAnsi="Arial" w:cs="Arial"/>
        </w:rPr>
      </w:pPr>
      <w:proofErr w:type="gramStart"/>
      <w:r w:rsidRPr="00B01850">
        <w:rPr>
          <w:rFonts w:ascii="Arial" w:hAnsi="Arial" w:cs="Arial"/>
        </w:rPr>
        <w:t>sècheresse</w:t>
      </w:r>
      <w:proofErr w:type="gramEnd"/>
      <w:r w:rsidRPr="00B01850">
        <w:rPr>
          <w:rFonts w:ascii="Arial" w:hAnsi="Arial" w:cs="Arial"/>
        </w:rPr>
        <w:t xml:space="preserve"> et déséquilibre </w:t>
      </w:r>
      <w:proofErr w:type="gramStart"/>
      <w:r w:rsidRPr="00B01850">
        <w:rPr>
          <w:rFonts w:ascii="Arial" w:hAnsi="Arial" w:cs="Arial"/>
        </w:rPr>
        <w:t>climatique;</w:t>
      </w:r>
      <w:proofErr w:type="gramEnd"/>
    </w:p>
    <w:p w14:paraId="2D135F26" w14:textId="2410ABEA" w:rsidR="00E87706" w:rsidRPr="00B01850" w:rsidRDefault="00E87706" w:rsidP="00214DCC">
      <w:pPr>
        <w:pStyle w:val="ListParagraph"/>
        <w:numPr>
          <w:ilvl w:val="0"/>
          <w:numId w:val="59"/>
        </w:numPr>
        <w:spacing w:after="0" w:line="240" w:lineRule="auto"/>
        <w:textAlignment w:val="baseline"/>
        <w:rPr>
          <w:rFonts w:ascii="Arial" w:hAnsi="Arial" w:cs="Arial"/>
        </w:rPr>
      </w:pPr>
      <w:proofErr w:type="gramStart"/>
      <w:r w:rsidRPr="00B01850">
        <w:rPr>
          <w:rFonts w:ascii="Arial" w:hAnsi="Arial" w:cs="Arial"/>
        </w:rPr>
        <w:t>infertilité</w:t>
      </w:r>
      <w:proofErr w:type="gramEnd"/>
      <w:r w:rsidRPr="00B01850">
        <w:rPr>
          <w:rFonts w:ascii="Arial" w:hAnsi="Arial" w:cs="Arial"/>
        </w:rPr>
        <w:t xml:space="preserve"> du </w:t>
      </w:r>
      <w:proofErr w:type="gramStart"/>
      <w:r w:rsidRPr="00B01850">
        <w:rPr>
          <w:rFonts w:ascii="Arial" w:hAnsi="Arial" w:cs="Arial"/>
        </w:rPr>
        <w:t>sol;</w:t>
      </w:r>
      <w:proofErr w:type="gramEnd"/>
    </w:p>
    <w:p w14:paraId="5B360F18" w14:textId="3D8AD974" w:rsidR="00E87706" w:rsidRPr="00B01850" w:rsidRDefault="00E87706" w:rsidP="00214DCC">
      <w:pPr>
        <w:pStyle w:val="ListParagraph"/>
        <w:numPr>
          <w:ilvl w:val="0"/>
          <w:numId w:val="59"/>
        </w:numPr>
        <w:spacing w:after="0" w:line="240" w:lineRule="auto"/>
        <w:textAlignment w:val="baseline"/>
        <w:rPr>
          <w:rFonts w:ascii="Arial" w:hAnsi="Arial" w:cs="Arial"/>
        </w:rPr>
      </w:pPr>
      <w:proofErr w:type="gramStart"/>
      <w:r w:rsidRPr="00B01850">
        <w:rPr>
          <w:rFonts w:ascii="Arial" w:hAnsi="Arial" w:cs="Arial"/>
        </w:rPr>
        <w:t>pauvreté</w:t>
      </w:r>
      <w:proofErr w:type="gramEnd"/>
      <w:r w:rsidRPr="00B01850">
        <w:rPr>
          <w:rFonts w:ascii="Arial" w:hAnsi="Arial" w:cs="Arial"/>
        </w:rPr>
        <w:t xml:space="preserve"> des populations </w:t>
      </w:r>
      <w:proofErr w:type="gramStart"/>
      <w:r w:rsidRPr="00B01850">
        <w:rPr>
          <w:rFonts w:ascii="Arial" w:hAnsi="Arial" w:cs="Arial"/>
        </w:rPr>
        <w:t>humaines;</w:t>
      </w:r>
      <w:proofErr w:type="gramEnd"/>
    </w:p>
    <w:p w14:paraId="43EDE0D6" w14:textId="5197F086" w:rsidR="00E87706" w:rsidRPr="00B01850" w:rsidRDefault="00E87706" w:rsidP="00214DCC">
      <w:pPr>
        <w:pStyle w:val="ListParagraph"/>
        <w:numPr>
          <w:ilvl w:val="0"/>
          <w:numId w:val="59"/>
        </w:numPr>
        <w:spacing w:after="0" w:line="240" w:lineRule="auto"/>
        <w:textAlignment w:val="baseline"/>
        <w:rPr>
          <w:rFonts w:ascii="Arial" w:hAnsi="Arial" w:cs="Arial"/>
        </w:rPr>
      </w:pPr>
      <w:proofErr w:type="gramStart"/>
      <w:r w:rsidRPr="00B01850">
        <w:rPr>
          <w:rFonts w:ascii="Arial" w:hAnsi="Arial" w:cs="Arial"/>
        </w:rPr>
        <w:t>les</w:t>
      </w:r>
      <w:proofErr w:type="gramEnd"/>
      <w:r w:rsidRPr="00B01850">
        <w:rPr>
          <w:rFonts w:ascii="Arial" w:hAnsi="Arial" w:cs="Arial"/>
        </w:rPr>
        <w:t xml:space="preserve"> </w:t>
      </w:r>
      <w:proofErr w:type="gramStart"/>
      <w:r w:rsidRPr="00B01850">
        <w:rPr>
          <w:rFonts w:ascii="Arial" w:hAnsi="Arial" w:cs="Arial"/>
        </w:rPr>
        <w:t>érosions;</w:t>
      </w:r>
      <w:proofErr w:type="gramEnd"/>
    </w:p>
    <w:p w14:paraId="17D758C5" w14:textId="257286B9" w:rsidR="00E87706" w:rsidRPr="00B01850" w:rsidRDefault="00E87706" w:rsidP="00214DCC">
      <w:pPr>
        <w:pStyle w:val="ListParagraph"/>
        <w:numPr>
          <w:ilvl w:val="0"/>
          <w:numId w:val="59"/>
        </w:numPr>
        <w:spacing w:after="0" w:line="240" w:lineRule="auto"/>
        <w:textAlignment w:val="baseline"/>
        <w:rPr>
          <w:rFonts w:ascii="Arial" w:hAnsi="Arial" w:cs="Arial"/>
        </w:rPr>
      </w:pPr>
      <w:proofErr w:type="gramStart"/>
      <w:r w:rsidRPr="00B01850">
        <w:rPr>
          <w:rFonts w:ascii="Arial" w:hAnsi="Arial" w:cs="Arial"/>
        </w:rPr>
        <w:t>le</w:t>
      </w:r>
      <w:proofErr w:type="gramEnd"/>
      <w:r w:rsidRPr="00B01850">
        <w:rPr>
          <w:rFonts w:ascii="Arial" w:hAnsi="Arial" w:cs="Arial"/>
        </w:rPr>
        <w:t xml:space="preserve"> changement </w:t>
      </w:r>
      <w:proofErr w:type="gramStart"/>
      <w:r w:rsidRPr="00B01850">
        <w:rPr>
          <w:rFonts w:ascii="Arial" w:hAnsi="Arial" w:cs="Arial"/>
        </w:rPr>
        <w:t>climatique;</w:t>
      </w:r>
      <w:proofErr w:type="gramEnd"/>
    </w:p>
    <w:p w14:paraId="3B754E0A" w14:textId="5C4C75F7" w:rsidR="00E87706" w:rsidRPr="00B01850" w:rsidRDefault="00E87706" w:rsidP="00214DCC">
      <w:pPr>
        <w:pStyle w:val="ListParagraph"/>
        <w:numPr>
          <w:ilvl w:val="0"/>
          <w:numId w:val="59"/>
        </w:numPr>
        <w:spacing w:after="0" w:line="240" w:lineRule="auto"/>
        <w:textAlignment w:val="baseline"/>
        <w:rPr>
          <w:rFonts w:ascii="Arial" w:hAnsi="Arial" w:cs="Arial"/>
        </w:rPr>
      </w:pPr>
      <w:proofErr w:type="gramStart"/>
      <w:r w:rsidRPr="00B01850">
        <w:rPr>
          <w:rFonts w:ascii="Arial" w:hAnsi="Arial" w:cs="Arial"/>
        </w:rPr>
        <w:t>la</w:t>
      </w:r>
      <w:proofErr w:type="gramEnd"/>
      <w:r w:rsidRPr="00B01850">
        <w:rPr>
          <w:rFonts w:ascii="Arial" w:hAnsi="Arial" w:cs="Arial"/>
        </w:rPr>
        <w:t xml:space="preserve"> brulure du sol.</w:t>
      </w:r>
    </w:p>
    <w:p w14:paraId="1E3FB29F" w14:textId="0373DA5E" w:rsidR="00E87706" w:rsidRPr="00B01850" w:rsidRDefault="00E87706" w:rsidP="00E87706">
      <w:pPr>
        <w:pStyle w:val="ListParagraph"/>
        <w:spacing w:line="240" w:lineRule="auto"/>
        <w:textAlignment w:val="baseline"/>
        <w:rPr>
          <w:rFonts w:ascii="Arial" w:hAnsi="Arial" w:cs="Arial"/>
        </w:rPr>
      </w:pPr>
    </w:p>
    <w:p w14:paraId="0CB44133" w14:textId="44AB4C7B" w:rsidR="00E87706" w:rsidRPr="00B01850" w:rsidRDefault="00E87706" w:rsidP="00E87706">
      <w:pPr>
        <w:pStyle w:val="ListParagraph"/>
        <w:spacing w:line="240" w:lineRule="auto"/>
        <w:textAlignment w:val="baseline"/>
        <w:rPr>
          <w:rFonts w:ascii="Arial" w:hAnsi="Arial" w:cs="Arial"/>
        </w:rPr>
      </w:pPr>
    </w:p>
    <w:p w14:paraId="4EACAA5D" w14:textId="77777777" w:rsidR="003B3CB9" w:rsidRPr="00B01850" w:rsidRDefault="003B3CB9" w:rsidP="003B3CB9">
      <w:pPr>
        <w:rPr>
          <w:rFonts w:ascii="Arial" w:hAnsi="Arial" w:cs="Arial"/>
          <w:b/>
          <w:bCs/>
        </w:rPr>
      </w:pPr>
      <w:bookmarkStart w:id="12" w:name="_Toc44324174"/>
    </w:p>
    <w:p w14:paraId="04BA946D" w14:textId="229B174E" w:rsidR="003B3CB9" w:rsidRPr="00B01850" w:rsidRDefault="003B3CB9" w:rsidP="003B3CB9">
      <w:pPr>
        <w:rPr>
          <w:rFonts w:ascii="Arial" w:hAnsi="Arial" w:cs="Arial"/>
          <w:b/>
          <w:bCs/>
        </w:rPr>
      </w:pPr>
    </w:p>
    <w:p w14:paraId="280728CE" w14:textId="49DFF715" w:rsidR="003B3CB9" w:rsidRPr="00B01850" w:rsidRDefault="003B3CB9" w:rsidP="003B3CB9">
      <w:pPr>
        <w:rPr>
          <w:rFonts w:ascii="Arial" w:hAnsi="Arial" w:cs="Arial"/>
          <w:b/>
          <w:bCs/>
        </w:rPr>
      </w:pPr>
    </w:p>
    <w:p w14:paraId="0411EEF3" w14:textId="5A3DF0C9" w:rsidR="003B3CB9" w:rsidRPr="00B01850" w:rsidRDefault="003B3CB9" w:rsidP="003B3CB9">
      <w:pPr>
        <w:rPr>
          <w:rFonts w:ascii="Arial" w:hAnsi="Arial" w:cs="Arial"/>
          <w:b/>
          <w:bCs/>
        </w:rPr>
      </w:pPr>
    </w:p>
    <w:p w14:paraId="44F9DD3A" w14:textId="7EE1EE94" w:rsidR="003B3CB9" w:rsidRPr="00B01850" w:rsidRDefault="003B3CB9" w:rsidP="003B3CB9">
      <w:pPr>
        <w:rPr>
          <w:rFonts w:ascii="Arial" w:hAnsi="Arial" w:cs="Arial"/>
          <w:b/>
          <w:bCs/>
        </w:rPr>
      </w:pPr>
    </w:p>
    <w:p w14:paraId="2982B00C" w14:textId="085D00A9" w:rsidR="003B3CB9" w:rsidRPr="00B01850" w:rsidRDefault="003B3CB9" w:rsidP="003B3CB9">
      <w:pPr>
        <w:rPr>
          <w:rFonts w:ascii="Arial" w:hAnsi="Arial" w:cs="Arial"/>
          <w:b/>
          <w:bCs/>
        </w:rPr>
      </w:pPr>
    </w:p>
    <w:p w14:paraId="7F7D155C" w14:textId="0E8D0CC9" w:rsidR="003B3CB9" w:rsidRPr="00B01850" w:rsidRDefault="008403A0" w:rsidP="003B3CB9">
      <w:pPr>
        <w:rPr>
          <w:rFonts w:ascii="Arial" w:hAnsi="Arial" w:cs="Arial"/>
          <w:b/>
          <w:bCs/>
        </w:rPr>
      </w:pPr>
      <w:r w:rsidRPr="00B01850">
        <w:rPr>
          <w:rFonts w:ascii="Arial" w:hAnsi="Arial" w:cs="Arial"/>
          <w:noProof/>
        </w:rPr>
        <w:drawing>
          <wp:anchor distT="0" distB="0" distL="114300" distR="114300" simplePos="0" relativeHeight="251658241" behindDoc="0" locked="0" layoutInCell="1" allowOverlap="1" wp14:anchorId="32803BFE" wp14:editId="571499F5">
            <wp:simplePos x="0" y="0"/>
            <wp:positionH relativeFrom="page">
              <wp:posOffset>950221</wp:posOffset>
            </wp:positionH>
            <wp:positionV relativeFrom="paragraph">
              <wp:posOffset>-447653</wp:posOffset>
            </wp:positionV>
            <wp:extent cx="5943600" cy="4198620"/>
            <wp:effectExtent l="0" t="0" r="0" b="0"/>
            <wp:wrapNone/>
            <wp:docPr id="371402672" name="Picture 9" descr="A map of the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402672" name="Picture 9" descr="A map of the country&#10;&#10;AI-generated content may be incorrec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198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2A30C6" w14:textId="77777777" w:rsidR="003B3CB9" w:rsidRPr="00B01850" w:rsidRDefault="003B3CB9" w:rsidP="003B3CB9">
      <w:pPr>
        <w:rPr>
          <w:rFonts w:ascii="Arial" w:hAnsi="Arial" w:cs="Arial"/>
          <w:b/>
          <w:bCs/>
        </w:rPr>
      </w:pPr>
    </w:p>
    <w:p w14:paraId="36D0FBEF" w14:textId="77777777" w:rsidR="003B3CB9" w:rsidRPr="00B01850" w:rsidRDefault="003B3CB9" w:rsidP="003B3CB9">
      <w:pPr>
        <w:rPr>
          <w:rFonts w:ascii="Arial" w:hAnsi="Arial" w:cs="Arial"/>
          <w:b/>
          <w:bCs/>
        </w:rPr>
      </w:pPr>
    </w:p>
    <w:p w14:paraId="4B5D787C" w14:textId="77777777" w:rsidR="003B3CB9" w:rsidRPr="00B01850" w:rsidRDefault="003B3CB9" w:rsidP="003B3CB9">
      <w:pPr>
        <w:rPr>
          <w:rFonts w:ascii="Arial" w:hAnsi="Arial" w:cs="Arial"/>
          <w:b/>
          <w:bCs/>
        </w:rPr>
      </w:pPr>
    </w:p>
    <w:p w14:paraId="55BB0634" w14:textId="77777777" w:rsidR="003B3CB9" w:rsidRPr="00B01850" w:rsidRDefault="003B3CB9" w:rsidP="003B3CB9">
      <w:pPr>
        <w:rPr>
          <w:rFonts w:ascii="Arial" w:hAnsi="Arial" w:cs="Arial"/>
          <w:b/>
          <w:bCs/>
        </w:rPr>
      </w:pPr>
    </w:p>
    <w:p w14:paraId="6356B2CA" w14:textId="77777777" w:rsidR="003B3CB9" w:rsidRPr="00B01850" w:rsidRDefault="003B3CB9" w:rsidP="003B3CB9">
      <w:pPr>
        <w:rPr>
          <w:rFonts w:ascii="Arial" w:hAnsi="Arial" w:cs="Arial"/>
          <w:b/>
          <w:bCs/>
        </w:rPr>
      </w:pPr>
    </w:p>
    <w:p w14:paraId="1BBAF8B2" w14:textId="77777777" w:rsidR="003B3CB9" w:rsidRPr="00B01850" w:rsidRDefault="003B3CB9" w:rsidP="003B3CB9">
      <w:pPr>
        <w:rPr>
          <w:rFonts w:ascii="Arial" w:hAnsi="Arial" w:cs="Arial"/>
          <w:b/>
          <w:bCs/>
        </w:rPr>
      </w:pPr>
    </w:p>
    <w:p w14:paraId="59A7F676" w14:textId="77777777" w:rsidR="008403A0" w:rsidRDefault="008403A0" w:rsidP="003B3CB9">
      <w:pPr>
        <w:rPr>
          <w:rFonts w:ascii="Arial" w:hAnsi="Arial" w:cs="Arial"/>
          <w:b/>
          <w:bCs/>
        </w:rPr>
      </w:pPr>
    </w:p>
    <w:p w14:paraId="6C8BC3D2" w14:textId="77777777" w:rsidR="008403A0" w:rsidRDefault="008403A0" w:rsidP="003B3CB9">
      <w:pPr>
        <w:rPr>
          <w:rFonts w:ascii="Arial" w:hAnsi="Arial" w:cs="Arial"/>
          <w:b/>
          <w:bCs/>
        </w:rPr>
      </w:pPr>
    </w:p>
    <w:p w14:paraId="77B97E50" w14:textId="77777777" w:rsidR="008403A0" w:rsidRDefault="008403A0" w:rsidP="003B3CB9">
      <w:pPr>
        <w:rPr>
          <w:rFonts w:ascii="Arial" w:hAnsi="Arial" w:cs="Arial"/>
          <w:b/>
          <w:bCs/>
        </w:rPr>
      </w:pPr>
    </w:p>
    <w:p w14:paraId="1D03FDCC" w14:textId="77777777" w:rsidR="008403A0" w:rsidRDefault="008403A0" w:rsidP="003B3CB9">
      <w:pPr>
        <w:rPr>
          <w:rFonts w:ascii="Arial" w:hAnsi="Arial" w:cs="Arial"/>
          <w:b/>
          <w:bCs/>
        </w:rPr>
      </w:pPr>
    </w:p>
    <w:p w14:paraId="626BA904" w14:textId="77777777" w:rsidR="008403A0" w:rsidRDefault="008403A0" w:rsidP="003B3CB9">
      <w:pPr>
        <w:rPr>
          <w:rFonts w:ascii="Arial" w:hAnsi="Arial" w:cs="Arial"/>
          <w:b/>
          <w:bCs/>
        </w:rPr>
      </w:pPr>
    </w:p>
    <w:p w14:paraId="7A360748" w14:textId="3D2C2A9D" w:rsidR="00E87706" w:rsidRPr="00B01850" w:rsidRDefault="00E87706" w:rsidP="003B3CB9">
      <w:pPr>
        <w:rPr>
          <w:rFonts w:ascii="Arial" w:hAnsi="Arial" w:cs="Arial"/>
          <w:b/>
          <w:bCs/>
        </w:rPr>
      </w:pPr>
      <w:r w:rsidRPr="00B01850">
        <w:rPr>
          <w:rFonts w:ascii="Arial" w:hAnsi="Arial" w:cs="Arial"/>
          <w:b/>
          <w:bCs/>
        </w:rPr>
        <w:t>Carte 3.2 :</w:t>
      </w:r>
      <w:r w:rsidRPr="00B01850">
        <w:rPr>
          <w:rFonts w:ascii="Arial" w:hAnsi="Arial" w:cs="Arial"/>
        </w:rPr>
        <w:t xml:space="preserve"> Carte de localisation des risques d’incendies et des feux de brousse en Guinée.</w:t>
      </w:r>
      <w:bookmarkEnd w:id="12"/>
    </w:p>
    <w:p w14:paraId="0BEF9522" w14:textId="481F65FB" w:rsidR="00E87706" w:rsidRPr="00B01850" w:rsidRDefault="00E87706" w:rsidP="003B3CB9">
      <w:pPr>
        <w:spacing w:line="240" w:lineRule="auto"/>
        <w:jc w:val="both"/>
        <w:textAlignment w:val="baseline"/>
        <w:rPr>
          <w:rFonts w:ascii="Arial" w:hAnsi="Arial" w:cs="Arial"/>
        </w:rPr>
      </w:pPr>
      <w:r w:rsidRPr="00B01850">
        <w:rPr>
          <w:rFonts w:ascii="Arial" w:hAnsi="Arial" w:cs="Arial"/>
        </w:rPr>
        <w:t>L’analyse de cette carte montre que neuf (09) Préfectures (26,47%) sont très fréquemment exposées aux risques de feux de brousse, contre 25 Préfectures représentant 73,53% qui sont fréquemment exposées au phénomène. Nombreuses sont les causes qui engendrent le phénomène dans le pays, ce sont :</w:t>
      </w:r>
    </w:p>
    <w:p w14:paraId="6E74A3CF" w14:textId="4EF02B3B" w:rsidR="003B3CB9" w:rsidRPr="00B01850" w:rsidRDefault="00E87706" w:rsidP="00214DCC">
      <w:pPr>
        <w:pStyle w:val="ListParagraph"/>
        <w:numPr>
          <w:ilvl w:val="0"/>
          <w:numId w:val="60"/>
        </w:numPr>
        <w:spacing w:after="0"/>
        <w:jc w:val="both"/>
        <w:textAlignment w:val="baseline"/>
        <w:rPr>
          <w:rFonts w:ascii="Arial" w:hAnsi="Arial" w:cs="Arial"/>
        </w:rPr>
      </w:pPr>
      <w:proofErr w:type="gramStart"/>
      <w:r w:rsidRPr="00B01850">
        <w:rPr>
          <w:rFonts w:ascii="Arial" w:hAnsi="Arial" w:cs="Arial"/>
        </w:rPr>
        <w:lastRenderedPageBreak/>
        <w:t>des</w:t>
      </w:r>
      <w:proofErr w:type="gramEnd"/>
      <w:r w:rsidRPr="00B01850">
        <w:rPr>
          <w:rFonts w:ascii="Arial" w:hAnsi="Arial" w:cs="Arial"/>
        </w:rPr>
        <w:t xml:space="preserve"> causes volontaires : des </w:t>
      </w:r>
      <w:r w:rsidRPr="00B01850">
        <w:rPr>
          <w:rFonts w:ascii="Arial" w:hAnsi="Arial" w:cs="Arial"/>
          <w:i/>
          <w:iCs/>
        </w:rPr>
        <w:t>traditions</w:t>
      </w:r>
      <w:r w:rsidRPr="00B01850">
        <w:rPr>
          <w:rFonts w:ascii="Arial" w:hAnsi="Arial" w:cs="Arial"/>
        </w:rPr>
        <w:t xml:space="preserve"> et coutumes dans certaines Préfectures, qui véhiculent le message suivant : « le feu de brousse est une pratique courante héritée des ancêtres ». Il peut également être occasionné par des actes de pyromanes, du résultat d’une vengeance d’une communauté ou d’une stratégie politique et de la pratique de la culture sur brulis. Il est aussi, souvent, pratiqué par les éleveurs pour favoriser la repousse des pâturages, ou les chasseurs qui brulent les herbacées pour faciliter leur déplacement en brousse et la visibilité du gibier ;</w:t>
      </w:r>
    </w:p>
    <w:p w14:paraId="69382B9E" w14:textId="77777777" w:rsidR="003B3CB9" w:rsidRPr="00B01850" w:rsidRDefault="00E87706" w:rsidP="00214DCC">
      <w:pPr>
        <w:pStyle w:val="ListParagraph"/>
        <w:numPr>
          <w:ilvl w:val="0"/>
          <w:numId w:val="60"/>
        </w:numPr>
        <w:spacing w:after="0"/>
        <w:jc w:val="both"/>
        <w:textAlignment w:val="baseline"/>
        <w:rPr>
          <w:rFonts w:ascii="Arial" w:hAnsi="Arial" w:cs="Arial"/>
        </w:rPr>
      </w:pPr>
      <w:proofErr w:type="gramStart"/>
      <w:r w:rsidRPr="00B01850">
        <w:rPr>
          <w:rFonts w:ascii="Arial" w:hAnsi="Arial" w:cs="Arial"/>
        </w:rPr>
        <w:t>des</w:t>
      </w:r>
      <w:proofErr w:type="gramEnd"/>
      <w:r w:rsidRPr="00B01850">
        <w:rPr>
          <w:rFonts w:ascii="Arial" w:hAnsi="Arial" w:cs="Arial"/>
        </w:rPr>
        <w:t xml:space="preserve"> causes naturelles : la foudre et des phénomènes mystérieux (cas des feux mystérieux qui font des ravages dans certaines Préfectures comme Pita</w:t>
      </w:r>
      <w:proofErr w:type="gramStart"/>
      <w:r w:rsidRPr="00B01850">
        <w:rPr>
          <w:rFonts w:ascii="Arial" w:hAnsi="Arial" w:cs="Arial"/>
        </w:rPr>
        <w:t>);</w:t>
      </w:r>
      <w:proofErr w:type="gramEnd"/>
    </w:p>
    <w:p w14:paraId="70FAE882" w14:textId="7C643C0F" w:rsidR="00E87706" w:rsidRPr="00B01850" w:rsidRDefault="00E87706" w:rsidP="00214DCC">
      <w:pPr>
        <w:pStyle w:val="ListParagraph"/>
        <w:numPr>
          <w:ilvl w:val="0"/>
          <w:numId w:val="60"/>
        </w:numPr>
        <w:spacing w:after="0"/>
        <w:jc w:val="both"/>
        <w:textAlignment w:val="baseline"/>
        <w:rPr>
          <w:rFonts w:ascii="Arial" w:hAnsi="Arial" w:cs="Arial"/>
        </w:rPr>
      </w:pPr>
      <w:proofErr w:type="gramStart"/>
      <w:r w:rsidRPr="00B01850">
        <w:rPr>
          <w:rFonts w:ascii="Arial" w:hAnsi="Arial" w:cs="Arial"/>
        </w:rPr>
        <w:t>d’autres</w:t>
      </w:r>
      <w:proofErr w:type="gramEnd"/>
      <w:r w:rsidRPr="00B01850">
        <w:rPr>
          <w:rFonts w:ascii="Arial" w:hAnsi="Arial" w:cs="Arial"/>
        </w:rPr>
        <w:t xml:space="preserve"> causes involontaires telles que l’imprudence, la ligne électrique, le dépôt d’ordure, les feux de cigarettes, les feux de cuisine emportés par les vents violents, la carbonisation, la cuisson des briques.</w:t>
      </w:r>
    </w:p>
    <w:p w14:paraId="78D9AC39" w14:textId="77777777" w:rsidR="003B3CB9" w:rsidRPr="00B01850" w:rsidRDefault="00E87706" w:rsidP="00214DCC">
      <w:pPr>
        <w:pStyle w:val="ListParagraph"/>
        <w:numPr>
          <w:ilvl w:val="0"/>
          <w:numId w:val="88"/>
        </w:numPr>
        <w:spacing w:before="120" w:after="120"/>
        <w:contextualSpacing w:val="0"/>
        <w:textAlignment w:val="baseline"/>
        <w:rPr>
          <w:rFonts w:ascii="Arial" w:hAnsi="Arial" w:cs="Arial"/>
          <w:b/>
          <w:bCs/>
        </w:rPr>
      </w:pPr>
      <w:bookmarkStart w:id="13" w:name="_Toc44289829"/>
      <w:r w:rsidRPr="00B01850">
        <w:rPr>
          <w:rFonts w:ascii="Arial" w:hAnsi="Arial" w:cs="Arial"/>
          <w:b/>
          <w:bCs/>
        </w:rPr>
        <w:t>Épidémies</w:t>
      </w:r>
      <w:bookmarkEnd w:id="13"/>
    </w:p>
    <w:p w14:paraId="5B4D1BA5" w14:textId="5743FB5F" w:rsidR="00E87706" w:rsidRPr="00B01850" w:rsidRDefault="00E87706" w:rsidP="003B3CB9">
      <w:pPr>
        <w:spacing w:after="0"/>
        <w:jc w:val="both"/>
        <w:textAlignment w:val="baseline"/>
        <w:rPr>
          <w:rFonts w:ascii="Arial" w:hAnsi="Arial" w:cs="Arial"/>
          <w:b/>
          <w:bCs/>
        </w:rPr>
      </w:pPr>
      <w:r w:rsidRPr="00B01850">
        <w:rPr>
          <w:rFonts w:ascii="Arial" w:hAnsi="Arial" w:cs="Arial"/>
        </w:rPr>
        <w:t>Une épidémie désigne l'augmentation rapide de l'</w:t>
      </w:r>
      <w:hyperlink r:id="rId14" w:tooltip="Incidence (épidémiologie)" w:history="1">
        <w:r w:rsidRPr="00B01850">
          <w:rPr>
            <w:rStyle w:val="Hyperlink"/>
            <w:rFonts w:ascii="Arial" w:hAnsi="Arial" w:cs="Arial"/>
            <w:color w:val="auto"/>
          </w:rPr>
          <w:t>incidence</w:t>
        </w:r>
      </w:hyperlink>
      <w:r w:rsidRPr="00B01850">
        <w:rPr>
          <w:rFonts w:ascii="Arial" w:hAnsi="Arial" w:cs="Arial"/>
        </w:rPr>
        <w:t> d'une maladie en un lieu donné sur un moment donné, sans nécessairement comporter une notion de </w:t>
      </w:r>
      <w:hyperlink r:id="rId15" w:tooltip="Contagiosité" w:history="1">
        <w:r w:rsidRPr="00B01850">
          <w:rPr>
            <w:rStyle w:val="Hyperlink"/>
            <w:rFonts w:ascii="Arial" w:hAnsi="Arial" w:cs="Arial"/>
            <w:color w:val="auto"/>
            <w:u w:val="none"/>
          </w:rPr>
          <w:t>contagiosité</w:t>
        </w:r>
      </w:hyperlink>
      <w:r w:rsidRPr="00B01850">
        <w:rPr>
          <w:rFonts w:ascii="Arial" w:hAnsi="Arial" w:cs="Arial"/>
        </w:rPr>
        <w:t>. Une </w:t>
      </w:r>
      <w:hyperlink r:id="rId16" w:tooltip="Endémie" w:history="1">
        <w:r w:rsidRPr="00B01850">
          <w:rPr>
            <w:rStyle w:val="Hyperlink"/>
            <w:rFonts w:ascii="Arial" w:hAnsi="Arial" w:cs="Arial"/>
            <w:color w:val="auto"/>
            <w:u w:val="none"/>
          </w:rPr>
          <w:t>endémie</w:t>
        </w:r>
      </w:hyperlink>
      <w:r w:rsidRPr="00B01850">
        <w:rPr>
          <w:rFonts w:ascii="Arial" w:hAnsi="Arial" w:cs="Arial"/>
        </w:rPr>
        <w:t>, qui est la présence habituelle d'une maladie dans une zone géographique (</w:t>
      </w:r>
      <w:hyperlink r:id="rId17" w:tooltip="Incidence (épidémiologie)" w:history="1">
        <w:r w:rsidRPr="00B01850">
          <w:rPr>
            <w:rStyle w:val="Hyperlink"/>
            <w:rFonts w:ascii="Arial" w:hAnsi="Arial" w:cs="Arial"/>
            <w:color w:val="auto"/>
            <w:u w:val="none"/>
          </w:rPr>
          <w:t>incidence</w:t>
        </w:r>
      </w:hyperlink>
      <w:r w:rsidRPr="00B01850">
        <w:rPr>
          <w:rFonts w:ascii="Arial" w:hAnsi="Arial" w:cs="Arial"/>
        </w:rPr>
        <w:t> positive, </w:t>
      </w:r>
      <w:hyperlink r:id="rId18" w:tooltip="Prévalence" w:history="1">
        <w:r w:rsidRPr="00B01850">
          <w:rPr>
            <w:rStyle w:val="Hyperlink"/>
            <w:rFonts w:ascii="Arial" w:hAnsi="Arial" w:cs="Arial"/>
            <w:color w:val="auto"/>
            <w:u w:val="none"/>
          </w:rPr>
          <w:t>prévalence</w:t>
        </w:r>
      </w:hyperlink>
      <w:r w:rsidRPr="00B01850">
        <w:rPr>
          <w:rFonts w:ascii="Arial" w:hAnsi="Arial" w:cs="Arial"/>
        </w:rPr>
        <w:t> stable) peut se développer en épidémie si les conditions environnementales le permettent</w:t>
      </w:r>
      <w:r w:rsidRPr="00B01850">
        <w:rPr>
          <w:rFonts w:ascii="Arial" w:hAnsi="Arial" w:cs="Arial"/>
          <w:vertAlign w:val="superscript"/>
        </w:rPr>
        <w:t xml:space="preserve">. </w:t>
      </w:r>
      <w:r w:rsidRPr="00B01850">
        <w:rPr>
          <w:rFonts w:ascii="Arial" w:hAnsi="Arial" w:cs="Arial"/>
        </w:rPr>
        <w:t>Par la suite :</w:t>
      </w:r>
    </w:p>
    <w:p w14:paraId="3D72749B" w14:textId="0703E51D" w:rsidR="003B3CB9" w:rsidRPr="00B01850" w:rsidRDefault="00E87706" w:rsidP="003B3CB9">
      <w:pPr>
        <w:spacing w:after="0"/>
        <w:jc w:val="both"/>
        <w:textAlignment w:val="baseline"/>
        <w:rPr>
          <w:rFonts w:ascii="Arial" w:hAnsi="Arial" w:cs="Arial"/>
        </w:rPr>
      </w:pPr>
      <w:proofErr w:type="gramStart"/>
      <w:r w:rsidRPr="00B01850">
        <w:rPr>
          <w:rFonts w:ascii="Arial" w:hAnsi="Arial" w:cs="Arial"/>
        </w:rPr>
        <w:t>soit</w:t>
      </w:r>
      <w:proofErr w:type="gramEnd"/>
      <w:r w:rsidRPr="00B01850">
        <w:rPr>
          <w:rFonts w:ascii="Arial" w:hAnsi="Arial" w:cs="Arial"/>
        </w:rPr>
        <w:t xml:space="preserve"> l'épidémie s'étend et devient une </w:t>
      </w:r>
      <w:hyperlink r:id="rId19" w:tooltip="Pandémie" w:history="1">
        <w:r w:rsidRPr="00B01850">
          <w:rPr>
            <w:rStyle w:val="Hyperlink"/>
            <w:rFonts w:ascii="Arial" w:hAnsi="Arial" w:cs="Arial"/>
            <w:color w:val="auto"/>
            <w:u w:val="none"/>
          </w:rPr>
          <w:t>pandémie</w:t>
        </w:r>
      </w:hyperlink>
      <w:r w:rsidRPr="00B01850">
        <w:rPr>
          <w:rFonts w:ascii="Arial" w:hAnsi="Arial" w:cs="Arial"/>
        </w:rPr>
        <w:t> si elle touche plusieurs continents (cas du </w:t>
      </w:r>
      <w:hyperlink r:id="rId20" w:tooltip="Virus de l'immunodéficience humaine" w:history="1">
        <w:r w:rsidRPr="00B01850">
          <w:rPr>
            <w:rStyle w:val="Hyperlink"/>
            <w:rFonts w:ascii="Arial" w:hAnsi="Arial" w:cs="Arial"/>
            <w:color w:val="auto"/>
            <w:u w:val="none"/>
          </w:rPr>
          <w:t>VIH</w:t>
        </w:r>
      </w:hyperlink>
      <w:r w:rsidRPr="00B01850">
        <w:rPr>
          <w:rFonts w:ascii="Arial" w:hAnsi="Arial" w:cs="Arial"/>
        </w:rPr>
        <w:t xml:space="preserve"> et l’actuel COVID-19) ;</w:t>
      </w:r>
    </w:p>
    <w:p w14:paraId="507D9D66" w14:textId="25D37D16" w:rsidR="00E87706" w:rsidRPr="00B01850" w:rsidRDefault="00E87706" w:rsidP="003B3CB9">
      <w:pPr>
        <w:spacing w:after="0"/>
        <w:jc w:val="both"/>
        <w:textAlignment w:val="baseline"/>
        <w:rPr>
          <w:rFonts w:ascii="Arial" w:hAnsi="Arial" w:cs="Arial"/>
        </w:rPr>
      </w:pPr>
      <w:proofErr w:type="gramStart"/>
      <w:r w:rsidRPr="00B01850">
        <w:rPr>
          <w:rFonts w:ascii="Arial" w:hAnsi="Arial" w:cs="Arial"/>
        </w:rPr>
        <w:t>soit</w:t>
      </w:r>
      <w:proofErr w:type="gramEnd"/>
      <w:r w:rsidRPr="00B01850">
        <w:rPr>
          <w:rFonts w:ascii="Arial" w:hAnsi="Arial" w:cs="Arial"/>
        </w:rPr>
        <w:t xml:space="preserve"> l'épidémie régresse, l'incidence devenant très faible, nulle ou négative. Si elle reste localisée dans l'espace, elle devient une </w:t>
      </w:r>
      <w:hyperlink r:id="rId21" w:tooltip="Endémie" w:history="1">
        <w:r w:rsidRPr="00B01850">
          <w:rPr>
            <w:rStyle w:val="Hyperlink"/>
            <w:rFonts w:ascii="Arial" w:hAnsi="Arial" w:cs="Arial"/>
            <w:color w:val="auto"/>
            <w:u w:val="none"/>
          </w:rPr>
          <w:t>endémie</w:t>
        </w:r>
      </w:hyperlink>
      <w:r w:rsidRPr="00B01850">
        <w:rPr>
          <w:rFonts w:ascii="Arial" w:hAnsi="Arial" w:cs="Arial"/>
        </w:rPr>
        <w:t> limitée à certaines régions (cas actuel de la </w:t>
      </w:r>
      <w:hyperlink r:id="rId22" w:tooltip="Poliomyélite" w:history="1">
        <w:r w:rsidRPr="00B01850">
          <w:rPr>
            <w:rStyle w:val="Hyperlink"/>
            <w:rFonts w:ascii="Arial" w:hAnsi="Arial" w:cs="Arial"/>
            <w:color w:val="auto"/>
            <w:u w:val="none"/>
          </w:rPr>
          <w:t>poliomyélite</w:t>
        </w:r>
      </w:hyperlink>
      <w:r w:rsidRPr="00B01850">
        <w:rPr>
          <w:rFonts w:ascii="Arial" w:hAnsi="Arial" w:cs="Arial"/>
        </w:rPr>
        <w:t>). Elle peut aussi éventuellement disparaître à la fin.</w:t>
      </w:r>
    </w:p>
    <w:p w14:paraId="37BFB68A" w14:textId="17A52505" w:rsidR="00E87706" w:rsidRPr="00B01850" w:rsidRDefault="00E87706" w:rsidP="003B3CB9">
      <w:pPr>
        <w:spacing w:after="0" w:line="240" w:lineRule="auto"/>
        <w:jc w:val="both"/>
        <w:textAlignment w:val="baseline"/>
        <w:rPr>
          <w:rFonts w:ascii="Arial" w:hAnsi="Arial" w:cs="Arial"/>
        </w:rPr>
      </w:pPr>
      <w:r w:rsidRPr="00B01850">
        <w:rPr>
          <w:rFonts w:ascii="Arial" w:hAnsi="Arial" w:cs="Arial"/>
        </w:rPr>
        <w:t>Les maladies infectieuses, nouvelles ou résurgentes, ont de profondes répercussions économiques et sociales. La carte 3.3 présente la distribution du risque d’épidémie entre les Préfectures du pays.</w:t>
      </w:r>
    </w:p>
    <w:p w14:paraId="1AF26153" w14:textId="5F8C6712" w:rsidR="00F057B6" w:rsidRPr="00B01850" w:rsidRDefault="00F057B6">
      <w:pPr>
        <w:rPr>
          <w:rFonts w:ascii="Arial" w:hAnsi="Arial" w:cs="Arial"/>
        </w:rPr>
      </w:pPr>
      <w:r w:rsidRPr="00B01850">
        <w:rPr>
          <w:rFonts w:ascii="Arial" w:hAnsi="Arial" w:cs="Arial"/>
        </w:rPr>
        <w:br w:type="page"/>
      </w:r>
    </w:p>
    <w:p w14:paraId="285B070A" w14:textId="5334B6C0" w:rsidR="00F057B6" w:rsidRPr="00B01850" w:rsidRDefault="00F057B6" w:rsidP="003B3CB9">
      <w:pPr>
        <w:spacing w:after="0" w:line="240" w:lineRule="auto"/>
        <w:jc w:val="both"/>
        <w:textAlignment w:val="baseline"/>
        <w:rPr>
          <w:rFonts w:ascii="Arial" w:hAnsi="Arial" w:cs="Arial"/>
        </w:rPr>
      </w:pPr>
      <w:r w:rsidRPr="00B01850">
        <w:rPr>
          <w:rFonts w:ascii="Arial" w:hAnsi="Arial" w:cs="Arial"/>
          <w:noProof/>
        </w:rPr>
        <w:lastRenderedPageBreak/>
        <w:drawing>
          <wp:anchor distT="0" distB="0" distL="114300" distR="114300" simplePos="0" relativeHeight="251658242" behindDoc="0" locked="0" layoutInCell="1" allowOverlap="1" wp14:anchorId="682D01B8" wp14:editId="03912F32">
            <wp:simplePos x="0" y="0"/>
            <wp:positionH relativeFrom="column">
              <wp:posOffset>-210553</wp:posOffset>
            </wp:positionH>
            <wp:positionV relativeFrom="paragraph">
              <wp:posOffset>-806116</wp:posOffset>
            </wp:positionV>
            <wp:extent cx="6412230" cy="4620127"/>
            <wp:effectExtent l="0" t="0" r="7620" b="9525"/>
            <wp:wrapNone/>
            <wp:docPr id="943366204" name="Picture 8" descr="A map of the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366204" name="Picture 8" descr="A map of the country&#10;&#10;AI-generated content may be incorrec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22665" cy="46276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CAA61F" w14:textId="464EAC4C" w:rsidR="00E87706" w:rsidRPr="00B01850" w:rsidRDefault="00E87706" w:rsidP="003B3CB9">
      <w:pPr>
        <w:spacing w:line="240" w:lineRule="auto"/>
        <w:textAlignment w:val="baseline"/>
        <w:rPr>
          <w:rFonts w:ascii="Arial" w:hAnsi="Arial" w:cs="Arial"/>
        </w:rPr>
      </w:pPr>
    </w:p>
    <w:p w14:paraId="0953D2E0" w14:textId="7F5746A9" w:rsidR="00E87706" w:rsidRPr="00B01850" w:rsidRDefault="00E87706" w:rsidP="00E87706">
      <w:pPr>
        <w:pStyle w:val="ListParagraph"/>
        <w:spacing w:line="240" w:lineRule="auto"/>
        <w:textAlignment w:val="baseline"/>
        <w:rPr>
          <w:rFonts w:ascii="Arial" w:hAnsi="Arial" w:cs="Arial"/>
        </w:rPr>
      </w:pPr>
    </w:p>
    <w:p w14:paraId="7A714E46" w14:textId="5F63D904" w:rsidR="00F057B6" w:rsidRPr="00B01850" w:rsidRDefault="00F057B6" w:rsidP="00F057B6">
      <w:pPr>
        <w:jc w:val="both"/>
        <w:textAlignment w:val="baseline"/>
        <w:rPr>
          <w:rFonts w:ascii="Arial" w:hAnsi="Arial" w:cs="Arial"/>
          <w:b/>
          <w:bCs/>
        </w:rPr>
      </w:pPr>
      <w:bookmarkStart w:id="14" w:name="_Toc44324175"/>
    </w:p>
    <w:p w14:paraId="6BD5F370" w14:textId="755C1E2B" w:rsidR="00F057B6" w:rsidRPr="00B01850" w:rsidRDefault="00F057B6" w:rsidP="00F057B6">
      <w:pPr>
        <w:jc w:val="both"/>
        <w:textAlignment w:val="baseline"/>
        <w:rPr>
          <w:rFonts w:ascii="Arial" w:hAnsi="Arial" w:cs="Arial"/>
          <w:b/>
          <w:bCs/>
        </w:rPr>
      </w:pPr>
    </w:p>
    <w:p w14:paraId="4D7DCAB7" w14:textId="228A4D70" w:rsidR="00F057B6" w:rsidRPr="00B01850" w:rsidRDefault="00F057B6" w:rsidP="00F057B6">
      <w:pPr>
        <w:jc w:val="both"/>
        <w:textAlignment w:val="baseline"/>
        <w:rPr>
          <w:rFonts w:ascii="Arial" w:hAnsi="Arial" w:cs="Arial"/>
          <w:b/>
          <w:bCs/>
        </w:rPr>
      </w:pPr>
    </w:p>
    <w:p w14:paraId="5F18428E" w14:textId="77777777" w:rsidR="00F057B6" w:rsidRPr="00B01850" w:rsidRDefault="00F057B6" w:rsidP="00F057B6">
      <w:pPr>
        <w:jc w:val="both"/>
        <w:textAlignment w:val="baseline"/>
        <w:rPr>
          <w:rFonts w:ascii="Arial" w:hAnsi="Arial" w:cs="Arial"/>
          <w:b/>
          <w:bCs/>
        </w:rPr>
      </w:pPr>
    </w:p>
    <w:p w14:paraId="598DA67E" w14:textId="77777777" w:rsidR="00F057B6" w:rsidRPr="00B01850" w:rsidRDefault="00F057B6" w:rsidP="00F057B6">
      <w:pPr>
        <w:jc w:val="both"/>
        <w:textAlignment w:val="baseline"/>
        <w:rPr>
          <w:rFonts w:ascii="Arial" w:hAnsi="Arial" w:cs="Arial"/>
          <w:b/>
          <w:bCs/>
        </w:rPr>
      </w:pPr>
    </w:p>
    <w:p w14:paraId="68862577" w14:textId="77777777" w:rsidR="00F057B6" w:rsidRPr="00B01850" w:rsidRDefault="00F057B6" w:rsidP="00F057B6">
      <w:pPr>
        <w:jc w:val="both"/>
        <w:textAlignment w:val="baseline"/>
        <w:rPr>
          <w:rFonts w:ascii="Arial" w:hAnsi="Arial" w:cs="Arial"/>
          <w:b/>
          <w:bCs/>
        </w:rPr>
      </w:pPr>
    </w:p>
    <w:p w14:paraId="3B514780" w14:textId="77777777" w:rsidR="00F057B6" w:rsidRPr="00B01850" w:rsidRDefault="00F057B6" w:rsidP="00F057B6">
      <w:pPr>
        <w:jc w:val="both"/>
        <w:textAlignment w:val="baseline"/>
        <w:rPr>
          <w:rFonts w:ascii="Arial" w:hAnsi="Arial" w:cs="Arial"/>
          <w:b/>
          <w:bCs/>
        </w:rPr>
      </w:pPr>
    </w:p>
    <w:p w14:paraId="44F778F7" w14:textId="77777777" w:rsidR="00F057B6" w:rsidRPr="00B01850" w:rsidRDefault="00F057B6" w:rsidP="00F057B6">
      <w:pPr>
        <w:jc w:val="both"/>
        <w:textAlignment w:val="baseline"/>
        <w:rPr>
          <w:rFonts w:ascii="Arial" w:hAnsi="Arial" w:cs="Arial"/>
          <w:b/>
          <w:bCs/>
        </w:rPr>
      </w:pPr>
    </w:p>
    <w:p w14:paraId="4668E2E6" w14:textId="77777777" w:rsidR="00F057B6" w:rsidRPr="00B01850" w:rsidRDefault="00F057B6" w:rsidP="00F057B6">
      <w:pPr>
        <w:jc w:val="both"/>
        <w:textAlignment w:val="baseline"/>
        <w:rPr>
          <w:rFonts w:ascii="Arial" w:hAnsi="Arial" w:cs="Arial"/>
          <w:b/>
          <w:bCs/>
        </w:rPr>
      </w:pPr>
    </w:p>
    <w:p w14:paraId="60937477" w14:textId="77777777" w:rsidR="00F057B6" w:rsidRPr="00B01850" w:rsidRDefault="00F057B6" w:rsidP="00F057B6">
      <w:pPr>
        <w:jc w:val="both"/>
        <w:textAlignment w:val="baseline"/>
        <w:rPr>
          <w:rFonts w:ascii="Arial" w:hAnsi="Arial" w:cs="Arial"/>
          <w:b/>
          <w:bCs/>
        </w:rPr>
      </w:pPr>
    </w:p>
    <w:p w14:paraId="549181DA" w14:textId="04EBAE89" w:rsidR="003B3CB9" w:rsidRPr="00B01850" w:rsidRDefault="00E87706" w:rsidP="00F057B6">
      <w:pPr>
        <w:jc w:val="both"/>
        <w:textAlignment w:val="baseline"/>
        <w:rPr>
          <w:rFonts w:ascii="Arial" w:hAnsi="Arial" w:cs="Arial"/>
        </w:rPr>
      </w:pPr>
      <w:r w:rsidRPr="00B01850">
        <w:rPr>
          <w:rFonts w:ascii="Arial" w:hAnsi="Arial" w:cs="Arial"/>
          <w:b/>
          <w:bCs/>
        </w:rPr>
        <w:t>Carte 3.3 :</w:t>
      </w:r>
      <w:r w:rsidRPr="00B01850">
        <w:rPr>
          <w:rFonts w:ascii="Arial" w:hAnsi="Arial" w:cs="Arial"/>
        </w:rPr>
        <w:t xml:space="preserve"> Carte de localisation des risques d’épidémies en Guinée.</w:t>
      </w:r>
      <w:bookmarkEnd w:id="14"/>
    </w:p>
    <w:p w14:paraId="3F6EACDF" w14:textId="10061648" w:rsidR="00E87706" w:rsidRPr="00B01850" w:rsidRDefault="00E87706" w:rsidP="00F057B6">
      <w:pPr>
        <w:spacing w:after="0" w:line="240" w:lineRule="auto"/>
        <w:jc w:val="both"/>
        <w:textAlignment w:val="baseline"/>
        <w:rPr>
          <w:rFonts w:ascii="Arial" w:hAnsi="Arial" w:cs="Arial"/>
        </w:rPr>
      </w:pPr>
      <w:r w:rsidRPr="00B01850">
        <w:rPr>
          <w:rFonts w:ascii="Arial" w:hAnsi="Arial" w:cs="Arial"/>
        </w:rPr>
        <w:t>L’analyse de cette carte montre que plus de 80% des Préfectures de la Guinée sont exposées aux risques d’épidémie. Cette exposition est de très fréquent à Conakry (2,94%), fréquent pour huit (08) Préfectures (soit 23,53%), peu fréquent pour 19 Préfectures (correspondant à 55,88%) et non signalé pour six (06) Préfectures (soit 17,65).</w:t>
      </w:r>
    </w:p>
    <w:p w14:paraId="5BA9B57B" w14:textId="77777777" w:rsidR="00F057B6" w:rsidRPr="00B01850" w:rsidRDefault="00E87706" w:rsidP="00F057B6">
      <w:pPr>
        <w:spacing w:after="0" w:line="240" w:lineRule="auto"/>
        <w:jc w:val="both"/>
        <w:textAlignment w:val="baseline"/>
        <w:rPr>
          <w:rFonts w:ascii="Arial" w:hAnsi="Arial" w:cs="Arial"/>
        </w:rPr>
      </w:pPr>
      <w:r w:rsidRPr="00B01850">
        <w:rPr>
          <w:rFonts w:ascii="Arial" w:hAnsi="Arial" w:cs="Arial"/>
        </w:rPr>
        <w:t>Les maladies infectieuses et la mortalité qui les accompagne restent encore une réelle menace en Guinée. Nous continuons de lutter, à la fois, contre d’anciens agents pathogènes qui accablent les populations depuis des millénaires comme la peste, et de nouveaux pathogènes, tels que le virus de l’immunodéficience humaine (VIH), le virus Ébola, le Coronavirus (COVID-19), qui ont muté ou se sont propagés à partir d’un réservoir animal. Un certain nombre de maladies infectieuses, comme la tuberculose et le paludisme, les maladies diarrhéiques sont endémiques à toutes les Préfectures, et imposent un fardeau considérable et régulier. D’autres, comme la grippe, sont de présence et d’intensité variables, et font des ravages dans tout le pays, lorsque surviennent une flambée de la maladie (forte hausse de la prévalence dans une région ou au sein d’une population relativement limitées), une épidémie (forte hausse de la prévalence dans une région ou une population plus étendue) ou une pandémie (épidémie frappant de multiples pays ou continents).</w:t>
      </w:r>
    </w:p>
    <w:p w14:paraId="7DFF9C14" w14:textId="1A0F872A" w:rsidR="00E87706" w:rsidRPr="00B01850" w:rsidRDefault="00E87706" w:rsidP="00F057B6">
      <w:pPr>
        <w:spacing w:after="0" w:line="240" w:lineRule="auto"/>
        <w:jc w:val="both"/>
        <w:textAlignment w:val="baseline"/>
        <w:rPr>
          <w:rFonts w:ascii="Arial" w:hAnsi="Arial" w:cs="Arial"/>
        </w:rPr>
      </w:pPr>
      <w:r w:rsidRPr="00B01850">
        <w:rPr>
          <w:rFonts w:ascii="Arial" w:hAnsi="Arial" w:cs="Arial"/>
        </w:rPr>
        <w:t xml:space="preserve">Les risques que représentent les flambées de maladies et les épidémies pour la santé, de même que la peur et la panique qui en découlent, mènent à divers risques pour l’économie et la stabilité sociale. Ces deux risques, et sans doute les plus évidents, sont les coûts pour le système de santé, à la fois public et privé, du traitement médical des personnes infectées, de la maîtrise de la maladie, et les coûts de réparation des dommages des violences sur les biens et immeubles. Au-delà des chocs sur le secteur de la santé, une épidémie oblige à la fois les malades et leurs soignants à s’absenter de leur travail ou à être moins performants, ce qui met à mal la productivité. La peur de l’infection peut entraîner l’isolement social ou la fermeture d’écoles, d’entreprises, </w:t>
      </w:r>
      <w:r w:rsidRPr="00B01850">
        <w:rPr>
          <w:rFonts w:ascii="Arial" w:hAnsi="Arial" w:cs="Arial"/>
        </w:rPr>
        <w:lastRenderedPageBreak/>
        <w:t>d’établissements commerciaux, de transports et de services publics, ce qui est lourd de conséquences pour l’économie et toute autre activité bénéfique à la société.</w:t>
      </w:r>
    </w:p>
    <w:p w14:paraId="59945618" w14:textId="150EE44D" w:rsidR="00E87706" w:rsidRPr="00B01850" w:rsidRDefault="00E87706" w:rsidP="00214DCC">
      <w:pPr>
        <w:pStyle w:val="ListParagraph"/>
        <w:numPr>
          <w:ilvl w:val="0"/>
          <w:numId w:val="88"/>
        </w:numPr>
        <w:spacing w:before="120" w:after="120"/>
        <w:textAlignment w:val="baseline"/>
        <w:rPr>
          <w:rFonts w:ascii="Arial" w:hAnsi="Arial" w:cs="Arial"/>
          <w:b/>
          <w:bCs/>
        </w:rPr>
      </w:pPr>
      <w:bookmarkStart w:id="15" w:name="_Toc44289830"/>
      <w:r w:rsidRPr="00B01850">
        <w:rPr>
          <w:rFonts w:ascii="Arial" w:hAnsi="Arial" w:cs="Arial"/>
          <w:b/>
          <w:bCs/>
        </w:rPr>
        <w:t>Conflits sociaux</w:t>
      </w:r>
      <w:bookmarkEnd w:id="15"/>
    </w:p>
    <w:p w14:paraId="67F9A1B5" w14:textId="7E439383" w:rsidR="00E87706" w:rsidRPr="00B01850" w:rsidRDefault="00E87706" w:rsidP="00F057B6">
      <w:pPr>
        <w:spacing w:line="240" w:lineRule="auto"/>
        <w:textAlignment w:val="baseline"/>
        <w:rPr>
          <w:rFonts w:ascii="Arial" w:hAnsi="Arial" w:cs="Arial"/>
          <w:b/>
        </w:rPr>
      </w:pPr>
      <w:r w:rsidRPr="00B01850">
        <w:rPr>
          <w:rFonts w:ascii="Arial" w:hAnsi="Arial" w:cs="Arial"/>
        </w:rPr>
        <w:t>La notion de conflit, couvre deux acceptions :</w:t>
      </w:r>
    </w:p>
    <w:p w14:paraId="6EBD9756" w14:textId="36610878" w:rsidR="00E87706" w:rsidRPr="00B01850" w:rsidRDefault="00E87706" w:rsidP="00214DCC">
      <w:pPr>
        <w:pStyle w:val="ListParagraph"/>
        <w:numPr>
          <w:ilvl w:val="0"/>
          <w:numId w:val="51"/>
        </w:numPr>
        <w:spacing w:after="0"/>
        <w:contextualSpacing w:val="0"/>
        <w:jc w:val="both"/>
        <w:textAlignment w:val="baseline"/>
        <w:rPr>
          <w:rFonts w:ascii="Arial" w:hAnsi="Arial" w:cs="Arial"/>
        </w:rPr>
      </w:pPr>
      <w:proofErr w:type="gramStart"/>
      <w:r w:rsidRPr="00B01850">
        <w:rPr>
          <w:rFonts w:ascii="Arial" w:hAnsi="Arial" w:cs="Arial"/>
        </w:rPr>
        <w:t>la</w:t>
      </w:r>
      <w:proofErr w:type="gramEnd"/>
      <w:r w:rsidRPr="00B01850">
        <w:rPr>
          <w:rFonts w:ascii="Arial" w:hAnsi="Arial" w:cs="Arial"/>
        </w:rPr>
        <w:t xml:space="preserve"> première vient du latin « </w:t>
      </w:r>
      <w:proofErr w:type="spellStart"/>
      <w:r w:rsidRPr="00B01850">
        <w:rPr>
          <w:rFonts w:ascii="Arial" w:hAnsi="Arial" w:cs="Arial"/>
        </w:rPr>
        <w:t>conflictus</w:t>
      </w:r>
      <w:proofErr w:type="spellEnd"/>
      <w:r w:rsidRPr="00B01850">
        <w:rPr>
          <w:rFonts w:ascii="Arial" w:hAnsi="Arial" w:cs="Arial"/>
        </w:rPr>
        <w:t xml:space="preserve"> » qui signifie </w:t>
      </w:r>
      <w:proofErr w:type="gramStart"/>
      <w:r w:rsidRPr="00B01850">
        <w:rPr>
          <w:rFonts w:ascii="Arial" w:hAnsi="Arial" w:cs="Arial"/>
        </w:rPr>
        <w:t>choc:</w:t>
      </w:r>
      <w:proofErr w:type="gramEnd"/>
      <w:r w:rsidRPr="00B01850">
        <w:rPr>
          <w:rFonts w:ascii="Arial" w:hAnsi="Arial" w:cs="Arial"/>
        </w:rPr>
        <w:t xml:space="preserve"> c’est la lutte, le combat, la guerre, le terrorisme…ce choc inflige des pertes aux deux </w:t>
      </w:r>
      <w:proofErr w:type="gramStart"/>
      <w:r w:rsidRPr="00B01850">
        <w:rPr>
          <w:rFonts w:ascii="Arial" w:hAnsi="Arial" w:cs="Arial"/>
        </w:rPr>
        <w:t>adversaires;</w:t>
      </w:r>
      <w:proofErr w:type="gramEnd"/>
    </w:p>
    <w:p w14:paraId="7A639E5F" w14:textId="0696C2F5" w:rsidR="00E87706" w:rsidRPr="00B01850" w:rsidRDefault="00E87706" w:rsidP="00214DCC">
      <w:pPr>
        <w:pStyle w:val="ListParagraph"/>
        <w:numPr>
          <w:ilvl w:val="0"/>
          <w:numId w:val="51"/>
        </w:numPr>
        <w:spacing w:after="0"/>
        <w:contextualSpacing w:val="0"/>
        <w:jc w:val="both"/>
        <w:textAlignment w:val="baseline"/>
        <w:rPr>
          <w:rFonts w:ascii="Arial" w:hAnsi="Arial" w:cs="Arial"/>
        </w:rPr>
      </w:pPr>
      <w:proofErr w:type="gramStart"/>
      <w:r w:rsidRPr="00B01850">
        <w:rPr>
          <w:rFonts w:ascii="Arial" w:hAnsi="Arial" w:cs="Arial"/>
        </w:rPr>
        <w:t>la</w:t>
      </w:r>
      <w:proofErr w:type="gramEnd"/>
      <w:r w:rsidRPr="00B01850">
        <w:rPr>
          <w:rFonts w:ascii="Arial" w:hAnsi="Arial" w:cs="Arial"/>
        </w:rPr>
        <w:t xml:space="preserve"> deuxième signifie la rencontre de sentiments ou d’intérêts qui </w:t>
      </w:r>
      <w:proofErr w:type="gramStart"/>
      <w:r w:rsidRPr="00B01850">
        <w:rPr>
          <w:rFonts w:ascii="Arial" w:hAnsi="Arial" w:cs="Arial"/>
        </w:rPr>
        <w:t>s’opposent:</w:t>
      </w:r>
      <w:proofErr w:type="gramEnd"/>
      <w:r w:rsidRPr="00B01850">
        <w:rPr>
          <w:rFonts w:ascii="Arial" w:hAnsi="Arial" w:cs="Arial"/>
        </w:rPr>
        <w:t xml:space="preserve"> querelles, désaccords, la lutte de pouvoir…si cette opposition d’intérêt n’est pas traitée elle peut entraîner un conflit ouvert.</w:t>
      </w:r>
    </w:p>
    <w:p w14:paraId="05171521" w14:textId="2D44D9C5" w:rsidR="00E87706" w:rsidRPr="00B01850" w:rsidRDefault="00E87706" w:rsidP="00F057B6">
      <w:pPr>
        <w:spacing w:after="0" w:line="240" w:lineRule="auto"/>
        <w:jc w:val="both"/>
        <w:textAlignment w:val="baseline"/>
        <w:rPr>
          <w:rFonts w:ascii="Arial" w:hAnsi="Arial" w:cs="Arial"/>
        </w:rPr>
      </w:pPr>
      <w:r w:rsidRPr="00B01850">
        <w:rPr>
          <w:rFonts w:ascii="Arial" w:hAnsi="Arial" w:cs="Arial"/>
        </w:rPr>
        <w:t>Ces conflits peuvent être qualifiés de nombreuses manières suivant les acteurs en présence (leur nombre, leur âge, leur position hiérarchique…), le sujet du conflit (avantage, pouvoir…), l’évolution du conflit (déclaré, latent, refoulé), etc.</w:t>
      </w:r>
    </w:p>
    <w:p w14:paraId="414D4FEF" w14:textId="2F1145B5" w:rsidR="00E87706" w:rsidRPr="00B01850" w:rsidRDefault="00E87706" w:rsidP="00F057B6">
      <w:pPr>
        <w:spacing w:after="0" w:line="240" w:lineRule="auto"/>
        <w:jc w:val="both"/>
        <w:textAlignment w:val="baseline"/>
        <w:rPr>
          <w:rFonts w:ascii="Arial" w:hAnsi="Arial" w:cs="Arial"/>
        </w:rPr>
      </w:pPr>
      <w:r w:rsidRPr="00B01850">
        <w:rPr>
          <w:rFonts w:ascii="Arial" w:hAnsi="Arial" w:cs="Arial"/>
        </w:rPr>
        <w:t>En Guinée, les différents types de conflits sociaux (cf. carte 3.4) sont fonciers, politiques, territoriaux, identitaires, familiaux, etc.</w:t>
      </w:r>
    </w:p>
    <w:p w14:paraId="4E004829" w14:textId="60C11CC3" w:rsidR="00E87706" w:rsidRPr="00B01850" w:rsidRDefault="00A97433" w:rsidP="00E87706">
      <w:pPr>
        <w:pStyle w:val="ListParagraph"/>
        <w:spacing w:line="240" w:lineRule="auto"/>
        <w:jc w:val="both"/>
        <w:textAlignment w:val="baseline"/>
        <w:rPr>
          <w:rFonts w:ascii="Arial" w:hAnsi="Arial" w:cs="Arial"/>
        </w:rPr>
      </w:pPr>
      <w:r w:rsidRPr="00B01850">
        <w:rPr>
          <w:rFonts w:ascii="Arial" w:hAnsi="Arial" w:cs="Arial"/>
          <w:noProof/>
        </w:rPr>
        <w:drawing>
          <wp:anchor distT="0" distB="0" distL="114300" distR="114300" simplePos="0" relativeHeight="251658243" behindDoc="0" locked="0" layoutInCell="1" allowOverlap="1" wp14:anchorId="21A7E8B5" wp14:editId="03D8627E">
            <wp:simplePos x="0" y="0"/>
            <wp:positionH relativeFrom="column">
              <wp:posOffset>-126332</wp:posOffset>
            </wp:positionH>
            <wp:positionV relativeFrom="paragraph">
              <wp:posOffset>82517</wp:posOffset>
            </wp:positionV>
            <wp:extent cx="5943600" cy="4060657"/>
            <wp:effectExtent l="0" t="0" r="0" b="0"/>
            <wp:wrapNone/>
            <wp:docPr id="222502598" name="Picture 7" descr="A map of the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502598" name="Picture 7" descr="A map of the country&#10;&#10;AI-generated content may be incorrec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7336" cy="40632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DD198B" w14:textId="784CB8B6" w:rsidR="00E87706" w:rsidRPr="00B01850" w:rsidRDefault="00E87706" w:rsidP="00E87706">
      <w:pPr>
        <w:pStyle w:val="ListParagraph"/>
        <w:spacing w:line="240" w:lineRule="auto"/>
        <w:textAlignment w:val="baseline"/>
        <w:rPr>
          <w:rFonts w:ascii="Arial" w:hAnsi="Arial" w:cs="Arial"/>
        </w:rPr>
      </w:pPr>
    </w:p>
    <w:p w14:paraId="2E7FB040" w14:textId="77777777" w:rsidR="00A97433" w:rsidRPr="00B01850" w:rsidRDefault="00A97433" w:rsidP="00A97433">
      <w:pPr>
        <w:jc w:val="both"/>
        <w:textAlignment w:val="baseline"/>
        <w:rPr>
          <w:rFonts w:ascii="Arial" w:hAnsi="Arial" w:cs="Arial"/>
          <w:b/>
          <w:bCs/>
        </w:rPr>
      </w:pPr>
      <w:bookmarkStart w:id="16" w:name="_Toc44324176"/>
    </w:p>
    <w:p w14:paraId="5A68AC7B" w14:textId="77777777" w:rsidR="00A97433" w:rsidRPr="00B01850" w:rsidRDefault="00A97433" w:rsidP="00A97433">
      <w:pPr>
        <w:jc w:val="both"/>
        <w:textAlignment w:val="baseline"/>
        <w:rPr>
          <w:rFonts w:ascii="Arial" w:hAnsi="Arial" w:cs="Arial"/>
          <w:b/>
          <w:bCs/>
        </w:rPr>
      </w:pPr>
    </w:p>
    <w:p w14:paraId="31D794AA" w14:textId="77777777" w:rsidR="00A97433" w:rsidRPr="00B01850" w:rsidRDefault="00A97433" w:rsidP="00A97433">
      <w:pPr>
        <w:jc w:val="both"/>
        <w:textAlignment w:val="baseline"/>
        <w:rPr>
          <w:rFonts w:ascii="Arial" w:hAnsi="Arial" w:cs="Arial"/>
          <w:b/>
          <w:bCs/>
        </w:rPr>
      </w:pPr>
    </w:p>
    <w:p w14:paraId="5AB04AE1" w14:textId="77777777" w:rsidR="00A97433" w:rsidRPr="00B01850" w:rsidRDefault="00A97433" w:rsidP="00A97433">
      <w:pPr>
        <w:jc w:val="both"/>
        <w:textAlignment w:val="baseline"/>
        <w:rPr>
          <w:rFonts w:ascii="Arial" w:hAnsi="Arial" w:cs="Arial"/>
          <w:b/>
          <w:bCs/>
        </w:rPr>
      </w:pPr>
    </w:p>
    <w:p w14:paraId="77CD6D58" w14:textId="77777777" w:rsidR="00A97433" w:rsidRPr="00B01850" w:rsidRDefault="00A97433" w:rsidP="00A97433">
      <w:pPr>
        <w:jc w:val="both"/>
        <w:textAlignment w:val="baseline"/>
        <w:rPr>
          <w:rFonts w:ascii="Arial" w:hAnsi="Arial" w:cs="Arial"/>
          <w:b/>
          <w:bCs/>
        </w:rPr>
      </w:pPr>
    </w:p>
    <w:p w14:paraId="6454E4E7" w14:textId="77777777" w:rsidR="00A97433" w:rsidRPr="00B01850" w:rsidRDefault="00A97433" w:rsidP="00A97433">
      <w:pPr>
        <w:jc w:val="both"/>
        <w:textAlignment w:val="baseline"/>
        <w:rPr>
          <w:rFonts w:ascii="Arial" w:hAnsi="Arial" w:cs="Arial"/>
          <w:b/>
          <w:bCs/>
        </w:rPr>
      </w:pPr>
    </w:p>
    <w:p w14:paraId="1615C2C3" w14:textId="77777777" w:rsidR="00A97433" w:rsidRPr="00B01850" w:rsidRDefault="00A97433" w:rsidP="00A97433">
      <w:pPr>
        <w:jc w:val="both"/>
        <w:textAlignment w:val="baseline"/>
        <w:rPr>
          <w:rFonts w:ascii="Arial" w:hAnsi="Arial" w:cs="Arial"/>
          <w:b/>
          <w:bCs/>
        </w:rPr>
      </w:pPr>
    </w:p>
    <w:p w14:paraId="5B7F36FF" w14:textId="77777777" w:rsidR="00A97433" w:rsidRPr="00B01850" w:rsidRDefault="00A97433" w:rsidP="00A97433">
      <w:pPr>
        <w:jc w:val="both"/>
        <w:textAlignment w:val="baseline"/>
        <w:rPr>
          <w:rFonts w:ascii="Arial" w:hAnsi="Arial" w:cs="Arial"/>
          <w:b/>
          <w:bCs/>
        </w:rPr>
      </w:pPr>
    </w:p>
    <w:p w14:paraId="1ED95854" w14:textId="77777777" w:rsidR="00A97433" w:rsidRPr="00B01850" w:rsidRDefault="00A97433" w:rsidP="00A97433">
      <w:pPr>
        <w:jc w:val="both"/>
        <w:textAlignment w:val="baseline"/>
        <w:rPr>
          <w:rFonts w:ascii="Arial" w:hAnsi="Arial" w:cs="Arial"/>
          <w:b/>
          <w:bCs/>
        </w:rPr>
      </w:pPr>
    </w:p>
    <w:p w14:paraId="0CBC4918" w14:textId="77777777" w:rsidR="00A97433" w:rsidRPr="00B01850" w:rsidRDefault="00A97433" w:rsidP="00A97433">
      <w:pPr>
        <w:jc w:val="both"/>
        <w:textAlignment w:val="baseline"/>
        <w:rPr>
          <w:rFonts w:ascii="Arial" w:hAnsi="Arial" w:cs="Arial"/>
          <w:b/>
          <w:bCs/>
        </w:rPr>
      </w:pPr>
    </w:p>
    <w:p w14:paraId="530DE7D4" w14:textId="77777777" w:rsidR="00A97433" w:rsidRPr="00B01850" w:rsidRDefault="00A97433" w:rsidP="00A97433">
      <w:pPr>
        <w:jc w:val="both"/>
        <w:textAlignment w:val="baseline"/>
        <w:rPr>
          <w:rFonts w:ascii="Arial" w:hAnsi="Arial" w:cs="Arial"/>
          <w:b/>
          <w:bCs/>
        </w:rPr>
      </w:pPr>
    </w:p>
    <w:p w14:paraId="6CFBC057" w14:textId="77777777" w:rsidR="00A97433" w:rsidRPr="00B01850" w:rsidRDefault="00A97433" w:rsidP="00A97433">
      <w:pPr>
        <w:jc w:val="both"/>
        <w:textAlignment w:val="baseline"/>
        <w:rPr>
          <w:rFonts w:ascii="Arial" w:hAnsi="Arial" w:cs="Arial"/>
          <w:b/>
          <w:bCs/>
        </w:rPr>
      </w:pPr>
    </w:p>
    <w:p w14:paraId="6C29E2BA" w14:textId="6B79621E" w:rsidR="00E87706" w:rsidRPr="00B01850" w:rsidRDefault="00E87706" w:rsidP="00A97433">
      <w:pPr>
        <w:jc w:val="both"/>
        <w:textAlignment w:val="baseline"/>
        <w:rPr>
          <w:rFonts w:ascii="Arial" w:hAnsi="Arial" w:cs="Arial"/>
        </w:rPr>
      </w:pPr>
      <w:r w:rsidRPr="00B01850">
        <w:rPr>
          <w:rFonts w:ascii="Arial" w:hAnsi="Arial" w:cs="Arial"/>
          <w:b/>
          <w:bCs/>
        </w:rPr>
        <w:t>Carte 3.4 :</w:t>
      </w:r>
      <w:r w:rsidRPr="00B01850">
        <w:rPr>
          <w:rFonts w:ascii="Arial" w:hAnsi="Arial" w:cs="Arial"/>
        </w:rPr>
        <w:t xml:space="preserve"> Carte de localisation des risques des conflits sociaux en Guinée.</w:t>
      </w:r>
      <w:bookmarkEnd w:id="16"/>
    </w:p>
    <w:p w14:paraId="266ED774" w14:textId="77777777" w:rsidR="00A97433" w:rsidRPr="00B01850" w:rsidRDefault="00E87706" w:rsidP="00A97433">
      <w:pPr>
        <w:spacing w:line="240" w:lineRule="auto"/>
        <w:jc w:val="both"/>
        <w:textAlignment w:val="baseline"/>
        <w:rPr>
          <w:rFonts w:ascii="Arial" w:hAnsi="Arial" w:cs="Arial"/>
        </w:rPr>
      </w:pPr>
      <w:r w:rsidRPr="00B01850">
        <w:rPr>
          <w:rFonts w:ascii="Arial" w:hAnsi="Arial" w:cs="Arial"/>
        </w:rPr>
        <w:t>L’analyse de cette carte fait remarquer que les conflits sociaux sont très fréquents dans deux (02) Préfectures (soit 5,88% des 34 que compte le pays), fréquents dans 12 Préfectures (correspondant à 35,29%), et peu fréquents dans 20 Préfectures (58,82%). Ces conflits se résument en neuf (09) grands ensembles qui sont :</w:t>
      </w:r>
    </w:p>
    <w:p w14:paraId="5DF234E4" w14:textId="24BDF50E" w:rsidR="00E87706" w:rsidRPr="00B01850" w:rsidRDefault="00E87706" w:rsidP="00214DCC">
      <w:pPr>
        <w:pStyle w:val="ListParagraph"/>
        <w:numPr>
          <w:ilvl w:val="0"/>
          <w:numId w:val="61"/>
        </w:numPr>
        <w:spacing w:line="240" w:lineRule="auto"/>
        <w:jc w:val="both"/>
        <w:textAlignment w:val="baseline"/>
        <w:rPr>
          <w:rFonts w:ascii="Arial" w:hAnsi="Arial" w:cs="Arial"/>
        </w:rPr>
      </w:pPr>
      <w:proofErr w:type="gramStart"/>
      <w:r w:rsidRPr="00B01850">
        <w:rPr>
          <w:rFonts w:ascii="Arial" w:hAnsi="Arial" w:cs="Arial"/>
        </w:rPr>
        <w:t>les</w:t>
      </w:r>
      <w:proofErr w:type="gramEnd"/>
      <w:r w:rsidRPr="00B01850">
        <w:rPr>
          <w:rFonts w:ascii="Arial" w:hAnsi="Arial" w:cs="Arial"/>
        </w:rPr>
        <w:t xml:space="preserve"> conflits constructifs ou destructifs :</w:t>
      </w:r>
    </w:p>
    <w:p w14:paraId="2FE3EBD1" w14:textId="77777777" w:rsidR="00E87706" w:rsidRPr="00B01850" w:rsidRDefault="00E87706" w:rsidP="00214DCC">
      <w:pPr>
        <w:pStyle w:val="ListParagraph"/>
        <w:numPr>
          <w:ilvl w:val="0"/>
          <w:numId w:val="62"/>
        </w:numPr>
        <w:jc w:val="both"/>
        <w:textAlignment w:val="baseline"/>
        <w:rPr>
          <w:rFonts w:ascii="Arial" w:hAnsi="Arial" w:cs="Arial"/>
        </w:rPr>
      </w:pPr>
      <w:proofErr w:type="gramStart"/>
      <w:r w:rsidRPr="00B01850">
        <w:rPr>
          <w:rFonts w:ascii="Arial" w:hAnsi="Arial" w:cs="Arial"/>
        </w:rPr>
        <w:lastRenderedPageBreak/>
        <w:t>les</w:t>
      </w:r>
      <w:proofErr w:type="gramEnd"/>
      <w:r w:rsidRPr="00B01850">
        <w:rPr>
          <w:rFonts w:ascii="Arial" w:hAnsi="Arial" w:cs="Arial"/>
        </w:rPr>
        <w:t xml:space="preserve"> constructifs : lorsqu'ils entraînent de l'expérience qui permet d'éviter les futurs conflits. Ce qui entraine un climat coopératif en plaçant les buts du groupe avant les objectifs personnels, il améliore le niveau des évaluations il est source de production d'idées créatives il permet le réexamen des opinions et des buts il permet l'accroissement des prises de risque il augmente la cohérence </w:t>
      </w:r>
      <w:proofErr w:type="gramStart"/>
      <w:r w:rsidRPr="00B01850">
        <w:rPr>
          <w:rFonts w:ascii="Arial" w:hAnsi="Arial" w:cs="Arial"/>
        </w:rPr>
        <w:t>sociale;</w:t>
      </w:r>
      <w:proofErr w:type="gramEnd"/>
    </w:p>
    <w:p w14:paraId="55DA82BF" w14:textId="77777777" w:rsidR="00E87706" w:rsidRPr="00B01850" w:rsidRDefault="00E87706" w:rsidP="00214DCC">
      <w:pPr>
        <w:pStyle w:val="ListParagraph"/>
        <w:numPr>
          <w:ilvl w:val="0"/>
          <w:numId w:val="62"/>
        </w:numPr>
        <w:jc w:val="both"/>
        <w:textAlignment w:val="baseline"/>
        <w:rPr>
          <w:rFonts w:ascii="Arial" w:hAnsi="Arial" w:cs="Arial"/>
        </w:rPr>
      </w:pPr>
      <w:proofErr w:type="gramStart"/>
      <w:r w:rsidRPr="00B01850">
        <w:rPr>
          <w:rFonts w:ascii="Arial" w:hAnsi="Arial" w:cs="Arial"/>
        </w:rPr>
        <w:t>les</w:t>
      </w:r>
      <w:proofErr w:type="gramEnd"/>
      <w:r w:rsidRPr="00B01850">
        <w:rPr>
          <w:rFonts w:ascii="Arial" w:hAnsi="Arial" w:cs="Arial"/>
        </w:rPr>
        <w:t xml:space="preserve"> conflits destructifs résultant d’un climat compétitif à outrance. On peut voir les conflits comme des mécanismes de régulation, inévitables mais qu'il faut affronter et qui doivent être néanmoins le moins visible pour l'extérieur (comme dans le problème de la qualité</w:t>
      </w:r>
      <w:proofErr w:type="gramStart"/>
      <w:r w:rsidRPr="00B01850">
        <w:rPr>
          <w:rFonts w:ascii="Arial" w:hAnsi="Arial" w:cs="Arial"/>
        </w:rPr>
        <w:t>);</w:t>
      </w:r>
      <w:proofErr w:type="gramEnd"/>
    </w:p>
    <w:p w14:paraId="3AD6C0B7" w14:textId="77777777" w:rsidR="00E87706" w:rsidRPr="00B01850" w:rsidRDefault="00E87706" w:rsidP="00214DCC">
      <w:pPr>
        <w:pStyle w:val="ListParagraph"/>
        <w:numPr>
          <w:ilvl w:val="0"/>
          <w:numId w:val="52"/>
        </w:numPr>
        <w:spacing w:after="0"/>
        <w:contextualSpacing w:val="0"/>
        <w:jc w:val="both"/>
        <w:textAlignment w:val="baseline"/>
        <w:rPr>
          <w:rFonts w:ascii="Arial" w:hAnsi="Arial" w:cs="Arial"/>
        </w:rPr>
      </w:pPr>
      <w:proofErr w:type="gramStart"/>
      <w:r w:rsidRPr="00B01850">
        <w:rPr>
          <w:rFonts w:ascii="Arial" w:hAnsi="Arial" w:cs="Arial"/>
        </w:rPr>
        <w:t>les</w:t>
      </w:r>
      <w:proofErr w:type="gramEnd"/>
      <w:r w:rsidRPr="00B01850">
        <w:rPr>
          <w:rFonts w:ascii="Arial" w:hAnsi="Arial" w:cs="Arial"/>
        </w:rPr>
        <w:t xml:space="preserve"> conflits d'intérêt et d'identité : dans le conflit d'intérêt (comme la réclamation des besoins et services à l’État par les communautés), l'enjeu se trouve limité à un objet, un avantage, à l'exercice d'un pouvoir. Dans le conflit d'identité, il s'agit non pas d'acquérir un avantage, mais de rejeter l'autre en tant que tel, l'objectif est l'élimination de l'ennemi pour ce qu'il est et pour ce qu'il représente en tant que personne physique ou en tant que personne </w:t>
      </w:r>
      <w:proofErr w:type="gramStart"/>
      <w:r w:rsidRPr="00B01850">
        <w:rPr>
          <w:rFonts w:ascii="Arial" w:hAnsi="Arial" w:cs="Arial"/>
        </w:rPr>
        <w:t>morale;</w:t>
      </w:r>
      <w:proofErr w:type="gramEnd"/>
    </w:p>
    <w:p w14:paraId="5BABF276" w14:textId="77777777" w:rsidR="00E87706" w:rsidRPr="00B01850" w:rsidRDefault="00E87706" w:rsidP="00214DCC">
      <w:pPr>
        <w:pStyle w:val="ListParagraph"/>
        <w:numPr>
          <w:ilvl w:val="0"/>
          <w:numId w:val="53"/>
        </w:numPr>
        <w:spacing w:after="0"/>
        <w:contextualSpacing w:val="0"/>
        <w:jc w:val="both"/>
        <w:textAlignment w:val="baseline"/>
        <w:rPr>
          <w:rFonts w:ascii="Arial" w:hAnsi="Arial" w:cs="Arial"/>
        </w:rPr>
      </w:pPr>
      <w:proofErr w:type="gramStart"/>
      <w:r w:rsidRPr="00B01850">
        <w:rPr>
          <w:rFonts w:ascii="Arial" w:hAnsi="Arial" w:cs="Arial"/>
        </w:rPr>
        <w:t>les</w:t>
      </w:r>
      <w:proofErr w:type="gramEnd"/>
      <w:r w:rsidRPr="00B01850">
        <w:rPr>
          <w:rFonts w:ascii="Arial" w:hAnsi="Arial" w:cs="Arial"/>
        </w:rPr>
        <w:t xml:space="preserve"> conflits d’autorité et les conflits de pouvoir : les conflits d’autorité apparaissent entre des personnes de même rang hiérarchique qui s’opposent </w:t>
      </w:r>
      <w:proofErr w:type="gramStart"/>
      <w:r w:rsidRPr="00B01850">
        <w:rPr>
          <w:rFonts w:ascii="Arial" w:hAnsi="Arial" w:cs="Arial"/>
        </w:rPr>
        <w:t>suite à</w:t>
      </w:r>
      <w:proofErr w:type="gramEnd"/>
      <w:r w:rsidRPr="00B01850">
        <w:rPr>
          <w:rFonts w:ascii="Arial" w:hAnsi="Arial" w:cs="Arial"/>
        </w:rPr>
        <w:t xml:space="preserve"> l’empiètement par l’un sur les compétences de l’autre. Ceci rappelle immédiatement la nécessité de bien définir les compétences de chacun dès le départ afin d’éviter ce type de conflit assez souvent </w:t>
      </w:r>
      <w:proofErr w:type="gramStart"/>
      <w:r w:rsidRPr="00B01850">
        <w:rPr>
          <w:rFonts w:ascii="Arial" w:hAnsi="Arial" w:cs="Arial"/>
        </w:rPr>
        <w:t>observable;</w:t>
      </w:r>
      <w:proofErr w:type="gramEnd"/>
    </w:p>
    <w:p w14:paraId="6E818BBB" w14:textId="77777777" w:rsidR="00E87706" w:rsidRPr="00B01850" w:rsidRDefault="00E87706" w:rsidP="00214DCC">
      <w:pPr>
        <w:pStyle w:val="ListParagraph"/>
        <w:numPr>
          <w:ilvl w:val="0"/>
          <w:numId w:val="54"/>
        </w:numPr>
        <w:spacing w:after="0"/>
        <w:contextualSpacing w:val="0"/>
        <w:jc w:val="both"/>
        <w:textAlignment w:val="baseline"/>
        <w:rPr>
          <w:rFonts w:ascii="Arial" w:hAnsi="Arial" w:cs="Arial"/>
        </w:rPr>
      </w:pPr>
      <w:proofErr w:type="gramStart"/>
      <w:r w:rsidRPr="00B01850">
        <w:rPr>
          <w:rFonts w:ascii="Arial" w:hAnsi="Arial" w:cs="Arial"/>
        </w:rPr>
        <w:t>les</w:t>
      </w:r>
      <w:proofErr w:type="gramEnd"/>
      <w:r w:rsidRPr="00B01850">
        <w:rPr>
          <w:rFonts w:ascii="Arial" w:hAnsi="Arial" w:cs="Arial"/>
        </w:rPr>
        <w:t xml:space="preserve"> conflits de concurrence ou de rivalité : ils sont principalement perceptibles dans certains métiers, sociétés et services, où la compétitivité, la recherche du résultat et sa quantification sont rendus nécessaires. On parvient dans ce cas à une sorte de jeu qui peut rapidement devenir une drogue où le conflit est banalisé mais jusqu’à un certain </w:t>
      </w:r>
      <w:proofErr w:type="gramStart"/>
      <w:r w:rsidRPr="00B01850">
        <w:rPr>
          <w:rFonts w:ascii="Arial" w:hAnsi="Arial" w:cs="Arial"/>
        </w:rPr>
        <w:t>point;</w:t>
      </w:r>
      <w:proofErr w:type="gramEnd"/>
    </w:p>
    <w:p w14:paraId="7ADA703A" w14:textId="77777777" w:rsidR="00E87706" w:rsidRPr="00B01850" w:rsidRDefault="00E87706" w:rsidP="00214DCC">
      <w:pPr>
        <w:pStyle w:val="ListParagraph"/>
        <w:numPr>
          <w:ilvl w:val="0"/>
          <w:numId w:val="54"/>
        </w:numPr>
        <w:spacing w:after="0"/>
        <w:contextualSpacing w:val="0"/>
        <w:jc w:val="both"/>
        <w:textAlignment w:val="baseline"/>
        <w:rPr>
          <w:rFonts w:ascii="Arial" w:hAnsi="Arial" w:cs="Arial"/>
        </w:rPr>
      </w:pPr>
      <w:proofErr w:type="gramStart"/>
      <w:r w:rsidRPr="00B01850">
        <w:rPr>
          <w:rFonts w:ascii="Arial" w:hAnsi="Arial" w:cs="Arial"/>
        </w:rPr>
        <w:t>les</w:t>
      </w:r>
      <w:proofErr w:type="gramEnd"/>
      <w:r w:rsidRPr="00B01850">
        <w:rPr>
          <w:rFonts w:ascii="Arial" w:hAnsi="Arial" w:cs="Arial"/>
        </w:rPr>
        <w:t xml:space="preserve"> conflits de génération : ils sont très souvent observables dans les organisations et administrations et leur nombre ne cesse de croître avec l’augmentation de la mobilité professionnelle et les avancées </w:t>
      </w:r>
      <w:proofErr w:type="gramStart"/>
      <w:r w:rsidRPr="00B01850">
        <w:rPr>
          <w:rFonts w:ascii="Arial" w:hAnsi="Arial" w:cs="Arial"/>
        </w:rPr>
        <w:t>technologiques;</w:t>
      </w:r>
      <w:proofErr w:type="gramEnd"/>
      <w:r w:rsidRPr="00B01850">
        <w:rPr>
          <w:rFonts w:ascii="Arial" w:hAnsi="Arial" w:cs="Arial"/>
        </w:rPr>
        <w:t> </w:t>
      </w:r>
      <w:proofErr w:type="gramStart"/>
      <w:r w:rsidRPr="00B01850">
        <w:rPr>
          <w:rFonts w:ascii="Arial" w:hAnsi="Arial" w:cs="Arial"/>
        </w:rPr>
        <w:t>»;</w:t>
      </w:r>
      <w:proofErr w:type="gramEnd"/>
    </w:p>
    <w:p w14:paraId="29106578" w14:textId="77777777" w:rsidR="00E87706" w:rsidRPr="00B01850" w:rsidRDefault="00E87706" w:rsidP="00214DCC">
      <w:pPr>
        <w:pStyle w:val="ListParagraph"/>
        <w:numPr>
          <w:ilvl w:val="0"/>
          <w:numId w:val="54"/>
        </w:numPr>
        <w:spacing w:after="0"/>
        <w:contextualSpacing w:val="0"/>
        <w:jc w:val="both"/>
        <w:textAlignment w:val="baseline"/>
        <w:rPr>
          <w:rFonts w:ascii="Arial" w:hAnsi="Arial" w:cs="Arial"/>
        </w:rPr>
      </w:pPr>
      <w:proofErr w:type="gramStart"/>
      <w:r w:rsidRPr="00B01850">
        <w:rPr>
          <w:rFonts w:ascii="Arial" w:hAnsi="Arial" w:cs="Arial"/>
        </w:rPr>
        <w:t>le</w:t>
      </w:r>
      <w:proofErr w:type="gramEnd"/>
      <w:r w:rsidRPr="00B01850">
        <w:rPr>
          <w:rFonts w:ascii="Arial" w:hAnsi="Arial" w:cs="Arial"/>
        </w:rPr>
        <w:t xml:space="preserve"> conflit mimétique : il s’agit d’un conflit qui naît de l’apprentissage par mimétisme d’un apprenti face à son supérieur qui va apprendre puis dépasser son « maître ». Ainsi, souvent, on va voir naître le conflit entre « le théorique » et « le pratique ». L’apprenti va dépasser celui qui détient le savoir théorique par une activité pratique assidue et </w:t>
      </w:r>
      <w:proofErr w:type="gramStart"/>
      <w:r w:rsidRPr="00B01850">
        <w:rPr>
          <w:rFonts w:ascii="Arial" w:hAnsi="Arial" w:cs="Arial"/>
        </w:rPr>
        <w:t>maîtrisée;</w:t>
      </w:r>
      <w:proofErr w:type="gramEnd"/>
    </w:p>
    <w:p w14:paraId="751184EE" w14:textId="77777777" w:rsidR="00E87706" w:rsidRPr="00B01850" w:rsidRDefault="00E87706" w:rsidP="00214DCC">
      <w:pPr>
        <w:pStyle w:val="ListParagraph"/>
        <w:numPr>
          <w:ilvl w:val="0"/>
          <w:numId w:val="54"/>
        </w:numPr>
        <w:spacing w:after="0"/>
        <w:contextualSpacing w:val="0"/>
        <w:jc w:val="both"/>
        <w:textAlignment w:val="baseline"/>
        <w:rPr>
          <w:rFonts w:ascii="Arial" w:hAnsi="Arial" w:cs="Arial"/>
        </w:rPr>
      </w:pPr>
      <w:proofErr w:type="gramStart"/>
      <w:r w:rsidRPr="00B01850">
        <w:rPr>
          <w:rFonts w:ascii="Arial" w:hAnsi="Arial" w:cs="Arial"/>
        </w:rPr>
        <w:t>le</w:t>
      </w:r>
      <w:proofErr w:type="gramEnd"/>
      <w:r w:rsidRPr="00B01850">
        <w:rPr>
          <w:rFonts w:ascii="Arial" w:hAnsi="Arial" w:cs="Arial"/>
        </w:rPr>
        <w:t xml:space="preserve"> conflit d’opinion ou idéologique : il relève des différences de valeur ou de croyance des antagonistes et est extrêmement difficile à solutionner car chacun est intimement persuadé de son bon </w:t>
      </w:r>
      <w:proofErr w:type="gramStart"/>
      <w:r w:rsidRPr="00B01850">
        <w:rPr>
          <w:rFonts w:ascii="Arial" w:hAnsi="Arial" w:cs="Arial"/>
        </w:rPr>
        <w:t>droit;</w:t>
      </w:r>
      <w:proofErr w:type="gramEnd"/>
    </w:p>
    <w:p w14:paraId="3C25A495" w14:textId="77777777" w:rsidR="00E87706" w:rsidRPr="00B01850" w:rsidRDefault="00E87706" w:rsidP="00214DCC">
      <w:pPr>
        <w:pStyle w:val="ListParagraph"/>
        <w:numPr>
          <w:ilvl w:val="0"/>
          <w:numId w:val="54"/>
        </w:numPr>
        <w:spacing w:after="0"/>
        <w:contextualSpacing w:val="0"/>
        <w:jc w:val="both"/>
        <w:textAlignment w:val="baseline"/>
        <w:rPr>
          <w:rFonts w:ascii="Arial" w:hAnsi="Arial" w:cs="Arial"/>
        </w:rPr>
      </w:pPr>
      <w:proofErr w:type="gramStart"/>
      <w:r w:rsidRPr="00B01850">
        <w:rPr>
          <w:rFonts w:ascii="Arial" w:hAnsi="Arial" w:cs="Arial"/>
        </w:rPr>
        <w:t>le</w:t>
      </w:r>
      <w:proofErr w:type="gramEnd"/>
      <w:r w:rsidRPr="00B01850">
        <w:rPr>
          <w:rFonts w:ascii="Arial" w:hAnsi="Arial" w:cs="Arial"/>
        </w:rPr>
        <w:t xml:space="preserve"> conflit déclaré / le conflit latent ou larve / le conflit refoulé : le conflit déclaré est mis à jour par les protagonistes qui le souhaitent même parfois clairement par intérêt. Le conflit latent ou larvé est un conflit « étouffé » pour des raisons multiples (</w:t>
      </w:r>
      <w:r w:rsidRPr="00B01850">
        <w:rPr>
          <w:rFonts w:ascii="Arial" w:hAnsi="Arial" w:cs="Arial"/>
          <w:iCs/>
        </w:rPr>
        <w:t>peur du regard des autres, peur du conflit déclaré, peur de ne pas être à la hauteur</w:t>
      </w:r>
      <w:r w:rsidRPr="00B01850">
        <w:rPr>
          <w:rFonts w:ascii="Arial" w:hAnsi="Arial" w:cs="Arial"/>
        </w:rPr>
        <w:t>…) et se traduit de différentes façons (</w:t>
      </w:r>
      <w:r w:rsidRPr="00B01850">
        <w:rPr>
          <w:rFonts w:ascii="Arial" w:hAnsi="Arial" w:cs="Arial"/>
          <w:iCs/>
        </w:rPr>
        <w:t>non-dits pesants, absentéisme, stress, retard dans les délais, non- qualité</w:t>
      </w:r>
      <w:r w:rsidRPr="00B01850">
        <w:rPr>
          <w:rFonts w:ascii="Arial" w:hAnsi="Arial" w:cs="Arial"/>
        </w:rPr>
        <w:t xml:space="preserve">…) Le conflit refoulé est un ancien conflit qui n’a pas trouvé de solution définitivement acceptable pour l’une ou l’autre des deux antagonistes et qui risque donc à tout moment de devenir un conflit </w:t>
      </w:r>
      <w:proofErr w:type="gramStart"/>
      <w:r w:rsidRPr="00B01850">
        <w:rPr>
          <w:rFonts w:ascii="Arial" w:hAnsi="Arial" w:cs="Arial"/>
        </w:rPr>
        <w:t>déclaré;</w:t>
      </w:r>
      <w:proofErr w:type="gramEnd"/>
    </w:p>
    <w:p w14:paraId="0B27C75E" w14:textId="61842C17" w:rsidR="00E87706" w:rsidRPr="00B01850" w:rsidRDefault="00E87706" w:rsidP="00214DCC">
      <w:pPr>
        <w:pStyle w:val="ListParagraph"/>
        <w:numPr>
          <w:ilvl w:val="0"/>
          <w:numId w:val="54"/>
        </w:numPr>
        <w:spacing w:after="0"/>
        <w:contextualSpacing w:val="0"/>
        <w:jc w:val="both"/>
        <w:textAlignment w:val="baseline"/>
        <w:rPr>
          <w:rFonts w:ascii="Arial" w:hAnsi="Arial" w:cs="Arial"/>
        </w:rPr>
      </w:pPr>
      <w:proofErr w:type="gramStart"/>
      <w:r w:rsidRPr="00B01850">
        <w:rPr>
          <w:rFonts w:ascii="Arial" w:hAnsi="Arial" w:cs="Arial"/>
        </w:rPr>
        <w:lastRenderedPageBreak/>
        <w:t>le</w:t>
      </w:r>
      <w:proofErr w:type="gramEnd"/>
      <w:r w:rsidRPr="00B01850">
        <w:rPr>
          <w:rFonts w:ascii="Arial" w:hAnsi="Arial" w:cs="Arial"/>
        </w:rPr>
        <w:t xml:space="preserve"> malentendu : c’est le plus fréquent des conflits et, heureusement, le plus facile à résoudre. Il résulte toujours d’une erreur d’interprétation. Il est important de noter que le malentendu n’est pas nécessairement réciproque (contrairement aux autres types de conflits). Il arrive souvent qu’une personne se retrouve ainsi en conflit à l’insu de l’autre car l’interprétation ne correspond pas à la signification que celle-ci donnait à son action. Il arrive aussi que le conflit soit réciproque : c’est le cas lorsque les réactions de la première personne à l’attaque qu’elle croit avoir subi provoquent à leur tour des réponses défensives chez l’autre (qui croit alors subir une agression gratuite). Le malentendu trouve toujours sa source dans une incompréhension. La personne interprète l’action de son interlocuteur à travers ses propres craintes. Autrement dit, elle attribue à l’autre des reproches qu’elle se fait déjà, qu’elle croit mériter ou qu’elle craint de subir même si elle ne les croit pas justifiés. Son interprétation est l’expression de sa vulnérabilité. Dans le malentendu, c’est le fait de ne pas connaître le point de vue de l’autre qui nous permet d’attribuer des significations erronées à son comportement. En l’absence d’information claire, nous inventons les détails qui nous manquent : nous imaginons le pire, précisément ce que nous craignons le plus ou ce que nous nous reprochons déjà.</w:t>
      </w:r>
    </w:p>
    <w:p w14:paraId="0A5C540C" w14:textId="1A068103" w:rsidR="00E87706" w:rsidRPr="00B01850" w:rsidRDefault="00E87706" w:rsidP="00214DCC">
      <w:pPr>
        <w:pStyle w:val="ListParagraph"/>
        <w:numPr>
          <w:ilvl w:val="0"/>
          <w:numId w:val="89"/>
        </w:numPr>
        <w:spacing w:before="120" w:after="120"/>
        <w:contextualSpacing w:val="0"/>
        <w:textAlignment w:val="baseline"/>
        <w:rPr>
          <w:rFonts w:ascii="Arial" w:hAnsi="Arial" w:cs="Arial"/>
          <w:b/>
          <w:bCs/>
        </w:rPr>
      </w:pPr>
      <w:bookmarkStart w:id="17" w:name="_Toc44289831"/>
      <w:r w:rsidRPr="00B01850">
        <w:rPr>
          <w:rFonts w:ascii="Arial" w:hAnsi="Arial" w:cs="Arial"/>
          <w:b/>
          <w:bCs/>
        </w:rPr>
        <w:t>Glissements de terrain/Éboulements</w:t>
      </w:r>
      <w:bookmarkEnd w:id="17"/>
    </w:p>
    <w:p w14:paraId="62348F86" w14:textId="77777777" w:rsidR="00E4533D" w:rsidRPr="00B01850" w:rsidRDefault="00E87706" w:rsidP="00E4533D">
      <w:pPr>
        <w:spacing w:line="240" w:lineRule="auto"/>
        <w:jc w:val="both"/>
        <w:textAlignment w:val="baseline"/>
        <w:rPr>
          <w:rFonts w:ascii="Arial" w:hAnsi="Arial" w:cs="Arial"/>
        </w:rPr>
      </w:pPr>
      <w:r w:rsidRPr="00B01850">
        <w:rPr>
          <w:rFonts w:ascii="Arial" w:hAnsi="Arial" w:cs="Arial"/>
        </w:rPr>
        <w:t>Le terme de mouvement de terrain regroupe des phénomènes très variés, par leur nature (affaissements et effondrements dus aux cavités souterraines ; instabilités de versants : glissements, écroulements, coulées, ...) et par leur dimension (phénomènes significatifs à partir de quelques m</w:t>
      </w:r>
      <w:r w:rsidRPr="00B01850">
        <w:rPr>
          <w:rFonts w:ascii="Arial" w:hAnsi="Arial" w:cs="Arial"/>
          <w:vertAlign w:val="superscript"/>
        </w:rPr>
        <w:t>3</w:t>
      </w:r>
      <w:r w:rsidRPr="00B01850">
        <w:rPr>
          <w:rFonts w:ascii="Arial" w:hAnsi="Arial" w:cs="Arial"/>
        </w:rPr>
        <w:t>, et pouvant atteindre quelques centaines de millions de m</w:t>
      </w:r>
      <w:r w:rsidRPr="00B01850">
        <w:rPr>
          <w:rFonts w:ascii="Arial" w:hAnsi="Arial" w:cs="Arial"/>
          <w:vertAlign w:val="superscript"/>
        </w:rPr>
        <w:t>3</w:t>
      </w:r>
      <w:r w:rsidRPr="00B01850">
        <w:rPr>
          <w:rFonts w:ascii="Arial" w:hAnsi="Arial" w:cs="Arial"/>
        </w:rPr>
        <w:t>, voire plus). On inclut parfois également les déformations des sols dues à la sécheresse : retrait-gonflement.</w:t>
      </w:r>
    </w:p>
    <w:p w14:paraId="13FC8497" w14:textId="1C77EF2C" w:rsidR="00E87706" w:rsidRPr="00B01850" w:rsidRDefault="00E4533D" w:rsidP="00E4533D">
      <w:pPr>
        <w:spacing w:line="240" w:lineRule="auto"/>
        <w:jc w:val="both"/>
        <w:textAlignment w:val="baseline"/>
        <w:rPr>
          <w:rFonts w:ascii="Arial" w:hAnsi="Arial" w:cs="Arial"/>
        </w:rPr>
      </w:pPr>
      <w:r w:rsidRPr="00B01850">
        <w:rPr>
          <w:rFonts w:ascii="Arial" w:hAnsi="Arial" w:cs="Arial"/>
          <w:noProof/>
        </w:rPr>
        <w:drawing>
          <wp:anchor distT="0" distB="0" distL="114300" distR="114300" simplePos="0" relativeHeight="251658244" behindDoc="0" locked="0" layoutInCell="1" allowOverlap="1" wp14:anchorId="41971AB5" wp14:editId="32C3D728">
            <wp:simplePos x="0" y="0"/>
            <wp:positionH relativeFrom="column">
              <wp:posOffset>-48768</wp:posOffset>
            </wp:positionH>
            <wp:positionV relativeFrom="paragraph">
              <wp:posOffset>312039</wp:posOffset>
            </wp:positionV>
            <wp:extent cx="5943114" cy="3310128"/>
            <wp:effectExtent l="0" t="0" r="635" b="5080"/>
            <wp:wrapNone/>
            <wp:docPr id="1970034612" name="Picture 6" descr="A map of the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034612" name="Picture 6" descr="A map of the country&#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52881" cy="3315568"/>
                    </a:xfrm>
                    <a:prstGeom prst="rect">
                      <a:avLst/>
                    </a:prstGeom>
                    <a:noFill/>
                    <a:ln>
                      <a:noFill/>
                    </a:ln>
                  </pic:spPr>
                </pic:pic>
              </a:graphicData>
            </a:graphic>
            <wp14:sizeRelH relativeFrom="page">
              <wp14:pctWidth>0</wp14:pctWidth>
            </wp14:sizeRelH>
            <wp14:sizeRelV relativeFrom="page">
              <wp14:pctHeight>0</wp14:pctHeight>
            </wp14:sizeRelV>
          </wp:anchor>
        </w:drawing>
      </w:r>
      <w:r w:rsidR="00E87706" w:rsidRPr="00B01850">
        <w:rPr>
          <w:rFonts w:ascii="Arial" w:hAnsi="Arial" w:cs="Arial"/>
        </w:rPr>
        <w:t>La carte 3.5 présente la distribution spatiale des risques de glissement de terrain/d’éboulement entre les Préfectures de la Guinée.</w:t>
      </w:r>
    </w:p>
    <w:p w14:paraId="59774136" w14:textId="09B5BF48" w:rsidR="00E87706" w:rsidRPr="00B01850" w:rsidRDefault="00E87706" w:rsidP="00E87706">
      <w:pPr>
        <w:pStyle w:val="ListParagraph"/>
        <w:spacing w:line="240" w:lineRule="auto"/>
        <w:textAlignment w:val="baseline"/>
        <w:rPr>
          <w:rFonts w:ascii="Arial" w:hAnsi="Arial" w:cs="Arial"/>
        </w:rPr>
      </w:pPr>
    </w:p>
    <w:p w14:paraId="4F0DA2D6" w14:textId="177F0B37" w:rsidR="00E87706" w:rsidRPr="00B01850" w:rsidRDefault="00E87706" w:rsidP="00E87706">
      <w:pPr>
        <w:pStyle w:val="ListParagraph"/>
        <w:spacing w:line="240" w:lineRule="auto"/>
        <w:textAlignment w:val="baseline"/>
        <w:rPr>
          <w:rFonts w:ascii="Arial" w:hAnsi="Arial" w:cs="Arial"/>
        </w:rPr>
      </w:pPr>
    </w:p>
    <w:p w14:paraId="5C89E7BE" w14:textId="637EB1EC" w:rsidR="00E4533D" w:rsidRPr="00B01850" w:rsidRDefault="00E4533D" w:rsidP="00E87706">
      <w:pPr>
        <w:pStyle w:val="ListParagraph"/>
        <w:jc w:val="both"/>
        <w:textAlignment w:val="baseline"/>
        <w:rPr>
          <w:rFonts w:ascii="Arial" w:hAnsi="Arial" w:cs="Arial"/>
          <w:b/>
          <w:bCs/>
        </w:rPr>
      </w:pPr>
      <w:bookmarkStart w:id="18" w:name="_Toc44324177"/>
    </w:p>
    <w:p w14:paraId="6C5382BD" w14:textId="1846EC2E" w:rsidR="00E4533D" w:rsidRPr="00B01850" w:rsidRDefault="00E4533D" w:rsidP="00E87706">
      <w:pPr>
        <w:pStyle w:val="ListParagraph"/>
        <w:jc w:val="both"/>
        <w:textAlignment w:val="baseline"/>
        <w:rPr>
          <w:rFonts w:ascii="Arial" w:hAnsi="Arial" w:cs="Arial"/>
          <w:b/>
          <w:bCs/>
        </w:rPr>
      </w:pPr>
    </w:p>
    <w:p w14:paraId="4A5B74E6" w14:textId="77777777" w:rsidR="00E4533D" w:rsidRPr="00B01850" w:rsidRDefault="00E4533D" w:rsidP="00E87706">
      <w:pPr>
        <w:pStyle w:val="ListParagraph"/>
        <w:jc w:val="both"/>
        <w:textAlignment w:val="baseline"/>
        <w:rPr>
          <w:rFonts w:ascii="Arial" w:hAnsi="Arial" w:cs="Arial"/>
          <w:b/>
          <w:bCs/>
        </w:rPr>
      </w:pPr>
    </w:p>
    <w:p w14:paraId="746E0DBB" w14:textId="77777777" w:rsidR="00E4533D" w:rsidRPr="00B01850" w:rsidRDefault="00E4533D" w:rsidP="00E87706">
      <w:pPr>
        <w:pStyle w:val="ListParagraph"/>
        <w:jc w:val="both"/>
        <w:textAlignment w:val="baseline"/>
        <w:rPr>
          <w:rFonts w:ascii="Arial" w:hAnsi="Arial" w:cs="Arial"/>
          <w:b/>
          <w:bCs/>
        </w:rPr>
      </w:pPr>
    </w:p>
    <w:p w14:paraId="6ADBEA89" w14:textId="77777777" w:rsidR="00E4533D" w:rsidRPr="00B01850" w:rsidRDefault="00E4533D" w:rsidP="00E87706">
      <w:pPr>
        <w:pStyle w:val="ListParagraph"/>
        <w:jc w:val="both"/>
        <w:textAlignment w:val="baseline"/>
        <w:rPr>
          <w:rFonts w:ascii="Arial" w:hAnsi="Arial" w:cs="Arial"/>
          <w:b/>
          <w:bCs/>
        </w:rPr>
      </w:pPr>
    </w:p>
    <w:p w14:paraId="44563B23" w14:textId="77777777" w:rsidR="00E4533D" w:rsidRPr="00B01850" w:rsidRDefault="00E4533D" w:rsidP="00E87706">
      <w:pPr>
        <w:pStyle w:val="ListParagraph"/>
        <w:jc w:val="both"/>
        <w:textAlignment w:val="baseline"/>
        <w:rPr>
          <w:rFonts w:ascii="Arial" w:hAnsi="Arial" w:cs="Arial"/>
          <w:b/>
          <w:bCs/>
        </w:rPr>
      </w:pPr>
    </w:p>
    <w:p w14:paraId="78FDA7EF" w14:textId="77777777" w:rsidR="00E4533D" w:rsidRPr="00B01850" w:rsidRDefault="00E4533D" w:rsidP="00E87706">
      <w:pPr>
        <w:pStyle w:val="ListParagraph"/>
        <w:jc w:val="both"/>
        <w:textAlignment w:val="baseline"/>
        <w:rPr>
          <w:rFonts w:ascii="Arial" w:hAnsi="Arial" w:cs="Arial"/>
          <w:b/>
          <w:bCs/>
        </w:rPr>
      </w:pPr>
    </w:p>
    <w:p w14:paraId="142C6DC8" w14:textId="77777777" w:rsidR="00E4533D" w:rsidRPr="00B01850" w:rsidRDefault="00E4533D" w:rsidP="00E87706">
      <w:pPr>
        <w:pStyle w:val="ListParagraph"/>
        <w:jc w:val="both"/>
        <w:textAlignment w:val="baseline"/>
        <w:rPr>
          <w:rFonts w:ascii="Arial" w:hAnsi="Arial" w:cs="Arial"/>
          <w:b/>
          <w:bCs/>
        </w:rPr>
      </w:pPr>
    </w:p>
    <w:p w14:paraId="487FF7FA" w14:textId="77777777" w:rsidR="00E4533D" w:rsidRPr="00B01850" w:rsidRDefault="00E4533D" w:rsidP="00E87706">
      <w:pPr>
        <w:pStyle w:val="ListParagraph"/>
        <w:jc w:val="both"/>
        <w:textAlignment w:val="baseline"/>
        <w:rPr>
          <w:rFonts w:ascii="Arial" w:hAnsi="Arial" w:cs="Arial"/>
          <w:b/>
          <w:bCs/>
        </w:rPr>
      </w:pPr>
    </w:p>
    <w:p w14:paraId="226C0C37" w14:textId="77777777" w:rsidR="00E4533D" w:rsidRPr="00B01850" w:rsidRDefault="00E4533D" w:rsidP="00E87706">
      <w:pPr>
        <w:pStyle w:val="ListParagraph"/>
        <w:jc w:val="both"/>
        <w:textAlignment w:val="baseline"/>
        <w:rPr>
          <w:rFonts w:ascii="Arial" w:hAnsi="Arial" w:cs="Arial"/>
          <w:b/>
          <w:bCs/>
        </w:rPr>
      </w:pPr>
    </w:p>
    <w:p w14:paraId="518CA0FF" w14:textId="77777777" w:rsidR="00E4533D" w:rsidRPr="00B01850" w:rsidRDefault="00E4533D" w:rsidP="00E87706">
      <w:pPr>
        <w:pStyle w:val="ListParagraph"/>
        <w:jc w:val="both"/>
        <w:textAlignment w:val="baseline"/>
        <w:rPr>
          <w:rFonts w:ascii="Arial" w:hAnsi="Arial" w:cs="Arial"/>
          <w:b/>
          <w:bCs/>
        </w:rPr>
      </w:pPr>
    </w:p>
    <w:p w14:paraId="4C5BB58F" w14:textId="77777777" w:rsidR="00E4533D" w:rsidRPr="00B01850" w:rsidRDefault="00E4533D" w:rsidP="00E87706">
      <w:pPr>
        <w:pStyle w:val="ListParagraph"/>
        <w:jc w:val="both"/>
        <w:textAlignment w:val="baseline"/>
        <w:rPr>
          <w:rFonts w:ascii="Arial" w:hAnsi="Arial" w:cs="Arial"/>
          <w:b/>
          <w:bCs/>
        </w:rPr>
      </w:pPr>
    </w:p>
    <w:p w14:paraId="40E1FE05" w14:textId="77777777" w:rsidR="00E4533D" w:rsidRPr="00B01850" w:rsidRDefault="00E4533D" w:rsidP="00E87706">
      <w:pPr>
        <w:pStyle w:val="ListParagraph"/>
        <w:jc w:val="both"/>
        <w:textAlignment w:val="baseline"/>
        <w:rPr>
          <w:rFonts w:ascii="Arial" w:hAnsi="Arial" w:cs="Arial"/>
          <w:b/>
          <w:bCs/>
        </w:rPr>
      </w:pPr>
    </w:p>
    <w:p w14:paraId="46563B24" w14:textId="1D1CE9D9" w:rsidR="00E4533D" w:rsidRPr="00B01850" w:rsidRDefault="00E4533D">
      <w:pPr>
        <w:rPr>
          <w:rFonts w:ascii="Arial" w:hAnsi="Arial" w:cs="Arial"/>
          <w:b/>
          <w:bCs/>
        </w:rPr>
      </w:pPr>
    </w:p>
    <w:p w14:paraId="592CCCFF" w14:textId="405CE1FB" w:rsidR="00E87706" w:rsidRPr="00B01850" w:rsidRDefault="00E87706" w:rsidP="00E4533D">
      <w:pPr>
        <w:jc w:val="both"/>
        <w:textAlignment w:val="baseline"/>
        <w:rPr>
          <w:rFonts w:ascii="Arial" w:hAnsi="Arial" w:cs="Arial"/>
        </w:rPr>
      </w:pPr>
      <w:r w:rsidRPr="00B01850">
        <w:rPr>
          <w:rFonts w:ascii="Arial" w:hAnsi="Arial" w:cs="Arial"/>
          <w:b/>
          <w:bCs/>
        </w:rPr>
        <w:t>Carte 3.5 :</w:t>
      </w:r>
      <w:r w:rsidRPr="00B01850">
        <w:rPr>
          <w:rFonts w:ascii="Arial" w:hAnsi="Arial" w:cs="Arial"/>
        </w:rPr>
        <w:t xml:space="preserve"> Carte de localisation des risques d’éboulements/glissement de terrain en Guinée.</w:t>
      </w:r>
      <w:bookmarkEnd w:id="18"/>
    </w:p>
    <w:p w14:paraId="26C14A00" w14:textId="77777777" w:rsidR="00E87706" w:rsidRPr="00B01850" w:rsidRDefault="00E87706" w:rsidP="00E87706">
      <w:pPr>
        <w:pStyle w:val="ListParagraph"/>
        <w:spacing w:line="240" w:lineRule="auto"/>
        <w:jc w:val="both"/>
        <w:textAlignment w:val="baseline"/>
        <w:rPr>
          <w:rFonts w:ascii="Arial" w:hAnsi="Arial" w:cs="Arial"/>
        </w:rPr>
      </w:pPr>
    </w:p>
    <w:p w14:paraId="6040A309" w14:textId="77777777" w:rsidR="00E87706" w:rsidRPr="00B01850" w:rsidRDefault="00E87706" w:rsidP="00FC4EE8">
      <w:pPr>
        <w:spacing w:after="0" w:line="240" w:lineRule="auto"/>
        <w:jc w:val="both"/>
        <w:textAlignment w:val="baseline"/>
        <w:rPr>
          <w:rFonts w:ascii="Arial" w:hAnsi="Arial" w:cs="Arial"/>
        </w:rPr>
      </w:pPr>
      <w:r w:rsidRPr="00B01850">
        <w:rPr>
          <w:rFonts w:ascii="Arial" w:hAnsi="Arial" w:cs="Arial"/>
        </w:rPr>
        <w:t xml:space="preserve">L’analyse de cette carte montre que sur les 34 Préfectures, incluant Conakry, le risque glissement de terrain est très fréquent dans cinq (05) soit 14,71% des Préfectures, fréquent dans neuf (09) Préfectures (soit 26,47%), peu fréquent dans 17 Préfectures (50,00%), et non signalé dans trois (03) Préfectures (8,82%). Ces glissements de terrain les plus fréquents résultent (i) de glissement des pentes déboisées (cas de la rupture de la nationale no. 1 en 2019 à </w:t>
      </w:r>
      <w:proofErr w:type="spellStart"/>
      <w:r w:rsidRPr="00B01850">
        <w:rPr>
          <w:rFonts w:ascii="Arial" w:hAnsi="Arial" w:cs="Arial"/>
        </w:rPr>
        <w:t>Coyah</w:t>
      </w:r>
      <w:proofErr w:type="spellEnd"/>
      <w:r w:rsidRPr="00B01850">
        <w:rPr>
          <w:rFonts w:ascii="Arial" w:hAnsi="Arial" w:cs="Arial"/>
        </w:rPr>
        <w:t>), (ii) des coulées de boues sur les pentes raides déboisées, et (iii) d’éboulements dans les mines surtout d’or.</w:t>
      </w:r>
    </w:p>
    <w:p w14:paraId="76B3D9DF" w14:textId="77777777" w:rsidR="00E87706" w:rsidRPr="00B01850" w:rsidRDefault="00E87706" w:rsidP="00FC4EE8">
      <w:pPr>
        <w:spacing w:after="0" w:line="240" w:lineRule="auto"/>
        <w:jc w:val="both"/>
        <w:textAlignment w:val="baseline"/>
        <w:rPr>
          <w:rFonts w:ascii="Arial" w:hAnsi="Arial" w:cs="Arial"/>
        </w:rPr>
      </w:pPr>
      <w:r w:rsidRPr="00B01850">
        <w:rPr>
          <w:rFonts w:ascii="Arial" w:hAnsi="Arial" w:cs="Arial"/>
        </w:rPr>
        <w:t>Les glissements de terrain sont un des risques naturels les plus présents et ils affectent toutes les régions, causant chaque année d’énormes dégâts tant en vies humaines qu’en dommages matériels. Ils affectent aussi bien des pentes naturelles que des ouvrages comme les digues, barrages ou remblais. Les types de mouvements, les causes, le rôle de l’eau et les méthodes de stabilisation sont exposés.</w:t>
      </w:r>
      <w:r w:rsidRPr="00B01850">
        <w:rPr>
          <w:rFonts w:ascii="Arial" w:hAnsi="Arial" w:cs="Arial"/>
          <w:i/>
          <w:iCs/>
        </w:rPr>
        <w:t xml:space="preserve"> </w:t>
      </w:r>
      <w:r w:rsidRPr="00B01850">
        <w:rPr>
          <w:rFonts w:ascii="Arial" w:hAnsi="Arial" w:cs="Arial"/>
        </w:rPr>
        <w:t>Les glissements de terrain sont des mouvements gravitaires d’une masse de sol dont le volume peut aller de quelques dizaines de m</w:t>
      </w:r>
      <w:r w:rsidRPr="00B01850">
        <w:rPr>
          <w:rFonts w:ascii="Arial" w:hAnsi="Arial" w:cs="Arial"/>
          <w:vertAlign w:val="superscript"/>
        </w:rPr>
        <w:t>3</w:t>
      </w:r>
      <w:r w:rsidRPr="00B01850">
        <w:rPr>
          <w:rFonts w:ascii="Arial" w:hAnsi="Arial" w:cs="Arial"/>
        </w:rPr>
        <w:t> à plusieurs dizaines de millions de m</w:t>
      </w:r>
      <w:r w:rsidRPr="00B01850">
        <w:rPr>
          <w:rFonts w:ascii="Arial" w:hAnsi="Arial" w:cs="Arial"/>
          <w:vertAlign w:val="superscript"/>
        </w:rPr>
        <w:t>3</w:t>
      </w:r>
      <w:r w:rsidRPr="00B01850">
        <w:rPr>
          <w:rFonts w:ascii="Arial" w:hAnsi="Arial" w:cs="Arial"/>
        </w:rPr>
        <w:t>. L’épaisseur du glissement peut varier de quelques mètres à plusieurs dizaines de mètres tandis que leur surface peut atteindre quelques km</w:t>
      </w:r>
      <w:r w:rsidRPr="00B01850">
        <w:rPr>
          <w:rFonts w:ascii="Arial" w:hAnsi="Arial" w:cs="Arial"/>
          <w:vertAlign w:val="superscript"/>
        </w:rPr>
        <w:t>2</w:t>
      </w:r>
      <w:r w:rsidRPr="00B01850">
        <w:rPr>
          <w:rFonts w:ascii="Arial" w:hAnsi="Arial" w:cs="Arial"/>
        </w:rPr>
        <w:t xml:space="preserve">. Il y a donc une extrême variabilité de glissements depuis celui qui peut entrainer une fermeture d’une route à celui qui modifie complètement la topographie d’un site. Ces glissements peuvent être terrestres ou sous-marins. </w:t>
      </w:r>
    </w:p>
    <w:p w14:paraId="3D2AB32A" w14:textId="77777777" w:rsidR="00E87706" w:rsidRPr="00B01850" w:rsidRDefault="00E87706" w:rsidP="00FC4EE8">
      <w:pPr>
        <w:spacing w:after="0" w:line="240" w:lineRule="auto"/>
        <w:jc w:val="both"/>
        <w:textAlignment w:val="baseline"/>
        <w:rPr>
          <w:rFonts w:ascii="Arial" w:hAnsi="Arial" w:cs="Arial"/>
        </w:rPr>
      </w:pPr>
      <w:r w:rsidRPr="00B01850">
        <w:rPr>
          <w:rFonts w:ascii="Arial" w:hAnsi="Arial" w:cs="Arial"/>
        </w:rPr>
        <w:t>Plusieurs types de mouvement sont mis en évidence lors de glissement par comparaison entre les relevés de topographie avant et après l’instabilité. Le premier type concerne des glissements dont on peut mettre en évidence après déplacement une ou plusieurs surfaces de rupture sur laquelle s’est exercé le frottement. La géométrie de la masse en glissement peut être de forme quasi-circulaire, être constituée de différents blocs se déplaçant, ou enfin d’un bloc plan. Ces glissements présentent une niche d’arrachement en partie haute du glissement et un bourrelet de pied en partie basse. Un deuxième type correspond aux coulées de boues dans lesquelles la masse glissée se transforme en un fluide lourdement chargé pouvant, selon la configuration de la pente ou de la vallée se propager sur des longues distances. Un glissement du premier type peut se transformer en coulée. Enfin, des pentes peuvent avoir un comportement de reptation ou de solifluxion (mouvement lent de la couche superficielle d’un sol gorgé d’eau) : elles présentent alors des mouvements lents assez superficiels (quelques centimètres ou dizaines de centimètres par an). Ces pentes une fois identifiées peuvent être suivies et leur mouvement évoluer vers la rupture.</w:t>
      </w:r>
    </w:p>
    <w:p w14:paraId="5FEBE6E0" w14:textId="77777777" w:rsidR="00E87706" w:rsidRPr="00B01850" w:rsidRDefault="00E87706" w:rsidP="00FC4EE8">
      <w:pPr>
        <w:spacing w:after="0" w:line="240" w:lineRule="auto"/>
        <w:jc w:val="both"/>
        <w:textAlignment w:val="baseline"/>
        <w:rPr>
          <w:rFonts w:ascii="Arial" w:hAnsi="Arial" w:cs="Arial"/>
        </w:rPr>
      </w:pPr>
      <w:r w:rsidRPr="00B01850">
        <w:rPr>
          <w:rFonts w:ascii="Arial" w:hAnsi="Arial" w:cs="Arial"/>
        </w:rPr>
        <w:t xml:space="preserve">Les techniques de prévention du risque mouvements de terrain sont basées essentiellement sur le renforcement des zones instables et sur un contrôle de l'occupation des sols. En matière de protection, les techniques de parade ou de réhabilitation de sites (après rupture) sont nombreuses et généralement efficaces. Les principales techniques se rangent en parades actives et parades passives : soutènement, renforcement, drainage, terrassement. Leur emploi est en général satisfaisant, mais on a besoin d'améliorer la connaissance sur l'efficacité à moyen ou long terme des différentes techniques, et parfois d'optimiser leur dimensionnement. Ces techniques sont efficaces pour des phénomènes d'ampleur </w:t>
      </w:r>
      <w:proofErr w:type="gramStart"/>
      <w:r w:rsidRPr="00B01850">
        <w:rPr>
          <w:rFonts w:ascii="Arial" w:hAnsi="Arial" w:cs="Arial"/>
        </w:rPr>
        <w:t>modérée;</w:t>
      </w:r>
      <w:proofErr w:type="gramEnd"/>
      <w:r w:rsidRPr="00B01850">
        <w:rPr>
          <w:rFonts w:ascii="Arial" w:hAnsi="Arial" w:cs="Arial"/>
        </w:rPr>
        <w:t xml:space="preserve"> pour les mouvements de grande ampleur, seul le drainage peut être envisagé d'après les techniciens rencontrés.</w:t>
      </w:r>
    </w:p>
    <w:p w14:paraId="75CD5720" w14:textId="77777777" w:rsidR="00E87706" w:rsidRPr="00B01850" w:rsidRDefault="00E87706" w:rsidP="00214DCC">
      <w:pPr>
        <w:pStyle w:val="ListParagraph"/>
        <w:numPr>
          <w:ilvl w:val="0"/>
          <w:numId w:val="90"/>
        </w:numPr>
        <w:spacing w:before="120" w:after="120"/>
        <w:textAlignment w:val="baseline"/>
        <w:rPr>
          <w:rFonts w:ascii="Arial" w:hAnsi="Arial" w:cs="Arial"/>
          <w:b/>
          <w:bCs/>
        </w:rPr>
      </w:pPr>
      <w:bookmarkStart w:id="19" w:name="_Toc44289832"/>
      <w:r w:rsidRPr="00B01850">
        <w:rPr>
          <w:rFonts w:ascii="Arial" w:hAnsi="Arial" w:cs="Arial"/>
          <w:b/>
          <w:bCs/>
        </w:rPr>
        <w:t>Tornades</w:t>
      </w:r>
      <w:bookmarkEnd w:id="19"/>
    </w:p>
    <w:p w14:paraId="164218DE" w14:textId="77777777" w:rsidR="00E87706" w:rsidRPr="00B01850" w:rsidRDefault="00E87706" w:rsidP="00FC4EE8">
      <w:pPr>
        <w:spacing w:after="0" w:line="240" w:lineRule="auto"/>
        <w:jc w:val="both"/>
        <w:textAlignment w:val="baseline"/>
        <w:rPr>
          <w:rFonts w:ascii="Arial" w:hAnsi="Arial" w:cs="Arial"/>
        </w:rPr>
      </w:pPr>
      <w:r w:rsidRPr="00B01850">
        <w:rPr>
          <w:rFonts w:ascii="Arial" w:hAnsi="Arial" w:cs="Arial"/>
        </w:rPr>
        <w:t xml:space="preserve">Les tornades, un phénomène météorologique caractérisé généralement par un   mouvement tournant de l'atmosphère ; elles constituent un effet violent de certaines perturbations tropicales ; elles sont classées selon leur intensité. Elles se manifestent sous forme de tourbillon de vents extrêmement violents, prenant naissance à la base d'un nuage d'orage (cumulonimbus). Les mouvements verticaux de l’air (Chaud et humide dans nos zones) rendent très souvent l’atmosphère instable. Aussi Le cisaillement vertical du vent, c’est-à-dire le changement dans la vitesse et la direction du vent avec l’altitude, est aussi un facteur important dans la formation </w:t>
      </w:r>
      <w:r w:rsidRPr="00B01850">
        <w:rPr>
          <w:rFonts w:ascii="Arial" w:hAnsi="Arial" w:cs="Arial"/>
        </w:rPr>
        <w:lastRenderedPageBreak/>
        <w:t xml:space="preserve">d’une tornade. En effet à mesure que l'air monte, le cisaillement du vent provoque un mouvement de rotation autour d’un axe horizontal. </w:t>
      </w:r>
    </w:p>
    <w:p w14:paraId="1FC053F6" w14:textId="41652E6F" w:rsidR="00FC4EE8" w:rsidRPr="00B01850" w:rsidRDefault="00E87706" w:rsidP="00FC4EE8">
      <w:pPr>
        <w:spacing w:after="0" w:line="240" w:lineRule="auto"/>
        <w:jc w:val="both"/>
        <w:textAlignment w:val="baseline"/>
        <w:rPr>
          <w:rFonts w:ascii="Arial" w:hAnsi="Arial" w:cs="Arial"/>
        </w:rPr>
      </w:pPr>
      <w:r w:rsidRPr="00B01850">
        <w:rPr>
          <w:rFonts w:ascii="Arial" w:hAnsi="Arial" w:cs="Arial"/>
        </w:rPr>
        <w:t>On les observe à vue d’œil, via la formation d'un "entonnoir nuageux ‘’ mais aussi grâce à l’avènement des radars, plus tard des satellites et de nos jours des détecteurs de foudres. Il est reconnu que toute tornade naît à partir d’un</w:t>
      </w:r>
      <w:r w:rsidRPr="00B01850">
        <w:rPr>
          <w:rFonts w:ascii="Arial" w:hAnsi="Arial" w:cs="Arial"/>
          <w:b/>
          <w:bCs/>
          <w:i/>
          <w:iCs/>
        </w:rPr>
        <w:t xml:space="preserve"> </w:t>
      </w:r>
      <w:r w:rsidRPr="00B01850">
        <w:rPr>
          <w:rFonts w:ascii="Arial" w:hAnsi="Arial" w:cs="Arial"/>
          <w:i/>
          <w:iCs/>
        </w:rPr>
        <w:t>orage violent</w:t>
      </w:r>
      <w:r w:rsidRPr="00B01850">
        <w:rPr>
          <w:rFonts w:ascii="Arial" w:hAnsi="Arial" w:cs="Arial"/>
          <w:b/>
          <w:bCs/>
          <w:i/>
          <w:iCs/>
        </w:rPr>
        <w:t>.</w:t>
      </w:r>
      <w:r w:rsidRPr="00B01850">
        <w:rPr>
          <w:rFonts w:ascii="Arial" w:hAnsi="Arial" w:cs="Arial"/>
        </w:rPr>
        <w:t xml:space="preserve"> Elles sont rarement observées en Guinée mais assimilées aux orages eux-mêmes.</w:t>
      </w:r>
    </w:p>
    <w:p w14:paraId="097543EE" w14:textId="50858FBC" w:rsidR="00E87706" w:rsidRPr="00B01850" w:rsidRDefault="00E87706" w:rsidP="00FC4EE8">
      <w:pPr>
        <w:spacing w:after="0" w:line="240" w:lineRule="auto"/>
        <w:jc w:val="both"/>
        <w:textAlignment w:val="baseline"/>
        <w:rPr>
          <w:rFonts w:ascii="Arial" w:hAnsi="Arial" w:cs="Arial"/>
        </w:rPr>
      </w:pPr>
      <w:r w:rsidRPr="00B01850">
        <w:rPr>
          <w:rFonts w:ascii="Arial" w:hAnsi="Arial" w:cs="Arial"/>
        </w:rPr>
        <w:t>Les tornades se produisent avec des intensités et fréquences différentes d’une région à une autre ou d’une période de la saison pluvieuse à une autre. Ces tornades détruisent des infrastructures, des plantations et cultures, et parfois des vies humaines.</w:t>
      </w:r>
    </w:p>
    <w:p w14:paraId="28975027" w14:textId="1B0D077B" w:rsidR="00E87706" w:rsidRPr="00B01850" w:rsidRDefault="00E87706" w:rsidP="00214DCC">
      <w:pPr>
        <w:pStyle w:val="ListParagraph"/>
        <w:numPr>
          <w:ilvl w:val="0"/>
          <w:numId w:val="91"/>
        </w:numPr>
        <w:spacing w:before="120" w:after="120"/>
        <w:textAlignment w:val="baseline"/>
        <w:rPr>
          <w:rFonts w:ascii="Arial" w:hAnsi="Arial" w:cs="Arial"/>
          <w:b/>
          <w:bCs/>
        </w:rPr>
      </w:pPr>
      <w:bookmarkStart w:id="20" w:name="_Toc44289833"/>
      <w:r w:rsidRPr="00B01850">
        <w:rPr>
          <w:rFonts w:ascii="Arial" w:hAnsi="Arial" w:cs="Arial"/>
          <w:b/>
          <w:bCs/>
        </w:rPr>
        <w:t>Orages</w:t>
      </w:r>
      <w:bookmarkEnd w:id="20"/>
    </w:p>
    <w:p w14:paraId="0C7417A8" w14:textId="3C016DA4" w:rsidR="009520ED" w:rsidRPr="00B01850" w:rsidRDefault="00E87706" w:rsidP="009520ED">
      <w:pPr>
        <w:spacing w:after="0" w:line="240" w:lineRule="auto"/>
        <w:jc w:val="both"/>
        <w:textAlignment w:val="baseline"/>
        <w:rPr>
          <w:rFonts w:ascii="Arial" w:hAnsi="Arial" w:cs="Arial"/>
        </w:rPr>
      </w:pPr>
      <w:r w:rsidRPr="00B01850">
        <w:rPr>
          <w:rFonts w:ascii="Arial" w:hAnsi="Arial" w:cs="Arial"/>
        </w:rPr>
        <w:t>Orage, phénomène météorologique pendant lequel se produisent des décharges électriques, les éclairs, entre les nuages et le sol ou à l'intérieur du nuage. Il est souvent accompagné d'une forte pluie, et parfois de grêle, de tornade de trombe. Il est provoqué par un phénomène d'électrisation des gouttes d'eau dans les gros nuages (cumulonimbus, très haut, mesurant plusieurs kilomètres (une dizaine dans la zone tropicale), entraînées par de l'air chaud. Ces nuages énormes sont portés par le vent ; les frottements produisent de l’électricité statique qui peut atteindre des milliers de volts : c’est la foudre. Orage, tornade sont le plus souvent accompagnés de vents violents.</w:t>
      </w:r>
    </w:p>
    <w:p w14:paraId="26DA5A8E" w14:textId="052D3969" w:rsidR="00E87706" w:rsidRPr="00B01850" w:rsidRDefault="00E87706" w:rsidP="009520ED">
      <w:pPr>
        <w:spacing w:after="120" w:line="240" w:lineRule="auto"/>
        <w:jc w:val="both"/>
        <w:textAlignment w:val="baseline"/>
        <w:rPr>
          <w:rFonts w:ascii="Arial" w:hAnsi="Arial" w:cs="Arial"/>
        </w:rPr>
      </w:pPr>
      <w:r w:rsidRPr="00B01850">
        <w:rPr>
          <w:rFonts w:ascii="Arial" w:hAnsi="Arial" w:cs="Arial"/>
        </w:rPr>
        <w:t>Des études sur la répartition horaire pour chaque mois dans les chefs-lieux des régions naturelles de la Guinée montrent :</w:t>
      </w:r>
    </w:p>
    <w:p w14:paraId="21D0BC80" w14:textId="47733361" w:rsidR="00E87706" w:rsidRPr="00B01850" w:rsidRDefault="00E87706" w:rsidP="00214DCC">
      <w:pPr>
        <w:pStyle w:val="ListParagraph"/>
        <w:numPr>
          <w:ilvl w:val="0"/>
          <w:numId w:val="55"/>
        </w:numPr>
        <w:textAlignment w:val="baseline"/>
        <w:rPr>
          <w:rFonts w:ascii="Arial" w:hAnsi="Arial" w:cs="Arial"/>
        </w:rPr>
      </w:pPr>
      <w:proofErr w:type="gramStart"/>
      <w:r w:rsidRPr="00B01850">
        <w:rPr>
          <w:rFonts w:ascii="Arial" w:hAnsi="Arial" w:cs="Arial"/>
        </w:rPr>
        <w:t>pour</w:t>
      </w:r>
      <w:proofErr w:type="gramEnd"/>
      <w:r w:rsidRPr="00B01850">
        <w:rPr>
          <w:rFonts w:ascii="Arial" w:hAnsi="Arial" w:cs="Arial"/>
        </w:rPr>
        <w:t xml:space="preserve"> la répartition annuelle, en régions côtière et forestière deux maximum sont observés, c'est-à-dire au début et enfin de la saison pluvieuse (juin et octobre pour 20 et 28 jours respectivement en moyenne), tandis qu’en Haute et Moyenne Guinée dans la région continentale, un seul maximum est observé (juillet de 25 à 28 jours). Toutefois il faut remarquer que pendant des années humides on peut enregistrer deux maxi en juillet et octobre. Cela est confirmé par une analyse des observations réalisées pour la période 1966-1975 ;</w:t>
      </w:r>
    </w:p>
    <w:p w14:paraId="5FDC35D7" w14:textId="6F49386D" w:rsidR="00E87706" w:rsidRPr="00B01850" w:rsidRDefault="00E87706" w:rsidP="00214DCC">
      <w:pPr>
        <w:pStyle w:val="ListParagraph"/>
        <w:numPr>
          <w:ilvl w:val="0"/>
          <w:numId w:val="55"/>
        </w:numPr>
        <w:spacing w:after="0"/>
        <w:contextualSpacing w:val="0"/>
        <w:textAlignment w:val="baseline"/>
        <w:rPr>
          <w:rFonts w:ascii="Arial" w:hAnsi="Arial" w:cs="Arial"/>
        </w:rPr>
      </w:pPr>
      <w:proofErr w:type="gramStart"/>
      <w:r w:rsidRPr="00B01850">
        <w:rPr>
          <w:rFonts w:ascii="Arial" w:hAnsi="Arial" w:cs="Arial"/>
        </w:rPr>
        <w:t>pour</w:t>
      </w:r>
      <w:proofErr w:type="gramEnd"/>
      <w:r w:rsidRPr="00B01850">
        <w:rPr>
          <w:rFonts w:ascii="Arial" w:hAnsi="Arial" w:cs="Arial"/>
        </w:rPr>
        <w:t xml:space="preserve"> la répartition journalière les heures de leur passage varient tel que pour Kankan la période se situe entre 19 et 22 heures ; à Labé un décalage peut être observé. En général les heures de maximum d’orage sont le soir et très tôt le matin. </w:t>
      </w:r>
    </w:p>
    <w:p w14:paraId="120DA6B0" w14:textId="0ED10A74" w:rsidR="00E87706" w:rsidRPr="00B01850" w:rsidRDefault="00E87706" w:rsidP="006E7A44">
      <w:pPr>
        <w:spacing w:line="240" w:lineRule="auto"/>
        <w:jc w:val="both"/>
        <w:textAlignment w:val="baseline"/>
        <w:rPr>
          <w:rFonts w:ascii="Arial" w:hAnsi="Arial" w:cs="Arial"/>
        </w:rPr>
      </w:pPr>
      <w:r w:rsidRPr="00B01850">
        <w:rPr>
          <w:rFonts w:ascii="Arial" w:hAnsi="Arial" w:cs="Arial"/>
        </w:rPr>
        <w:t xml:space="preserve">Il est retenu dans les archives que Conakry détient la cinquième </w:t>
      </w:r>
      <w:r w:rsidRPr="00B01850">
        <w:rPr>
          <w:rFonts w:ascii="Arial" w:hAnsi="Arial" w:cs="Arial"/>
          <w:bCs/>
        </w:rPr>
        <w:t>place</w:t>
      </w:r>
      <w:r w:rsidRPr="00B01850">
        <w:rPr>
          <w:rFonts w:ascii="Arial" w:hAnsi="Arial" w:cs="Arial"/>
        </w:rPr>
        <w:t xml:space="preserve"> au monde dans le classement du nombre de jours moyen d’orage par an, après l’Australie, le Centre Afrique, le Sud Mexique, le Brésil. La carte 3.6 présente la distribution spatiale des tornades et orages entre les Préfectures de la Guinée.</w:t>
      </w:r>
    </w:p>
    <w:p w14:paraId="4B85EE47" w14:textId="333A6019" w:rsidR="006E7A44" w:rsidRPr="00B01850" w:rsidRDefault="006E7A44">
      <w:pPr>
        <w:rPr>
          <w:rFonts w:ascii="Arial" w:hAnsi="Arial" w:cs="Arial"/>
        </w:rPr>
      </w:pPr>
      <w:r w:rsidRPr="00B01850">
        <w:rPr>
          <w:rFonts w:ascii="Arial" w:hAnsi="Arial" w:cs="Arial"/>
        </w:rPr>
        <w:br w:type="page"/>
      </w:r>
    </w:p>
    <w:p w14:paraId="30C056C6" w14:textId="555DAB5C" w:rsidR="00E87706" w:rsidRPr="00B01850" w:rsidRDefault="006E7A44" w:rsidP="006E7A44">
      <w:pPr>
        <w:spacing w:line="240" w:lineRule="auto"/>
        <w:jc w:val="both"/>
        <w:textAlignment w:val="baseline"/>
        <w:rPr>
          <w:rFonts w:ascii="Arial" w:hAnsi="Arial" w:cs="Arial"/>
        </w:rPr>
      </w:pPr>
      <w:r w:rsidRPr="00B01850">
        <w:rPr>
          <w:rFonts w:ascii="Arial" w:hAnsi="Arial" w:cs="Arial"/>
          <w:noProof/>
        </w:rPr>
        <w:lastRenderedPageBreak/>
        <w:drawing>
          <wp:anchor distT="0" distB="0" distL="114300" distR="114300" simplePos="0" relativeHeight="251658245" behindDoc="0" locked="0" layoutInCell="1" allowOverlap="1" wp14:anchorId="5CE85902" wp14:editId="245DFC7B">
            <wp:simplePos x="0" y="0"/>
            <wp:positionH relativeFrom="margin">
              <wp:posOffset>54991</wp:posOffset>
            </wp:positionH>
            <wp:positionV relativeFrom="paragraph">
              <wp:posOffset>95377</wp:posOffset>
            </wp:positionV>
            <wp:extent cx="5358384" cy="3334385"/>
            <wp:effectExtent l="0" t="0" r="0" b="0"/>
            <wp:wrapNone/>
            <wp:docPr id="1448438152" name="Picture 5" descr="A map of the countr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438152" name="Picture 5" descr="A map of the country&#10;&#10;AI-generated content may be incorrect."/>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58384" cy="3334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CDC38B" w14:textId="48A446D3" w:rsidR="00E87706" w:rsidRPr="00B01850" w:rsidRDefault="00E87706" w:rsidP="00E87706">
      <w:pPr>
        <w:pStyle w:val="ListParagraph"/>
        <w:textAlignment w:val="baseline"/>
        <w:rPr>
          <w:rFonts w:ascii="Arial" w:hAnsi="Arial" w:cs="Arial"/>
        </w:rPr>
      </w:pPr>
    </w:p>
    <w:p w14:paraId="28FD6017" w14:textId="77777777" w:rsidR="006E7A44" w:rsidRPr="00B01850" w:rsidRDefault="006E7A44" w:rsidP="006E7A44">
      <w:pPr>
        <w:rPr>
          <w:rFonts w:ascii="Arial" w:hAnsi="Arial" w:cs="Arial"/>
          <w:b/>
          <w:bCs/>
        </w:rPr>
      </w:pPr>
      <w:bookmarkStart w:id="21" w:name="_Toc44324178"/>
    </w:p>
    <w:p w14:paraId="37AB67C5" w14:textId="77777777" w:rsidR="006E7A44" w:rsidRPr="00B01850" w:rsidRDefault="006E7A44" w:rsidP="006E7A44">
      <w:pPr>
        <w:rPr>
          <w:rFonts w:ascii="Arial" w:hAnsi="Arial" w:cs="Arial"/>
          <w:b/>
          <w:bCs/>
        </w:rPr>
      </w:pPr>
    </w:p>
    <w:p w14:paraId="5E537CC7" w14:textId="77777777" w:rsidR="006E7A44" w:rsidRPr="00B01850" w:rsidRDefault="006E7A44" w:rsidP="006E7A44">
      <w:pPr>
        <w:rPr>
          <w:rFonts w:ascii="Arial" w:hAnsi="Arial" w:cs="Arial"/>
          <w:b/>
          <w:bCs/>
        </w:rPr>
      </w:pPr>
    </w:p>
    <w:p w14:paraId="07D92382" w14:textId="77777777" w:rsidR="006E7A44" w:rsidRPr="00B01850" w:rsidRDefault="006E7A44" w:rsidP="006E7A44">
      <w:pPr>
        <w:rPr>
          <w:rFonts w:ascii="Arial" w:hAnsi="Arial" w:cs="Arial"/>
          <w:b/>
          <w:bCs/>
        </w:rPr>
      </w:pPr>
    </w:p>
    <w:p w14:paraId="4FE9541E" w14:textId="77777777" w:rsidR="006E7A44" w:rsidRPr="00B01850" w:rsidRDefault="006E7A44" w:rsidP="006E7A44">
      <w:pPr>
        <w:rPr>
          <w:rFonts w:ascii="Arial" w:hAnsi="Arial" w:cs="Arial"/>
          <w:b/>
          <w:bCs/>
        </w:rPr>
      </w:pPr>
    </w:p>
    <w:p w14:paraId="308F1267" w14:textId="77777777" w:rsidR="006E7A44" w:rsidRPr="00B01850" w:rsidRDefault="006E7A44" w:rsidP="006E7A44">
      <w:pPr>
        <w:rPr>
          <w:rFonts w:ascii="Arial" w:hAnsi="Arial" w:cs="Arial"/>
          <w:b/>
          <w:bCs/>
        </w:rPr>
      </w:pPr>
    </w:p>
    <w:p w14:paraId="5423300C" w14:textId="77777777" w:rsidR="006E7A44" w:rsidRPr="00B01850" w:rsidRDefault="006E7A44" w:rsidP="006E7A44">
      <w:pPr>
        <w:rPr>
          <w:rFonts w:ascii="Arial" w:hAnsi="Arial" w:cs="Arial"/>
          <w:b/>
          <w:bCs/>
        </w:rPr>
      </w:pPr>
    </w:p>
    <w:p w14:paraId="76B0ED79" w14:textId="77777777" w:rsidR="006E7A44" w:rsidRPr="00B01850" w:rsidRDefault="006E7A44" w:rsidP="006E7A44">
      <w:pPr>
        <w:rPr>
          <w:rFonts w:ascii="Arial" w:hAnsi="Arial" w:cs="Arial"/>
          <w:b/>
          <w:bCs/>
        </w:rPr>
      </w:pPr>
    </w:p>
    <w:p w14:paraId="33E1CD37" w14:textId="77777777" w:rsidR="006E7A44" w:rsidRPr="00B01850" w:rsidRDefault="006E7A44" w:rsidP="006E7A44">
      <w:pPr>
        <w:rPr>
          <w:rFonts w:ascii="Arial" w:hAnsi="Arial" w:cs="Arial"/>
          <w:b/>
          <w:bCs/>
        </w:rPr>
      </w:pPr>
    </w:p>
    <w:p w14:paraId="39D38EA0" w14:textId="7C93243A" w:rsidR="00E87706" w:rsidRPr="00B01850" w:rsidRDefault="00E87706" w:rsidP="006E7A44">
      <w:pPr>
        <w:rPr>
          <w:rFonts w:ascii="Arial" w:hAnsi="Arial" w:cs="Arial"/>
        </w:rPr>
      </w:pPr>
      <w:r w:rsidRPr="00B01850">
        <w:rPr>
          <w:rFonts w:ascii="Arial" w:hAnsi="Arial" w:cs="Arial"/>
          <w:b/>
          <w:bCs/>
        </w:rPr>
        <w:t xml:space="preserve">Carte 3.6 : </w:t>
      </w:r>
      <w:r w:rsidRPr="00B01850">
        <w:rPr>
          <w:rFonts w:ascii="Arial" w:hAnsi="Arial" w:cs="Arial"/>
        </w:rPr>
        <w:t>Carte de localisation des risques d’orages et tornades en Guinée.</w:t>
      </w:r>
      <w:bookmarkEnd w:id="21"/>
    </w:p>
    <w:p w14:paraId="799E05D6" w14:textId="59793A91" w:rsidR="00E87706" w:rsidRPr="00B01850" w:rsidRDefault="00E87706" w:rsidP="00DE070B">
      <w:pPr>
        <w:spacing w:after="0" w:line="240" w:lineRule="auto"/>
        <w:jc w:val="both"/>
        <w:textAlignment w:val="baseline"/>
        <w:rPr>
          <w:rFonts w:ascii="Arial" w:hAnsi="Arial" w:cs="Arial"/>
        </w:rPr>
      </w:pPr>
      <w:r w:rsidRPr="00B01850">
        <w:rPr>
          <w:rFonts w:ascii="Arial" w:hAnsi="Arial" w:cs="Arial"/>
        </w:rPr>
        <w:t>L’analyse de cette carte montre que l’exposition des Préfectures au risque de ces deux (02) phénomène se réparti comme suit :</w:t>
      </w:r>
    </w:p>
    <w:p w14:paraId="3E52DF6C" w14:textId="77777777" w:rsidR="00E87706" w:rsidRPr="00B01850" w:rsidRDefault="00E87706" w:rsidP="00214DCC">
      <w:pPr>
        <w:pStyle w:val="ListParagraph"/>
        <w:numPr>
          <w:ilvl w:val="0"/>
          <w:numId w:val="56"/>
        </w:numPr>
        <w:spacing w:after="0"/>
        <w:contextualSpacing w:val="0"/>
        <w:jc w:val="both"/>
        <w:textAlignment w:val="baseline"/>
        <w:rPr>
          <w:rFonts w:ascii="Arial" w:hAnsi="Arial" w:cs="Arial"/>
        </w:rPr>
      </w:pPr>
      <w:proofErr w:type="gramStart"/>
      <w:r w:rsidRPr="00B01850">
        <w:rPr>
          <w:rFonts w:ascii="Arial" w:hAnsi="Arial" w:cs="Arial"/>
        </w:rPr>
        <w:t>risque</w:t>
      </w:r>
      <w:proofErr w:type="gramEnd"/>
      <w:r w:rsidRPr="00B01850">
        <w:rPr>
          <w:rFonts w:ascii="Arial" w:hAnsi="Arial" w:cs="Arial"/>
        </w:rPr>
        <w:t xml:space="preserve"> de </w:t>
      </w:r>
      <w:proofErr w:type="gramStart"/>
      <w:r w:rsidRPr="00B01850">
        <w:rPr>
          <w:rFonts w:ascii="Arial" w:hAnsi="Arial" w:cs="Arial"/>
        </w:rPr>
        <w:t>tornade fréquent</w:t>
      </w:r>
      <w:proofErr w:type="gramEnd"/>
      <w:r w:rsidRPr="00B01850">
        <w:rPr>
          <w:rFonts w:ascii="Arial" w:hAnsi="Arial" w:cs="Arial"/>
        </w:rPr>
        <w:t xml:space="preserve"> pour 6 des 34 Préfectures, incluant Conakry : 17,65% ;</w:t>
      </w:r>
    </w:p>
    <w:p w14:paraId="0C5215AB" w14:textId="77777777" w:rsidR="00E87706" w:rsidRPr="00B01850" w:rsidRDefault="00E87706" w:rsidP="00214DCC">
      <w:pPr>
        <w:pStyle w:val="ListParagraph"/>
        <w:numPr>
          <w:ilvl w:val="0"/>
          <w:numId w:val="56"/>
        </w:numPr>
        <w:spacing w:after="0"/>
        <w:contextualSpacing w:val="0"/>
        <w:jc w:val="both"/>
        <w:textAlignment w:val="baseline"/>
        <w:rPr>
          <w:rFonts w:ascii="Arial" w:hAnsi="Arial" w:cs="Arial"/>
        </w:rPr>
      </w:pPr>
      <w:proofErr w:type="gramStart"/>
      <w:r w:rsidRPr="00B01850">
        <w:rPr>
          <w:rFonts w:ascii="Arial" w:hAnsi="Arial" w:cs="Arial"/>
        </w:rPr>
        <w:t>risque</w:t>
      </w:r>
      <w:proofErr w:type="gramEnd"/>
      <w:r w:rsidRPr="00B01850">
        <w:rPr>
          <w:rFonts w:ascii="Arial" w:hAnsi="Arial" w:cs="Arial"/>
        </w:rPr>
        <w:t xml:space="preserve"> d’orage et tornade peu fréquent : 8 Préfectures (23,53%) ;</w:t>
      </w:r>
    </w:p>
    <w:p w14:paraId="4415F605" w14:textId="77777777" w:rsidR="00E87706" w:rsidRPr="00B01850" w:rsidRDefault="00E87706" w:rsidP="00214DCC">
      <w:pPr>
        <w:pStyle w:val="ListParagraph"/>
        <w:numPr>
          <w:ilvl w:val="0"/>
          <w:numId w:val="56"/>
        </w:numPr>
        <w:spacing w:after="0"/>
        <w:contextualSpacing w:val="0"/>
        <w:jc w:val="both"/>
        <w:textAlignment w:val="baseline"/>
        <w:rPr>
          <w:rFonts w:ascii="Arial" w:hAnsi="Arial" w:cs="Arial"/>
        </w:rPr>
      </w:pPr>
      <w:proofErr w:type="gramStart"/>
      <w:r w:rsidRPr="00B01850">
        <w:rPr>
          <w:rFonts w:ascii="Arial" w:hAnsi="Arial" w:cs="Arial"/>
        </w:rPr>
        <w:t>risque</w:t>
      </w:r>
      <w:proofErr w:type="gramEnd"/>
      <w:r w:rsidRPr="00B01850">
        <w:rPr>
          <w:rFonts w:ascii="Arial" w:hAnsi="Arial" w:cs="Arial"/>
        </w:rPr>
        <w:t xml:space="preserve"> d’orage fréquent : 9 Préfectures (26,47%) ;</w:t>
      </w:r>
    </w:p>
    <w:p w14:paraId="198C00CD" w14:textId="77777777" w:rsidR="00E87706" w:rsidRPr="00B01850" w:rsidRDefault="00E87706" w:rsidP="00214DCC">
      <w:pPr>
        <w:pStyle w:val="ListParagraph"/>
        <w:numPr>
          <w:ilvl w:val="0"/>
          <w:numId w:val="56"/>
        </w:numPr>
        <w:spacing w:after="0"/>
        <w:contextualSpacing w:val="0"/>
        <w:jc w:val="both"/>
        <w:textAlignment w:val="baseline"/>
        <w:rPr>
          <w:rFonts w:ascii="Arial" w:hAnsi="Arial" w:cs="Arial"/>
        </w:rPr>
      </w:pPr>
      <w:proofErr w:type="gramStart"/>
      <w:r w:rsidRPr="00B01850">
        <w:rPr>
          <w:rFonts w:ascii="Arial" w:hAnsi="Arial" w:cs="Arial"/>
        </w:rPr>
        <w:t>risque</w:t>
      </w:r>
      <w:proofErr w:type="gramEnd"/>
      <w:r w:rsidRPr="00B01850">
        <w:rPr>
          <w:rFonts w:ascii="Arial" w:hAnsi="Arial" w:cs="Arial"/>
        </w:rPr>
        <w:t xml:space="preserve"> d’orage peu fréquent : 1 Préfecture (2,94%) ;</w:t>
      </w:r>
    </w:p>
    <w:p w14:paraId="2B0769ED" w14:textId="77777777" w:rsidR="00E87706" w:rsidRPr="00B01850" w:rsidRDefault="00E87706" w:rsidP="00214DCC">
      <w:pPr>
        <w:pStyle w:val="ListParagraph"/>
        <w:numPr>
          <w:ilvl w:val="0"/>
          <w:numId w:val="56"/>
        </w:numPr>
        <w:spacing w:after="0"/>
        <w:contextualSpacing w:val="0"/>
        <w:jc w:val="both"/>
        <w:textAlignment w:val="baseline"/>
        <w:rPr>
          <w:rFonts w:ascii="Arial" w:hAnsi="Arial" w:cs="Arial"/>
        </w:rPr>
      </w:pPr>
      <w:proofErr w:type="gramStart"/>
      <w:r w:rsidRPr="00B01850">
        <w:rPr>
          <w:rFonts w:ascii="Arial" w:hAnsi="Arial" w:cs="Arial"/>
        </w:rPr>
        <w:t>risque</w:t>
      </w:r>
      <w:proofErr w:type="gramEnd"/>
      <w:r w:rsidRPr="00B01850">
        <w:rPr>
          <w:rFonts w:ascii="Arial" w:hAnsi="Arial" w:cs="Arial"/>
        </w:rPr>
        <w:t xml:space="preserve"> d’orage fréquent et risque de </w:t>
      </w:r>
      <w:proofErr w:type="gramStart"/>
      <w:r w:rsidRPr="00B01850">
        <w:rPr>
          <w:rFonts w:ascii="Arial" w:hAnsi="Arial" w:cs="Arial"/>
        </w:rPr>
        <w:t>tornade peu fréquent</w:t>
      </w:r>
      <w:proofErr w:type="gramEnd"/>
      <w:r w:rsidRPr="00B01850">
        <w:rPr>
          <w:rFonts w:ascii="Arial" w:hAnsi="Arial" w:cs="Arial"/>
        </w:rPr>
        <w:t> ; 1 Préfecture (2,94%) ;</w:t>
      </w:r>
    </w:p>
    <w:p w14:paraId="413A8A9F" w14:textId="5BDDEE06" w:rsidR="00E87706" w:rsidRPr="00B01850" w:rsidRDefault="00E87706" w:rsidP="00214DCC">
      <w:pPr>
        <w:pStyle w:val="ListParagraph"/>
        <w:numPr>
          <w:ilvl w:val="0"/>
          <w:numId w:val="56"/>
        </w:numPr>
        <w:spacing w:after="0"/>
        <w:contextualSpacing w:val="0"/>
        <w:jc w:val="both"/>
        <w:textAlignment w:val="baseline"/>
        <w:rPr>
          <w:rFonts w:ascii="Arial" w:hAnsi="Arial" w:cs="Arial"/>
        </w:rPr>
      </w:pPr>
      <w:proofErr w:type="gramStart"/>
      <w:r w:rsidRPr="00B01850">
        <w:rPr>
          <w:rFonts w:ascii="Arial" w:hAnsi="Arial" w:cs="Arial"/>
        </w:rPr>
        <w:t>risque</w:t>
      </w:r>
      <w:proofErr w:type="gramEnd"/>
      <w:r w:rsidRPr="00B01850">
        <w:rPr>
          <w:rFonts w:ascii="Arial" w:hAnsi="Arial" w:cs="Arial"/>
        </w:rPr>
        <w:t xml:space="preserve"> de </w:t>
      </w:r>
      <w:proofErr w:type="gramStart"/>
      <w:r w:rsidRPr="00B01850">
        <w:rPr>
          <w:rFonts w:ascii="Arial" w:hAnsi="Arial" w:cs="Arial"/>
        </w:rPr>
        <w:t>tornade peu fréquent</w:t>
      </w:r>
      <w:proofErr w:type="gramEnd"/>
      <w:r w:rsidRPr="00B01850">
        <w:rPr>
          <w:rFonts w:ascii="Arial" w:hAnsi="Arial" w:cs="Arial"/>
        </w:rPr>
        <w:t xml:space="preserve"> et risque d’orage fréquent : 9 Préfecture (26,47%).</w:t>
      </w:r>
    </w:p>
    <w:p w14:paraId="7DE4B9DE" w14:textId="77777777" w:rsidR="00E87706" w:rsidRPr="00B01850" w:rsidRDefault="00E87706" w:rsidP="009520ED">
      <w:pPr>
        <w:spacing w:line="240" w:lineRule="auto"/>
        <w:jc w:val="both"/>
        <w:textAlignment w:val="baseline"/>
        <w:rPr>
          <w:rFonts w:ascii="Arial" w:hAnsi="Arial" w:cs="Arial"/>
        </w:rPr>
      </w:pPr>
      <w:r w:rsidRPr="00B01850">
        <w:rPr>
          <w:rFonts w:ascii="Arial" w:hAnsi="Arial" w:cs="Arial"/>
        </w:rPr>
        <w:t>Les tornades se produisent dans toutes les régions naturelles et Préfectures du pays avec certes des intensités et fréquences différentes d’une région à une autre ou d’une période de la saison pluvieuse à une autre. Ces tornades détruisent des infrastructures, des plantations et cultures, et parfois des vies humaines.</w:t>
      </w:r>
    </w:p>
    <w:p w14:paraId="15E24A80" w14:textId="77777777" w:rsidR="00E87706" w:rsidRPr="00B01850" w:rsidRDefault="00E87706" w:rsidP="00214DCC">
      <w:pPr>
        <w:pStyle w:val="ListParagraph"/>
        <w:numPr>
          <w:ilvl w:val="0"/>
          <w:numId w:val="92"/>
        </w:numPr>
        <w:textAlignment w:val="baseline"/>
        <w:rPr>
          <w:rFonts w:ascii="Arial" w:hAnsi="Arial" w:cs="Arial"/>
          <w:b/>
          <w:bCs/>
        </w:rPr>
      </w:pPr>
      <w:bookmarkStart w:id="22" w:name="_Toc44289834"/>
      <w:r w:rsidRPr="00B01850">
        <w:rPr>
          <w:rFonts w:ascii="Arial" w:hAnsi="Arial" w:cs="Arial"/>
          <w:b/>
          <w:bCs/>
        </w:rPr>
        <w:t>Vents violents</w:t>
      </w:r>
      <w:bookmarkEnd w:id="22"/>
    </w:p>
    <w:p w14:paraId="294B8101" w14:textId="77777777" w:rsidR="006E7A44" w:rsidRPr="00B01850" w:rsidRDefault="00E87706" w:rsidP="00DE070B">
      <w:pPr>
        <w:spacing w:after="0" w:line="240" w:lineRule="auto"/>
        <w:jc w:val="both"/>
        <w:textAlignment w:val="baseline"/>
        <w:rPr>
          <w:rFonts w:ascii="Arial" w:hAnsi="Arial" w:cs="Arial"/>
        </w:rPr>
      </w:pPr>
      <w:r w:rsidRPr="00B01850">
        <w:rPr>
          <w:rFonts w:ascii="Arial" w:hAnsi="Arial" w:cs="Arial"/>
        </w:rPr>
        <w:t>Le vent désigne le mouvement horizontal de l'air dont la mesure comprend deux paramètres : sa direction et sa vitesse ou force. La vitesse est exprimée communément en km/h ou m/s. Marins et pilotes utilisent les nœuds (1 nœud = 1,852 km/h).</w:t>
      </w:r>
    </w:p>
    <w:p w14:paraId="0558C17F" w14:textId="12BAF4BC" w:rsidR="00E87706" w:rsidRPr="00B01850" w:rsidRDefault="00E87706" w:rsidP="00DE070B">
      <w:pPr>
        <w:spacing w:line="240" w:lineRule="auto"/>
        <w:jc w:val="both"/>
        <w:textAlignment w:val="baseline"/>
        <w:rPr>
          <w:rFonts w:ascii="Arial" w:hAnsi="Arial" w:cs="Arial"/>
        </w:rPr>
      </w:pPr>
      <w:r w:rsidRPr="00B01850">
        <w:rPr>
          <w:rFonts w:ascii="Arial" w:hAnsi="Arial" w:cs="Arial"/>
        </w:rPr>
        <w:t>Le phénomène vents violents est très fréquent en Guinée et y provoque des dommages importants sur les infrastructures, les cultures et plantations. La carte 3.7 présente sa distribution entre les Préfectures du pays.</w:t>
      </w:r>
    </w:p>
    <w:p w14:paraId="3903D757" w14:textId="77777777" w:rsidR="00E87706" w:rsidRPr="00B01850" w:rsidRDefault="00E87706" w:rsidP="00DE070B">
      <w:pPr>
        <w:pStyle w:val="ListParagraph"/>
        <w:spacing w:line="240" w:lineRule="auto"/>
        <w:jc w:val="both"/>
        <w:textAlignment w:val="baseline"/>
        <w:rPr>
          <w:rFonts w:ascii="Arial" w:hAnsi="Arial" w:cs="Arial"/>
        </w:rPr>
      </w:pPr>
    </w:p>
    <w:p w14:paraId="6368F2E7" w14:textId="1F57DCE0" w:rsidR="00E87706" w:rsidRPr="00B01850" w:rsidRDefault="00E87706" w:rsidP="00E87706">
      <w:pPr>
        <w:pStyle w:val="ListParagraph"/>
        <w:spacing w:line="240" w:lineRule="auto"/>
        <w:textAlignment w:val="baseline"/>
        <w:rPr>
          <w:rFonts w:ascii="Arial" w:hAnsi="Arial" w:cs="Arial"/>
        </w:rPr>
      </w:pPr>
      <w:r w:rsidRPr="00B01850">
        <w:rPr>
          <w:rFonts w:ascii="Arial" w:hAnsi="Arial" w:cs="Arial"/>
          <w:noProof/>
        </w:rPr>
        <w:lastRenderedPageBreak/>
        <w:drawing>
          <wp:inline distT="0" distB="0" distL="0" distR="0" wp14:anchorId="58AB97F6" wp14:editId="4DBC3344">
            <wp:extent cx="5943600" cy="4198620"/>
            <wp:effectExtent l="0" t="0" r="0" b="0"/>
            <wp:docPr id="758469300" name="Picture 4" descr="A map of nigeria with different colored are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469300" name="Picture 4" descr="A map of nigeria with different colored areas&#10;&#10;AI-generated content may be incorrect."/>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3600" cy="4198620"/>
                    </a:xfrm>
                    <a:prstGeom prst="rect">
                      <a:avLst/>
                    </a:prstGeom>
                    <a:noFill/>
                    <a:ln>
                      <a:noFill/>
                    </a:ln>
                  </pic:spPr>
                </pic:pic>
              </a:graphicData>
            </a:graphic>
          </wp:inline>
        </w:drawing>
      </w:r>
    </w:p>
    <w:p w14:paraId="4C3B8100" w14:textId="77777777" w:rsidR="00E87706" w:rsidRPr="00B01850" w:rsidRDefault="00E87706" w:rsidP="00E87706">
      <w:pPr>
        <w:pStyle w:val="ListParagraph"/>
        <w:jc w:val="both"/>
        <w:textAlignment w:val="baseline"/>
        <w:rPr>
          <w:rFonts w:ascii="Arial" w:hAnsi="Arial" w:cs="Arial"/>
        </w:rPr>
      </w:pPr>
      <w:bookmarkStart w:id="23" w:name="_Toc44324179"/>
      <w:r w:rsidRPr="00B01850">
        <w:rPr>
          <w:rFonts w:ascii="Arial" w:hAnsi="Arial" w:cs="Arial"/>
          <w:b/>
          <w:bCs/>
        </w:rPr>
        <w:t>Carte 3.7 :</w:t>
      </w:r>
      <w:r w:rsidRPr="00B01850">
        <w:rPr>
          <w:rFonts w:ascii="Arial" w:hAnsi="Arial" w:cs="Arial"/>
        </w:rPr>
        <w:t xml:space="preserve"> Carte de localisation des risques des vents violents en Guinée.</w:t>
      </w:r>
      <w:bookmarkEnd w:id="23"/>
    </w:p>
    <w:p w14:paraId="62110499" w14:textId="77777777" w:rsidR="00E87706" w:rsidRPr="00B01850" w:rsidRDefault="00E87706" w:rsidP="00DE070B">
      <w:pPr>
        <w:spacing w:line="240" w:lineRule="auto"/>
        <w:jc w:val="both"/>
        <w:textAlignment w:val="baseline"/>
        <w:rPr>
          <w:rFonts w:ascii="Arial" w:hAnsi="Arial" w:cs="Arial"/>
        </w:rPr>
      </w:pPr>
      <w:r w:rsidRPr="00B01850">
        <w:rPr>
          <w:rFonts w:ascii="Arial" w:hAnsi="Arial" w:cs="Arial"/>
        </w:rPr>
        <w:t>Cette carte montre qu’une Préfecture (2,94%) est très fréquemment exposée au risque de vents violents, 32 Préfectures (soit 94,12%) sont fréquemment exposées au risque de vents violents, et le phénomène n’est pas signalé dans une Préfecture (2,94%).</w:t>
      </w:r>
    </w:p>
    <w:p w14:paraId="5662FCF3" w14:textId="32E107E2" w:rsidR="00E87706" w:rsidRPr="00B01850" w:rsidRDefault="00E87706" w:rsidP="00214DCC">
      <w:pPr>
        <w:pStyle w:val="ListParagraph"/>
        <w:numPr>
          <w:ilvl w:val="0"/>
          <w:numId w:val="93"/>
        </w:numPr>
        <w:textAlignment w:val="baseline"/>
        <w:rPr>
          <w:rFonts w:ascii="Arial" w:hAnsi="Arial" w:cs="Arial"/>
          <w:b/>
          <w:bCs/>
        </w:rPr>
      </w:pPr>
      <w:bookmarkStart w:id="24" w:name="_Toc44289835"/>
      <w:r w:rsidRPr="00B01850">
        <w:rPr>
          <w:rFonts w:ascii="Arial" w:hAnsi="Arial" w:cs="Arial"/>
          <w:b/>
          <w:bCs/>
        </w:rPr>
        <w:t>Sécheresse</w:t>
      </w:r>
      <w:bookmarkEnd w:id="24"/>
    </w:p>
    <w:p w14:paraId="3BA4349A" w14:textId="77777777" w:rsidR="00E87706" w:rsidRPr="00B01850" w:rsidRDefault="00E87706" w:rsidP="00A24BF5">
      <w:pPr>
        <w:spacing w:after="0" w:line="240" w:lineRule="auto"/>
        <w:jc w:val="both"/>
        <w:textAlignment w:val="baseline"/>
        <w:rPr>
          <w:rFonts w:ascii="Arial" w:hAnsi="Arial" w:cs="Arial"/>
        </w:rPr>
      </w:pPr>
      <w:r w:rsidRPr="00B01850">
        <w:rPr>
          <w:rFonts w:ascii="Arial" w:hAnsi="Arial" w:cs="Arial"/>
        </w:rPr>
        <w:t xml:space="preserve">La sécheresse se caractérise par l'état d'un environnement confronté à un manque d’eau significativement long et important pour qu'il ait des impacts sur la flore (naturelle ou cultivée), la faune (sauvage ou d'élevage) et les populations. </w:t>
      </w:r>
    </w:p>
    <w:p w14:paraId="23A34121" w14:textId="77777777" w:rsidR="00E87706" w:rsidRPr="00B01850" w:rsidRDefault="00E87706" w:rsidP="00A24BF5">
      <w:pPr>
        <w:spacing w:after="0" w:line="240" w:lineRule="auto"/>
        <w:jc w:val="both"/>
        <w:textAlignment w:val="baseline"/>
        <w:rPr>
          <w:rFonts w:ascii="Arial" w:hAnsi="Arial" w:cs="Arial"/>
        </w:rPr>
      </w:pPr>
      <w:r w:rsidRPr="00B01850">
        <w:rPr>
          <w:rFonts w:ascii="Arial" w:hAnsi="Arial" w:cs="Arial"/>
        </w:rPr>
        <w:t>Le déficit hydrique est une situation naturelle du point de vue de la variabilité climatique. Selon certains climatologues quelques situations de déficit hydrique sont amplifiées (durée, extension spatiale, intensité) par l'émission humaine de gaz à effet de serre. Il fait suite à un déficit pluviométrique, sur de longues périodes durant lesquelles les précipitations sont anormalement faibles ou insuffisantes pour maintenir l'humidité du sol et l’hygrométrie normale de l'air. Ce déficit peut être aggravé ou expliqué par une baisse du niveau de la nappe phréatique, l’érosion et la dégradation des sols (l’humus favorise la rétention de l'eau, la coupe de zones forestières dans les régions par exemple, entraîne rapidement la perte de cet humus essentiel à la rétention de l'eau et cause une désertification accélérée d'origine anthropique.</w:t>
      </w:r>
    </w:p>
    <w:p w14:paraId="129D84F9" w14:textId="77777777" w:rsidR="00E87706" w:rsidRPr="00B01850" w:rsidRDefault="00E87706" w:rsidP="00A24BF5">
      <w:pPr>
        <w:spacing w:before="120" w:after="0" w:line="240" w:lineRule="auto"/>
        <w:jc w:val="both"/>
        <w:textAlignment w:val="baseline"/>
        <w:rPr>
          <w:rFonts w:ascii="Arial" w:hAnsi="Arial" w:cs="Arial"/>
        </w:rPr>
      </w:pPr>
      <w:r w:rsidRPr="00B01850">
        <w:rPr>
          <w:rFonts w:ascii="Arial" w:hAnsi="Arial" w:cs="Arial"/>
        </w:rPr>
        <w:t xml:space="preserve">Une sécheresse du point de vue météorologique se produit généralement lorsqu'un anticyclone s'installe durablement au-dessus d'une région à cause d'une situation de blocage. C’est le cas de l’Anticyclone des Açores sur l’Atlantique Nord. </w:t>
      </w:r>
    </w:p>
    <w:p w14:paraId="4002EFB1" w14:textId="77777777" w:rsidR="00E87706" w:rsidRPr="00B01850" w:rsidRDefault="00E87706" w:rsidP="00E87706">
      <w:pPr>
        <w:pStyle w:val="ListParagraph"/>
        <w:spacing w:line="240" w:lineRule="auto"/>
        <w:textAlignment w:val="baseline"/>
        <w:rPr>
          <w:rFonts w:ascii="Arial" w:hAnsi="Arial" w:cs="Arial"/>
        </w:rPr>
      </w:pPr>
    </w:p>
    <w:p w14:paraId="1C9B8330" w14:textId="182B9D39" w:rsidR="00A24BF5" w:rsidRPr="00B01850" w:rsidRDefault="00E87706" w:rsidP="00A24BF5">
      <w:pPr>
        <w:spacing w:line="240" w:lineRule="auto"/>
        <w:jc w:val="both"/>
        <w:textAlignment w:val="baseline"/>
        <w:rPr>
          <w:rFonts w:ascii="Arial" w:hAnsi="Arial" w:cs="Arial"/>
        </w:rPr>
      </w:pPr>
      <w:r w:rsidRPr="00B01850">
        <w:rPr>
          <w:rFonts w:ascii="Arial" w:hAnsi="Arial" w:cs="Arial"/>
        </w:rPr>
        <w:lastRenderedPageBreak/>
        <w:t>Plusieurs activités sont impactées par la sécheresse : agriculture, abreuvage du bétail, les industries, l’usage de l’eau domestique, dans l’hygiène, l’alimentation ; d’autres secteurs d'une nécessité secondaire ; le lavage, arrosage des gazons, piscine etc. La sécheresse est aussi d’ordre hydrologique et pédologique. C’est un jeu de réserve en eau, de perte en eau à travers l’évaporation, l’évapotranspiration et autres.</w:t>
      </w:r>
    </w:p>
    <w:p w14:paraId="0B2154F8" w14:textId="5C3B4C21" w:rsidR="00E87706" w:rsidRPr="00B01850" w:rsidRDefault="00A24BF5" w:rsidP="00A24BF5">
      <w:pPr>
        <w:spacing w:line="240" w:lineRule="auto"/>
        <w:jc w:val="both"/>
        <w:textAlignment w:val="baseline"/>
        <w:rPr>
          <w:rFonts w:ascii="Arial" w:hAnsi="Arial" w:cs="Arial"/>
        </w:rPr>
      </w:pPr>
      <w:r w:rsidRPr="00B01850">
        <w:rPr>
          <w:rFonts w:ascii="Arial" w:hAnsi="Arial" w:cs="Arial"/>
          <w:noProof/>
        </w:rPr>
        <w:drawing>
          <wp:anchor distT="0" distB="0" distL="114300" distR="114300" simplePos="0" relativeHeight="251658246" behindDoc="0" locked="0" layoutInCell="1" allowOverlap="1" wp14:anchorId="49F1AA55" wp14:editId="55B909BF">
            <wp:simplePos x="0" y="0"/>
            <wp:positionH relativeFrom="margin">
              <wp:align>right</wp:align>
            </wp:positionH>
            <wp:positionV relativeFrom="paragraph">
              <wp:posOffset>8255</wp:posOffset>
            </wp:positionV>
            <wp:extent cx="5943600" cy="4198620"/>
            <wp:effectExtent l="0" t="0" r="0" b="0"/>
            <wp:wrapNone/>
            <wp:docPr id="1045219545" name="Picture 3" descr="A map of the state of nigeri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219545" name="Picture 3" descr="A map of the state of nigeria&#10;&#10;AI-generated content may be incorrec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4198620"/>
                    </a:xfrm>
                    <a:prstGeom prst="rect">
                      <a:avLst/>
                    </a:prstGeom>
                    <a:noFill/>
                    <a:ln>
                      <a:noFill/>
                    </a:ln>
                  </pic:spPr>
                </pic:pic>
              </a:graphicData>
            </a:graphic>
            <wp14:sizeRelH relativeFrom="page">
              <wp14:pctWidth>0</wp14:pctWidth>
            </wp14:sizeRelH>
            <wp14:sizeRelV relativeFrom="page">
              <wp14:pctHeight>0</wp14:pctHeight>
            </wp14:sizeRelV>
          </wp:anchor>
        </w:drawing>
      </w:r>
      <w:r w:rsidR="00E87706" w:rsidRPr="00B01850">
        <w:rPr>
          <w:rFonts w:ascii="Arial" w:hAnsi="Arial" w:cs="Arial"/>
        </w:rPr>
        <w:t>La carte 3.8 présente la distribution du risque de sécheresse entre les Préfectures de la Guinée.</w:t>
      </w:r>
    </w:p>
    <w:p w14:paraId="4590A048" w14:textId="05DF31F5" w:rsidR="00A24BF5" w:rsidRPr="00B01850" w:rsidRDefault="00A24BF5" w:rsidP="00A24BF5">
      <w:pPr>
        <w:spacing w:after="0" w:line="240" w:lineRule="auto"/>
        <w:jc w:val="both"/>
        <w:textAlignment w:val="baseline"/>
        <w:rPr>
          <w:rFonts w:ascii="Arial" w:hAnsi="Arial" w:cs="Arial"/>
        </w:rPr>
      </w:pPr>
    </w:p>
    <w:p w14:paraId="37CE94A6" w14:textId="033493A8" w:rsidR="00A24BF5" w:rsidRPr="00B01850" w:rsidRDefault="00A24BF5" w:rsidP="00A24BF5">
      <w:pPr>
        <w:spacing w:after="0" w:line="240" w:lineRule="auto"/>
        <w:jc w:val="both"/>
        <w:textAlignment w:val="baseline"/>
        <w:rPr>
          <w:rFonts w:ascii="Arial" w:hAnsi="Arial" w:cs="Arial"/>
        </w:rPr>
      </w:pPr>
    </w:p>
    <w:p w14:paraId="50329620" w14:textId="5EAB54C1" w:rsidR="00A24BF5" w:rsidRPr="00B01850" w:rsidRDefault="00A24BF5" w:rsidP="00A24BF5">
      <w:pPr>
        <w:spacing w:after="0" w:line="240" w:lineRule="auto"/>
        <w:jc w:val="both"/>
        <w:textAlignment w:val="baseline"/>
        <w:rPr>
          <w:rFonts w:ascii="Arial" w:hAnsi="Arial" w:cs="Arial"/>
        </w:rPr>
      </w:pPr>
    </w:p>
    <w:p w14:paraId="48368C84" w14:textId="77777777" w:rsidR="00A24BF5" w:rsidRPr="00B01850" w:rsidRDefault="00A24BF5" w:rsidP="00A24BF5">
      <w:pPr>
        <w:spacing w:after="0" w:line="240" w:lineRule="auto"/>
        <w:jc w:val="both"/>
        <w:textAlignment w:val="baseline"/>
        <w:rPr>
          <w:rFonts w:ascii="Arial" w:hAnsi="Arial" w:cs="Arial"/>
        </w:rPr>
      </w:pPr>
    </w:p>
    <w:p w14:paraId="3AD67E03" w14:textId="77777777" w:rsidR="00A24BF5" w:rsidRPr="00B01850" w:rsidRDefault="00A24BF5" w:rsidP="00A24BF5">
      <w:pPr>
        <w:spacing w:after="0" w:line="240" w:lineRule="auto"/>
        <w:jc w:val="both"/>
        <w:textAlignment w:val="baseline"/>
        <w:rPr>
          <w:rFonts w:ascii="Arial" w:hAnsi="Arial" w:cs="Arial"/>
        </w:rPr>
      </w:pPr>
    </w:p>
    <w:p w14:paraId="77C7859D" w14:textId="77777777" w:rsidR="00A24BF5" w:rsidRPr="00B01850" w:rsidRDefault="00A24BF5" w:rsidP="00A24BF5">
      <w:pPr>
        <w:spacing w:after="0" w:line="240" w:lineRule="auto"/>
        <w:jc w:val="both"/>
        <w:textAlignment w:val="baseline"/>
        <w:rPr>
          <w:rFonts w:ascii="Arial" w:hAnsi="Arial" w:cs="Arial"/>
        </w:rPr>
      </w:pPr>
    </w:p>
    <w:p w14:paraId="74B3CB22" w14:textId="77777777" w:rsidR="00A24BF5" w:rsidRPr="00B01850" w:rsidRDefault="00A24BF5" w:rsidP="00A24BF5">
      <w:pPr>
        <w:spacing w:after="0" w:line="240" w:lineRule="auto"/>
        <w:jc w:val="both"/>
        <w:textAlignment w:val="baseline"/>
        <w:rPr>
          <w:rFonts w:ascii="Arial" w:hAnsi="Arial" w:cs="Arial"/>
        </w:rPr>
      </w:pPr>
    </w:p>
    <w:p w14:paraId="7020B8DB" w14:textId="77777777" w:rsidR="00A24BF5" w:rsidRPr="00B01850" w:rsidRDefault="00A24BF5" w:rsidP="00A24BF5">
      <w:pPr>
        <w:spacing w:after="0" w:line="240" w:lineRule="auto"/>
        <w:jc w:val="both"/>
        <w:textAlignment w:val="baseline"/>
        <w:rPr>
          <w:rFonts w:ascii="Arial" w:hAnsi="Arial" w:cs="Arial"/>
        </w:rPr>
      </w:pPr>
    </w:p>
    <w:p w14:paraId="3DD9B824" w14:textId="77777777" w:rsidR="00A24BF5" w:rsidRPr="00B01850" w:rsidRDefault="00A24BF5" w:rsidP="00A24BF5">
      <w:pPr>
        <w:spacing w:after="0" w:line="240" w:lineRule="auto"/>
        <w:jc w:val="both"/>
        <w:textAlignment w:val="baseline"/>
        <w:rPr>
          <w:rFonts w:ascii="Arial" w:hAnsi="Arial" w:cs="Arial"/>
        </w:rPr>
      </w:pPr>
    </w:p>
    <w:p w14:paraId="3AA8A8BA" w14:textId="77777777" w:rsidR="00A24BF5" w:rsidRPr="00B01850" w:rsidRDefault="00A24BF5" w:rsidP="00A24BF5">
      <w:pPr>
        <w:spacing w:after="0" w:line="240" w:lineRule="auto"/>
        <w:jc w:val="both"/>
        <w:textAlignment w:val="baseline"/>
        <w:rPr>
          <w:rFonts w:ascii="Arial" w:hAnsi="Arial" w:cs="Arial"/>
        </w:rPr>
      </w:pPr>
    </w:p>
    <w:p w14:paraId="6B48338D" w14:textId="77777777" w:rsidR="00A24BF5" w:rsidRPr="00B01850" w:rsidRDefault="00A24BF5" w:rsidP="00A24BF5">
      <w:pPr>
        <w:spacing w:after="0" w:line="240" w:lineRule="auto"/>
        <w:jc w:val="both"/>
        <w:textAlignment w:val="baseline"/>
        <w:rPr>
          <w:rFonts w:ascii="Arial" w:hAnsi="Arial" w:cs="Arial"/>
        </w:rPr>
      </w:pPr>
    </w:p>
    <w:p w14:paraId="1CC33ABA" w14:textId="77777777" w:rsidR="00A24BF5" w:rsidRPr="00B01850" w:rsidRDefault="00A24BF5" w:rsidP="00A24BF5">
      <w:pPr>
        <w:spacing w:after="0" w:line="240" w:lineRule="auto"/>
        <w:jc w:val="both"/>
        <w:textAlignment w:val="baseline"/>
        <w:rPr>
          <w:rFonts w:ascii="Arial" w:hAnsi="Arial" w:cs="Arial"/>
        </w:rPr>
      </w:pPr>
    </w:p>
    <w:p w14:paraId="7F4D85C6" w14:textId="77777777" w:rsidR="00A24BF5" w:rsidRPr="00B01850" w:rsidRDefault="00A24BF5" w:rsidP="00A24BF5">
      <w:pPr>
        <w:spacing w:after="0" w:line="240" w:lineRule="auto"/>
        <w:jc w:val="both"/>
        <w:textAlignment w:val="baseline"/>
        <w:rPr>
          <w:rFonts w:ascii="Arial" w:hAnsi="Arial" w:cs="Arial"/>
        </w:rPr>
      </w:pPr>
    </w:p>
    <w:p w14:paraId="378DC585" w14:textId="77777777" w:rsidR="00A24BF5" w:rsidRPr="00B01850" w:rsidRDefault="00A24BF5" w:rsidP="00A24BF5">
      <w:pPr>
        <w:spacing w:after="0" w:line="240" w:lineRule="auto"/>
        <w:jc w:val="both"/>
        <w:textAlignment w:val="baseline"/>
        <w:rPr>
          <w:rFonts w:ascii="Arial" w:hAnsi="Arial" w:cs="Arial"/>
        </w:rPr>
      </w:pPr>
    </w:p>
    <w:p w14:paraId="13AEF046" w14:textId="77777777" w:rsidR="00A24BF5" w:rsidRPr="00B01850" w:rsidRDefault="00A24BF5" w:rsidP="00A24BF5">
      <w:pPr>
        <w:spacing w:after="0" w:line="240" w:lineRule="auto"/>
        <w:jc w:val="both"/>
        <w:textAlignment w:val="baseline"/>
        <w:rPr>
          <w:rFonts w:ascii="Arial" w:hAnsi="Arial" w:cs="Arial"/>
        </w:rPr>
      </w:pPr>
    </w:p>
    <w:p w14:paraId="0DE4E5DD" w14:textId="77777777" w:rsidR="00A24BF5" w:rsidRPr="00B01850" w:rsidRDefault="00A24BF5" w:rsidP="00A24BF5">
      <w:pPr>
        <w:spacing w:after="0" w:line="240" w:lineRule="auto"/>
        <w:jc w:val="both"/>
        <w:textAlignment w:val="baseline"/>
        <w:rPr>
          <w:rFonts w:ascii="Arial" w:hAnsi="Arial" w:cs="Arial"/>
        </w:rPr>
      </w:pPr>
    </w:p>
    <w:p w14:paraId="09C5D732" w14:textId="77777777" w:rsidR="00A24BF5" w:rsidRPr="00B01850" w:rsidRDefault="00A24BF5" w:rsidP="00A24BF5">
      <w:pPr>
        <w:spacing w:after="0" w:line="240" w:lineRule="auto"/>
        <w:jc w:val="both"/>
        <w:textAlignment w:val="baseline"/>
        <w:rPr>
          <w:rFonts w:ascii="Arial" w:hAnsi="Arial" w:cs="Arial"/>
        </w:rPr>
      </w:pPr>
    </w:p>
    <w:p w14:paraId="1561E64C" w14:textId="77777777" w:rsidR="00A24BF5" w:rsidRPr="00B01850" w:rsidRDefault="00A24BF5" w:rsidP="00A24BF5">
      <w:pPr>
        <w:spacing w:after="0" w:line="240" w:lineRule="auto"/>
        <w:jc w:val="both"/>
        <w:textAlignment w:val="baseline"/>
        <w:rPr>
          <w:rFonts w:ascii="Arial" w:hAnsi="Arial" w:cs="Arial"/>
        </w:rPr>
      </w:pPr>
    </w:p>
    <w:p w14:paraId="31EBA2E6" w14:textId="77777777" w:rsidR="00A24BF5" w:rsidRPr="00B01850" w:rsidRDefault="00A24BF5" w:rsidP="00A24BF5">
      <w:pPr>
        <w:spacing w:after="0" w:line="240" w:lineRule="auto"/>
        <w:jc w:val="both"/>
        <w:textAlignment w:val="baseline"/>
        <w:rPr>
          <w:rFonts w:ascii="Arial" w:hAnsi="Arial" w:cs="Arial"/>
        </w:rPr>
      </w:pPr>
    </w:p>
    <w:p w14:paraId="0368277C" w14:textId="77777777" w:rsidR="00A24BF5" w:rsidRPr="00B01850" w:rsidRDefault="00A24BF5" w:rsidP="00A24BF5">
      <w:pPr>
        <w:spacing w:after="0" w:line="240" w:lineRule="auto"/>
        <w:jc w:val="both"/>
        <w:textAlignment w:val="baseline"/>
        <w:rPr>
          <w:rFonts w:ascii="Arial" w:hAnsi="Arial" w:cs="Arial"/>
        </w:rPr>
      </w:pPr>
    </w:p>
    <w:p w14:paraId="465ABADC" w14:textId="77777777" w:rsidR="00A24BF5" w:rsidRPr="00B01850" w:rsidRDefault="00A24BF5" w:rsidP="00A24BF5">
      <w:pPr>
        <w:spacing w:after="0" w:line="240" w:lineRule="auto"/>
        <w:jc w:val="both"/>
        <w:textAlignment w:val="baseline"/>
        <w:rPr>
          <w:rFonts w:ascii="Arial" w:hAnsi="Arial" w:cs="Arial"/>
        </w:rPr>
      </w:pPr>
    </w:p>
    <w:p w14:paraId="443DFA37" w14:textId="77777777" w:rsidR="00A24BF5" w:rsidRPr="00B01850" w:rsidRDefault="00A24BF5" w:rsidP="00A24BF5">
      <w:pPr>
        <w:spacing w:after="0" w:line="240" w:lineRule="auto"/>
        <w:jc w:val="both"/>
        <w:textAlignment w:val="baseline"/>
        <w:rPr>
          <w:rFonts w:ascii="Arial" w:hAnsi="Arial" w:cs="Arial"/>
        </w:rPr>
      </w:pPr>
    </w:p>
    <w:p w14:paraId="6CA3AFAE" w14:textId="77777777" w:rsidR="00A24BF5" w:rsidRPr="00B01850" w:rsidRDefault="00A24BF5" w:rsidP="00A24BF5">
      <w:pPr>
        <w:spacing w:after="0" w:line="240" w:lineRule="auto"/>
        <w:jc w:val="both"/>
        <w:textAlignment w:val="baseline"/>
        <w:rPr>
          <w:rFonts w:ascii="Arial" w:hAnsi="Arial" w:cs="Arial"/>
        </w:rPr>
      </w:pPr>
    </w:p>
    <w:p w14:paraId="760C9966" w14:textId="77777777" w:rsidR="00A24BF5" w:rsidRPr="00B01850" w:rsidRDefault="00A24BF5" w:rsidP="00A24BF5">
      <w:pPr>
        <w:spacing w:after="0" w:line="240" w:lineRule="auto"/>
        <w:jc w:val="both"/>
        <w:textAlignment w:val="baseline"/>
        <w:rPr>
          <w:rFonts w:ascii="Arial" w:hAnsi="Arial" w:cs="Arial"/>
        </w:rPr>
      </w:pPr>
    </w:p>
    <w:p w14:paraId="3F1ACA5F" w14:textId="77777777" w:rsidR="00A24BF5" w:rsidRPr="00B01850" w:rsidRDefault="00A24BF5" w:rsidP="00A24BF5">
      <w:pPr>
        <w:spacing w:after="0" w:line="240" w:lineRule="auto"/>
        <w:jc w:val="both"/>
        <w:textAlignment w:val="baseline"/>
        <w:rPr>
          <w:rFonts w:ascii="Arial" w:hAnsi="Arial" w:cs="Arial"/>
          <w:b/>
          <w:bCs/>
        </w:rPr>
      </w:pPr>
      <w:bookmarkStart w:id="25" w:name="_Toc44324180"/>
    </w:p>
    <w:p w14:paraId="4A3A853D" w14:textId="1E4E5B8C" w:rsidR="00A24BF5" w:rsidRPr="00B01850" w:rsidRDefault="00A24BF5" w:rsidP="00A24BF5">
      <w:pPr>
        <w:spacing w:after="0" w:line="240" w:lineRule="auto"/>
        <w:jc w:val="both"/>
        <w:textAlignment w:val="baseline"/>
        <w:rPr>
          <w:rFonts w:ascii="Arial" w:hAnsi="Arial" w:cs="Arial"/>
        </w:rPr>
      </w:pPr>
      <w:r w:rsidRPr="00B01850">
        <w:rPr>
          <w:rFonts w:ascii="Arial" w:hAnsi="Arial" w:cs="Arial"/>
          <w:b/>
          <w:bCs/>
        </w:rPr>
        <w:t>Carte 3.8 :</w:t>
      </w:r>
      <w:r w:rsidRPr="00B01850">
        <w:rPr>
          <w:rFonts w:ascii="Arial" w:hAnsi="Arial" w:cs="Arial"/>
        </w:rPr>
        <w:t xml:space="preserve"> Carte de localisation des risques de sécheresse en Guinée.</w:t>
      </w:r>
      <w:bookmarkEnd w:id="25"/>
    </w:p>
    <w:p w14:paraId="43233C11" w14:textId="77777777" w:rsidR="00A24BF5" w:rsidRPr="00B01850" w:rsidRDefault="00A24BF5" w:rsidP="00A24BF5">
      <w:pPr>
        <w:spacing w:after="0" w:line="240" w:lineRule="auto"/>
        <w:jc w:val="both"/>
        <w:textAlignment w:val="baseline"/>
        <w:rPr>
          <w:rFonts w:ascii="Arial" w:hAnsi="Arial" w:cs="Arial"/>
        </w:rPr>
      </w:pPr>
    </w:p>
    <w:p w14:paraId="65B0418E" w14:textId="39C443B3" w:rsidR="00E87706" w:rsidRPr="00B01850" w:rsidRDefault="00E87706" w:rsidP="00A24BF5">
      <w:pPr>
        <w:spacing w:after="0" w:line="240" w:lineRule="auto"/>
        <w:jc w:val="both"/>
        <w:textAlignment w:val="baseline"/>
        <w:rPr>
          <w:rFonts w:ascii="Arial" w:hAnsi="Arial" w:cs="Arial"/>
        </w:rPr>
      </w:pPr>
      <w:r w:rsidRPr="00B01850">
        <w:rPr>
          <w:rFonts w:ascii="Arial" w:hAnsi="Arial" w:cs="Arial"/>
        </w:rPr>
        <w:t>L’analyse de cette carte permet de constater que le risque de sécheresse est fréquent dans 12 Préfectures (35,29% des 64 Préfectures incluant Conakry), peu fréquent dans neuf (09) Préfectures (26,47%) et non signalée dans 13 Préfectures (38,24%).</w:t>
      </w:r>
    </w:p>
    <w:p w14:paraId="0274F779" w14:textId="63DFA375" w:rsidR="00E87706" w:rsidRPr="00B01850" w:rsidRDefault="00E87706" w:rsidP="00A24BF5">
      <w:pPr>
        <w:spacing w:before="120" w:after="0" w:line="240" w:lineRule="auto"/>
        <w:jc w:val="both"/>
        <w:textAlignment w:val="baseline"/>
        <w:rPr>
          <w:rFonts w:ascii="Arial" w:hAnsi="Arial" w:cs="Arial"/>
        </w:rPr>
      </w:pPr>
      <w:r w:rsidRPr="00B01850">
        <w:rPr>
          <w:rFonts w:ascii="Arial" w:hAnsi="Arial" w:cs="Arial"/>
        </w:rPr>
        <w:t>En Guinée, comme ailleurs dans le monde, on distingue trois types de sécheresse suivant les situations :</w:t>
      </w:r>
    </w:p>
    <w:p w14:paraId="5C469BF8" w14:textId="77777777" w:rsidR="00E87706" w:rsidRPr="00B01850" w:rsidRDefault="00E87706" w:rsidP="00214DCC">
      <w:pPr>
        <w:pStyle w:val="ListParagraph"/>
        <w:numPr>
          <w:ilvl w:val="0"/>
          <w:numId w:val="57"/>
        </w:numPr>
        <w:jc w:val="both"/>
        <w:textAlignment w:val="baseline"/>
        <w:rPr>
          <w:rFonts w:ascii="Arial" w:hAnsi="Arial" w:cs="Arial"/>
        </w:rPr>
      </w:pPr>
      <w:proofErr w:type="gramStart"/>
      <w:r w:rsidRPr="00B01850">
        <w:rPr>
          <w:rFonts w:ascii="Arial" w:hAnsi="Arial" w:cs="Arial"/>
        </w:rPr>
        <w:t>la</w:t>
      </w:r>
      <w:proofErr w:type="gramEnd"/>
      <w:r w:rsidRPr="00B01850">
        <w:rPr>
          <w:rFonts w:ascii="Arial" w:hAnsi="Arial" w:cs="Arial"/>
        </w:rPr>
        <w:t xml:space="preserve"> sécheresse météorologique ou atmosphérique qui est liée à la pénurie de précipitations sur une période </w:t>
      </w:r>
      <w:proofErr w:type="gramStart"/>
      <w:r w:rsidRPr="00B01850">
        <w:rPr>
          <w:rFonts w:ascii="Arial" w:hAnsi="Arial" w:cs="Arial"/>
        </w:rPr>
        <w:t>donnée;</w:t>
      </w:r>
      <w:proofErr w:type="gramEnd"/>
    </w:p>
    <w:p w14:paraId="1BDA7016" w14:textId="77777777" w:rsidR="00E87706" w:rsidRPr="00B01850" w:rsidRDefault="00E87706" w:rsidP="00214DCC">
      <w:pPr>
        <w:pStyle w:val="ListParagraph"/>
        <w:numPr>
          <w:ilvl w:val="0"/>
          <w:numId w:val="57"/>
        </w:numPr>
        <w:jc w:val="both"/>
        <w:textAlignment w:val="baseline"/>
        <w:rPr>
          <w:rFonts w:ascii="Arial" w:hAnsi="Arial" w:cs="Arial"/>
        </w:rPr>
      </w:pPr>
      <w:proofErr w:type="gramStart"/>
      <w:r w:rsidRPr="00B01850">
        <w:rPr>
          <w:rFonts w:ascii="Arial" w:hAnsi="Arial" w:cs="Arial"/>
        </w:rPr>
        <w:t>la</w:t>
      </w:r>
      <w:proofErr w:type="gramEnd"/>
      <w:r w:rsidRPr="00B01850">
        <w:rPr>
          <w:rFonts w:ascii="Arial" w:hAnsi="Arial" w:cs="Arial"/>
        </w:rPr>
        <w:t xml:space="preserve"> sécheresse agricole qui est fonction du taux d'humidité du sol à un mètre de profondeur. Cette sécheresse dépend des précipitations, mais aussi de la nature du sol, des pratiques culturales et du type de plante. Ce type de sécheresse a des effets marquants sur la </w:t>
      </w:r>
      <w:proofErr w:type="gramStart"/>
      <w:r w:rsidRPr="00B01850">
        <w:rPr>
          <w:rFonts w:ascii="Arial" w:hAnsi="Arial" w:cs="Arial"/>
        </w:rPr>
        <w:t>végétation;</w:t>
      </w:r>
      <w:proofErr w:type="gramEnd"/>
    </w:p>
    <w:p w14:paraId="260AB131" w14:textId="2C757870" w:rsidR="00E87706" w:rsidRPr="00B01850" w:rsidRDefault="00E87706" w:rsidP="00214DCC">
      <w:pPr>
        <w:pStyle w:val="ListParagraph"/>
        <w:numPr>
          <w:ilvl w:val="0"/>
          <w:numId w:val="57"/>
        </w:numPr>
        <w:spacing w:after="120"/>
        <w:contextualSpacing w:val="0"/>
        <w:jc w:val="both"/>
        <w:textAlignment w:val="baseline"/>
        <w:rPr>
          <w:rFonts w:ascii="Arial" w:hAnsi="Arial" w:cs="Arial"/>
        </w:rPr>
      </w:pPr>
      <w:proofErr w:type="gramStart"/>
      <w:r w:rsidRPr="00B01850">
        <w:rPr>
          <w:rFonts w:ascii="Arial" w:hAnsi="Arial" w:cs="Arial"/>
        </w:rPr>
        <w:t>la</w:t>
      </w:r>
      <w:proofErr w:type="gramEnd"/>
      <w:r w:rsidRPr="00B01850">
        <w:rPr>
          <w:rFonts w:ascii="Arial" w:hAnsi="Arial" w:cs="Arial"/>
        </w:rPr>
        <w:t xml:space="preserve"> sécheresse hydrologique qui se produit quand les réserves en eau des sols (aquifères) et les cours d'eau tombent en dessous de la moyenne. Cela peut être dû à une sécheresse </w:t>
      </w:r>
      <w:r w:rsidRPr="00B01850">
        <w:rPr>
          <w:rFonts w:ascii="Arial" w:hAnsi="Arial" w:cs="Arial"/>
        </w:rPr>
        <w:lastRenderedPageBreak/>
        <w:t>météorologique particulièrement longue et intense, mais aussi à une surexploitation des ressources en eau.</w:t>
      </w:r>
    </w:p>
    <w:p w14:paraId="429F6D94" w14:textId="75F83ADB" w:rsidR="00E87706" w:rsidRPr="00B01850" w:rsidRDefault="00E87706" w:rsidP="00A24BF5">
      <w:pPr>
        <w:spacing w:line="240" w:lineRule="auto"/>
        <w:jc w:val="both"/>
        <w:textAlignment w:val="baseline"/>
        <w:rPr>
          <w:rFonts w:ascii="Arial" w:hAnsi="Arial" w:cs="Arial"/>
        </w:rPr>
      </w:pPr>
      <w:r w:rsidRPr="00B01850">
        <w:rPr>
          <w:rFonts w:ascii="Arial" w:hAnsi="Arial" w:cs="Arial"/>
        </w:rPr>
        <w:t>Dans toutes les régions naturelles de la Guinée, la sécheresse devient de plus en plus récurrente et prolongée, affectant négativement les récoltes, le bétail, la faune sauvage, les ressources en eau et l’économie des ménages.</w:t>
      </w:r>
    </w:p>
    <w:p w14:paraId="5A2C9B7E" w14:textId="59F51CE4" w:rsidR="00E87706" w:rsidRPr="00B01850" w:rsidRDefault="00E87706" w:rsidP="00214DCC">
      <w:pPr>
        <w:pStyle w:val="ListParagraph"/>
        <w:numPr>
          <w:ilvl w:val="0"/>
          <w:numId w:val="94"/>
        </w:numPr>
        <w:textAlignment w:val="baseline"/>
        <w:rPr>
          <w:rFonts w:ascii="Arial" w:hAnsi="Arial" w:cs="Arial"/>
          <w:b/>
          <w:bCs/>
        </w:rPr>
      </w:pPr>
      <w:bookmarkStart w:id="26" w:name="_Toc44289836"/>
      <w:r w:rsidRPr="00B01850">
        <w:rPr>
          <w:rFonts w:ascii="Arial" w:hAnsi="Arial" w:cs="Arial"/>
          <w:b/>
          <w:bCs/>
        </w:rPr>
        <w:t>Tremblement de terre</w:t>
      </w:r>
      <w:bookmarkEnd w:id="26"/>
    </w:p>
    <w:p w14:paraId="0AFC050F" w14:textId="73AD3340" w:rsidR="00E87706" w:rsidRPr="00B01850" w:rsidRDefault="00E87706" w:rsidP="00A24BF5">
      <w:pPr>
        <w:spacing w:after="0" w:line="240" w:lineRule="auto"/>
        <w:jc w:val="both"/>
        <w:rPr>
          <w:rFonts w:ascii="Arial" w:hAnsi="Arial" w:cs="Arial"/>
        </w:rPr>
      </w:pPr>
      <w:r w:rsidRPr="00B01850">
        <w:rPr>
          <w:rFonts w:ascii="Arial" w:hAnsi="Arial" w:cs="Arial"/>
        </w:rPr>
        <w:t xml:space="preserve">Les tremblements de terre comptent parmi les catastrophes naturelles les plus fréquentes sur terre. Ils représentent un grave danger parce qu'ils sont généralement imprévisibles. Bien qu'un tremblement de terre ne dure souvent que quelques secondes, ses conséquences sont considérables. Les vibrations, dévastatrices, tuent souvent des milliers de personnes. Actuellement, des légères secousses sont observées par les populations dans la Préfecture de Mali. Les dégâts matériels sont également très importants, avec des maisons endommagées ou même détruites. Les infrastructures sont souvent touchées </w:t>
      </w:r>
      <w:proofErr w:type="gramStart"/>
      <w:r w:rsidRPr="00B01850">
        <w:rPr>
          <w:rFonts w:ascii="Arial" w:hAnsi="Arial" w:cs="Arial"/>
        </w:rPr>
        <w:t>comme par exemple</w:t>
      </w:r>
      <w:proofErr w:type="gramEnd"/>
      <w:r w:rsidRPr="00B01850">
        <w:rPr>
          <w:rFonts w:ascii="Arial" w:hAnsi="Arial" w:cs="Arial"/>
        </w:rPr>
        <w:t xml:space="preserve"> les sources d’eau, ce qui constitue un véritable danger dans la mesure où cela affecte l’approvisionnement en eau. La force d'un tremblement de terre peut être déterminée à l'aide de l'échelle de Richter. Selon la région et l'ampleur, les tremblements de terre peuvent avoir de graves conséquences.</w:t>
      </w:r>
    </w:p>
    <w:p w14:paraId="0FB9C831" w14:textId="31FCAB6F" w:rsidR="00E87706" w:rsidRPr="00B01850" w:rsidRDefault="00E87706" w:rsidP="00A24BF5">
      <w:pPr>
        <w:spacing w:after="0" w:line="240" w:lineRule="auto"/>
        <w:jc w:val="both"/>
        <w:textAlignment w:val="baseline"/>
        <w:rPr>
          <w:rFonts w:ascii="Arial" w:hAnsi="Arial" w:cs="Arial"/>
        </w:rPr>
      </w:pPr>
      <w:r w:rsidRPr="00B01850">
        <w:rPr>
          <w:rFonts w:ascii="Arial" w:hAnsi="Arial" w:cs="Arial"/>
        </w:rPr>
        <w:t>En Guinée, de nombreuses manifestations sismiques ont été enregistrées ces dernières décennies. Parmi ces secousses, le séisme du 22 décembre 1983 a été plus destructeur, faisant plus de 300 morts et plus de 10.000 personnes touchées.</w:t>
      </w:r>
    </w:p>
    <w:p w14:paraId="2328D7BF" w14:textId="31739327" w:rsidR="00E87706" w:rsidRPr="00B01850" w:rsidRDefault="00E87706" w:rsidP="00A24BF5">
      <w:pPr>
        <w:spacing w:after="0" w:line="240" w:lineRule="auto"/>
        <w:jc w:val="both"/>
        <w:rPr>
          <w:rFonts w:ascii="Arial" w:hAnsi="Arial" w:cs="Arial"/>
        </w:rPr>
      </w:pPr>
      <w:r w:rsidRPr="00B01850">
        <w:rPr>
          <w:rFonts w:ascii="Arial" w:hAnsi="Arial" w:cs="Arial"/>
        </w:rPr>
        <w:t>À rappeler, que la Sous-préfecture de Koumbia est considérée comme une zone sismique par excellence depuis le 23 décembre 1983, date à laquelle la Guinée a connu son premier tremblement de terre d’une forte magnitude et qui avait enregistré des pertes en vie humaine et plusieurs dégâts matériels. Et encore, les secousses continuent de se produire non seulement à Koumbia mais aussi sur le littoral et à l’extrême nord du massif du Fouta-Djalon (Mali, tout récemment).</w:t>
      </w:r>
    </w:p>
    <w:p w14:paraId="70E98011" w14:textId="15748C04" w:rsidR="00E87706" w:rsidRPr="00B01850" w:rsidRDefault="00E87706" w:rsidP="00214DCC">
      <w:pPr>
        <w:pStyle w:val="ListParagraph"/>
        <w:numPr>
          <w:ilvl w:val="0"/>
          <w:numId w:val="95"/>
        </w:numPr>
        <w:spacing w:before="120" w:after="120"/>
        <w:textAlignment w:val="baseline"/>
        <w:rPr>
          <w:rFonts w:ascii="Arial" w:hAnsi="Arial" w:cs="Arial"/>
          <w:b/>
          <w:bCs/>
        </w:rPr>
      </w:pPr>
      <w:bookmarkStart w:id="27" w:name="_Toc44289837"/>
      <w:r w:rsidRPr="00B01850">
        <w:rPr>
          <w:rFonts w:ascii="Arial" w:hAnsi="Arial" w:cs="Arial"/>
          <w:b/>
          <w:bCs/>
        </w:rPr>
        <w:t>Vague de chaleur</w:t>
      </w:r>
      <w:bookmarkEnd w:id="27"/>
    </w:p>
    <w:p w14:paraId="7C3D4949" w14:textId="73C6FE90" w:rsidR="00A24BF5" w:rsidRPr="00B01850" w:rsidRDefault="00E87706" w:rsidP="00A24BF5">
      <w:pPr>
        <w:spacing w:after="0" w:line="240" w:lineRule="auto"/>
        <w:jc w:val="both"/>
        <w:textAlignment w:val="baseline"/>
        <w:rPr>
          <w:rFonts w:ascii="Arial" w:hAnsi="Arial" w:cs="Arial"/>
        </w:rPr>
      </w:pPr>
      <w:r w:rsidRPr="00B01850">
        <w:rPr>
          <w:rFonts w:ascii="Arial" w:hAnsi="Arial" w:cs="Arial"/>
        </w:rPr>
        <w:t>Les vagues de chaleur font partie des extrêmes climatiques les plus préoccupants au regard de la vulnérabilité de nos sociétés et de l'évolution attendue de leur fréquence et leur intensité au XXI</w:t>
      </w:r>
      <w:r w:rsidRPr="00B01850">
        <w:rPr>
          <w:rFonts w:ascii="Arial" w:hAnsi="Arial" w:cs="Arial"/>
          <w:vertAlign w:val="superscript"/>
        </w:rPr>
        <w:t>e</w:t>
      </w:r>
      <w:r w:rsidRPr="00B01850">
        <w:rPr>
          <w:rFonts w:ascii="Arial" w:hAnsi="Arial" w:cs="Arial"/>
        </w:rPr>
        <w:t> siècle. Les vagues de chaleur correspondent à des températures anormalement élevées, observées pendant plusieurs jours consécutifs. Mais il n'existe pas de définition universelle du phénomène : les niveaux de température et la durée de l'épisode qui permettent de caractériser une vague de chaleur varient selon les régions du monde et les domaines considérés (caractérisation d'un point de vue climatologique, activité de recherche, dispositif de vigilance météorologique). Les vagues de chaleur affectent négativement la santé humaine et le phénomène s’amplifie davantage en Guinée ces dernières décennies.</w:t>
      </w:r>
    </w:p>
    <w:p w14:paraId="552DC3AE" w14:textId="3888CDF4" w:rsidR="00E87706" w:rsidRPr="00B01850" w:rsidRDefault="00E87706" w:rsidP="00A24BF5">
      <w:pPr>
        <w:spacing w:line="240" w:lineRule="auto"/>
        <w:jc w:val="both"/>
        <w:textAlignment w:val="baseline"/>
        <w:rPr>
          <w:rFonts w:ascii="Arial" w:hAnsi="Arial" w:cs="Arial"/>
        </w:rPr>
      </w:pPr>
      <w:r w:rsidRPr="00B01850">
        <w:rPr>
          <w:rFonts w:ascii="Arial" w:hAnsi="Arial" w:cs="Arial"/>
        </w:rPr>
        <w:t>Ces derniers temps la Guinée a été également éprouvée par une récurrence de vague de chaleur particulièrement pendant les cinq dernières années. Une étude faite pour la période 2012-2020 pour Conakry montre par exemple qu’en 2020 la température maximale pour la plupart des cas a été plus élevée que celle de 2012 (cf. figure 3.1).</w:t>
      </w:r>
    </w:p>
    <w:p w14:paraId="57B8C925" w14:textId="7D91BB24" w:rsidR="00E87706" w:rsidRPr="00B01850" w:rsidRDefault="00E87706" w:rsidP="00E87706">
      <w:pPr>
        <w:pStyle w:val="ListParagraph"/>
        <w:spacing w:line="240" w:lineRule="auto"/>
        <w:textAlignment w:val="baseline"/>
        <w:rPr>
          <w:rFonts w:ascii="Arial" w:hAnsi="Arial" w:cs="Arial"/>
        </w:rPr>
      </w:pPr>
    </w:p>
    <w:p w14:paraId="67096F99" w14:textId="23FD581E" w:rsidR="00E87706" w:rsidRPr="00B01850" w:rsidRDefault="00E87706" w:rsidP="00E87706">
      <w:pPr>
        <w:pStyle w:val="ListParagraph"/>
        <w:spacing w:line="240" w:lineRule="auto"/>
        <w:jc w:val="both"/>
        <w:textAlignment w:val="baseline"/>
        <w:rPr>
          <w:rFonts w:ascii="Arial" w:hAnsi="Arial" w:cs="Arial"/>
        </w:rPr>
      </w:pPr>
    </w:p>
    <w:p w14:paraId="069EED70" w14:textId="3D792E07" w:rsidR="00A24BF5" w:rsidRPr="00B01850" w:rsidRDefault="00A24BF5">
      <w:pPr>
        <w:rPr>
          <w:rFonts w:ascii="Arial" w:hAnsi="Arial" w:cs="Arial"/>
          <w:b/>
          <w:bCs/>
        </w:rPr>
      </w:pPr>
      <w:bookmarkStart w:id="28" w:name="_Toc44324181"/>
      <w:r w:rsidRPr="00B01850">
        <w:rPr>
          <w:rFonts w:ascii="Arial" w:hAnsi="Arial" w:cs="Arial"/>
          <w:b/>
          <w:bCs/>
        </w:rPr>
        <w:br w:type="page"/>
      </w:r>
    </w:p>
    <w:p w14:paraId="51705F6F" w14:textId="5AC55E65" w:rsidR="00A24BF5" w:rsidRPr="00B01850" w:rsidRDefault="00A24BF5" w:rsidP="00A24BF5">
      <w:pPr>
        <w:jc w:val="both"/>
        <w:textAlignment w:val="baseline"/>
        <w:rPr>
          <w:rFonts w:ascii="Arial" w:hAnsi="Arial" w:cs="Arial"/>
          <w:b/>
          <w:bCs/>
        </w:rPr>
      </w:pPr>
      <w:r w:rsidRPr="00B01850">
        <w:rPr>
          <w:rFonts w:ascii="Arial" w:hAnsi="Arial" w:cs="Arial"/>
          <w:noProof/>
        </w:rPr>
        <w:lastRenderedPageBreak/>
        <w:drawing>
          <wp:anchor distT="0" distB="0" distL="114300" distR="114300" simplePos="0" relativeHeight="251658247" behindDoc="0" locked="0" layoutInCell="1" allowOverlap="1" wp14:anchorId="57206348" wp14:editId="70E72E81">
            <wp:simplePos x="0" y="0"/>
            <wp:positionH relativeFrom="margin">
              <wp:align>right</wp:align>
            </wp:positionH>
            <wp:positionV relativeFrom="paragraph">
              <wp:posOffset>5461</wp:posOffset>
            </wp:positionV>
            <wp:extent cx="5943600" cy="2785872"/>
            <wp:effectExtent l="0" t="0" r="0" b="0"/>
            <wp:wrapNone/>
            <wp:docPr id="1311087676" name="Picture 2"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87676" name="Picture 2" descr="A screenshot of a computer&#10;&#10;AI-generated content may be incorrect."/>
                    <pic:cNvPicPr>
                      <a:picLocks noChangeAspect="1" noChangeArrowheads="1"/>
                    </pic:cNvPicPr>
                  </pic:nvPicPr>
                  <pic:blipFill>
                    <a:blip r:embed="rId29">
                      <a:extLst>
                        <a:ext uri="{28A0092B-C50C-407E-A947-70E740481C1C}">
                          <a14:useLocalDpi xmlns:a14="http://schemas.microsoft.com/office/drawing/2010/main" val="0"/>
                        </a:ext>
                      </a:extLst>
                    </a:blip>
                    <a:srcRect l="3963" t="37712" r="28317" b="17752"/>
                    <a:stretch>
                      <a:fillRect/>
                    </a:stretch>
                  </pic:blipFill>
                  <pic:spPr bwMode="auto">
                    <a:xfrm>
                      <a:off x="0" y="0"/>
                      <a:ext cx="5945249" cy="27866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890031" w14:textId="77777777" w:rsidR="00A24BF5" w:rsidRPr="00B01850" w:rsidRDefault="00A24BF5" w:rsidP="00A24BF5">
      <w:pPr>
        <w:jc w:val="both"/>
        <w:textAlignment w:val="baseline"/>
        <w:rPr>
          <w:rFonts w:ascii="Arial" w:hAnsi="Arial" w:cs="Arial"/>
          <w:b/>
          <w:bCs/>
        </w:rPr>
      </w:pPr>
    </w:p>
    <w:p w14:paraId="41BD6704" w14:textId="77777777" w:rsidR="00A24BF5" w:rsidRPr="00B01850" w:rsidRDefault="00A24BF5" w:rsidP="00A24BF5">
      <w:pPr>
        <w:jc w:val="both"/>
        <w:textAlignment w:val="baseline"/>
        <w:rPr>
          <w:rFonts w:ascii="Arial" w:hAnsi="Arial" w:cs="Arial"/>
          <w:b/>
          <w:bCs/>
        </w:rPr>
      </w:pPr>
    </w:p>
    <w:p w14:paraId="38BF8113" w14:textId="77777777" w:rsidR="00A24BF5" w:rsidRPr="00B01850" w:rsidRDefault="00A24BF5" w:rsidP="00A24BF5">
      <w:pPr>
        <w:jc w:val="both"/>
        <w:textAlignment w:val="baseline"/>
        <w:rPr>
          <w:rFonts w:ascii="Arial" w:hAnsi="Arial" w:cs="Arial"/>
          <w:b/>
          <w:bCs/>
        </w:rPr>
      </w:pPr>
    </w:p>
    <w:p w14:paraId="7460B801" w14:textId="77777777" w:rsidR="00A24BF5" w:rsidRPr="00B01850" w:rsidRDefault="00A24BF5" w:rsidP="00A24BF5">
      <w:pPr>
        <w:jc w:val="both"/>
        <w:textAlignment w:val="baseline"/>
        <w:rPr>
          <w:rFonts w:ascii="Arial" w:hAnsi="Arial" w:cs="Arial"/>
          <w:b/>
          <w:bCs/>
        </w:rPr>
      </w:pPr>
    </w:p>
    <w:p w14:paraId="6E17434E" w14:textId="77777777" w:rsidR="00A24BF5" w:rsidRPr="00B01850" w:rsidRDefault="00A24BF5" w:rsidP="00A24BF5">
      <w:pPr>
        <w:jc w:val="both"/>
        <w:textAlignment w:val="baseline"/>
        <w:rPr>
          <w:rFonts w:ascii="Arial" w:hAnsi="Arial" w:cs="Arial"/>
          <w:b/>
          <w:bCs/>
        </w:rPr>
      </w:pPr>
    </w:p>
    <w:p w14:paraId="35A979AE" w14:textId="77777777" w:rsidR="00A24BF5" w:rsidRPr="00B01850" w:rsidRDefault="00A24BF5" w:rsidP="00A24BF5">
      <w:pPr>
        <w:jc w:val="both"/>
        <w:textAlignment w:val="baseline"/>
        <w:rPr>
          <w:rFonts w:ascii="Arial" w:hAnsi="Arial" w:cs="Arial"/>
          <w:b/>
          <w:bCs/>
        </w:rPr>
      </w:pPr>
    </w:p>
    <w:p w14:paraId="42FD29FA" w14:textId="77777777" w:rsidR="00A24BF5" w:rsidRPr="00B01850" w:rsidRDefault="00A24BF5" w:rsidP="00A24BF5">
      <w:pPr>
        <w:jc w:val="both"/>
        <w:textAlignment w:val="baseline"/>
        <w:rPr>
          <w:rFonts w:ascii="Arial" w:hAnsi="Arial" w:cs="Arial"/>
          <w:b/>
          <w:bCs/>
        </w:rPr>
      </w:pPr>
    </w:p>
    <w:p w14:paraId="254A245A" w14:textId="77777777" w:rsidR="00A24BF5" w:rsidRPr="00B01850" w:rsidRDefault="00A24BF5" w:rsidP="00A24BF5">
      <w:pPr>
        <w:jc w:val="both"/>
        <w:textAlignment w:val="baseline"/>
        <w:rPr>
          <w:rFonts w:ascii="Arial" w:hAnsi="Arial" w:cs="Arial"/>
          <w:b/>
          <w:bCs/>
        </w:rPr>
      </w:pPr>
    </w:p>
    <w:p w14:paraId="700B34A5" w14:textId="688083B8" w:rsidR="00E87706" w:rsidRPr="00B01850" w:rsidRDefault="00E87706" w:rsidP="00A24BF5">
      <w:pPr>
        <w:jc w:val="both"/>
        <w:textAlignment w:val="baseline"/>
        <w:rPr>
          <w:rFonts w:ascii="Arial" w:hAnsi="Arial" w:cs="Arial"/>
        </w:rPr>
      </w:pPr>
      <w:r w:rsidRPr="00B01850">
        <w:rPr>
          <w:rFonts w:ascii="Arial" w:hAnsi="Arial" w:cs="Arial"/>
          <w:b/>
          <w:bCs/>
        </w:rPr>
        <w:t>Figure 3.1 :</w:t>
      </w:r>
      <w:r w:rsidRPr="00B01850">
        <w:rPr>
          <w:rFonts w:ascii="Arial" w:hAnsi="Arial" w:cs="Arial"/>
        </w:rPr>
        <w:t xml:space="preserve"> Evolution de la température maximale journalière de l’air en Guinée de 2012 à 2020.</w:t>
      </w:r>
      <w:bookmarkEnd w:id="28"/>
    </w:p>
    <w:p w14:paraId="17E6CD68" w14:textId="77777777" w:rsidR="00E87706" w:rsidRPr="00B01850" w:rsidRDefault="00E87706" w:rsidP="00214DCC">
      <w:pPr>
        <w:pStyle w:val="ListParagraph"/>
        <w:numPr>
          <w:ilvl w:val="0"/>
          <w:numId w:val="96"/>
        </w:numPr>
        <w:spacing w:before="120" w:after="120"/>
        <w:textAlignment w:val="baseline"/>
        <w:rPr>
          <w:rFonts w:ascii="Arial" w:hAnsi="Arial" w:cs="Arial"/>
          <w:b/>
          <w:bCs/>
        </w:rPr>
      </w:pPr>
      <w:bookmarkStart w:id="29" w:name="_Toc44289838"/>
      <w:r w:rsidRPr="00B01850">
        <w:rPr>
          <w:rFonts w:ascii="Arial" w:hAnsi="Arial" w:cs="Arial"/>
          <w:b/>
          <w:bCs/>
        </w:rPr>
        <w:t>Invasion acridienne</w:t>
      </w:r>
      <w:bookmarkEnd w:id="29"/>
    </w:p>
    <w:p w14:paraId="4446DFCA" w14:textId="77777777" w:rsidR="00FB7828" w:rsidRPr="00B01850" w:rsidRDefault="00E87706" w:rsidP="006F729E">
      <w:pPr>
        <w:spacing w:after="0" w:line="240" w:lineRule="auto"/>
        <w:jc w:val="both"/>
        <w:textAlignment w:val="baseline"/>
        <w:rPr>
          <w:rFonts w:ascii="Arial" w:hAnsi="Arial" w:cs="Arial"/>
        </w:rPr>
      </w:pPr>
      <w:r w:rsidRPr="00B01850">
        <w:rPr>
          <w:rFonts w:ascii="Arial" w:hAnsi="Arial" w:cs="Arial"/>
        </w:rPr>
        <w:t xml:space="preserve">Les acridiens constituent une famille d’insectes du type des sauterelles ou criquets, appartenant au sous-ordre des cérifères, « comprenant les </w:t>
      </w:r>
      <w:proofErr w:type="spellStart"/>
      <w:r w:rsidRPr="00B01850">
        <w:rPr>
          <w:rFonts w:ascii="Arial" w:hAnsi="Arial" w:cs="Arial"/>
        </w:rPr>
        <w:t>Orthopéroïdes</w:t>
      </w:r>
      <w:proofErr w:type="spellEnd"/>
      <w:r w:rsidRPr="00B01850">
        <w:rPr>
          <w:rFonts w:ascii="Arial" w:hAnsi="Arial" w:cs="Arial"/>
        </w:rPr>
        <w:t xml:space="preserve"> dont les antennes sont courtes, à articles peu nombreux et bien séparés. L’oviscapte des femelles est formé par quatre valves courtes, en forme de crochets divergents » (Encyclopédie de la pléiade, Zoologie, 2, les Arthropodes, 1963, p. 683).</w:t>
      </w:r>
    </w:p>
    <w:p w14:paraId="0A889E23" w14:textId="706A979A" w:rsidR="00E87706" w:rsidRPr="00B01850" w:rsidRDefault="00E87706" w:rsidP="00FB7828">
      <w:pPr>
        <w:spacing w:after="0" w:line="240" w:lineRule="auto"/>
        <w:jc w:val="both"/>
        <w:textAlignment w:val="baseline"/>
        <w:rPr>
          <w:rFonts w:ascii="Arial" w:hAnsi="Arial" w:cs="Arial"/>
        </w:rPr>
      </w:pPr>
      <w:r w:rsidRPr="00B01850">
        <w:rPr>
          <w:rFonts w:ascii="Arial" w:hAnsi="Arial" w:cs="Arial"/>
        </w:rPr>
        <w:t>Les ailés du Criquet migrateur malgache peuvent se multiplier rapidement et former des groupes et des essaims très mobiles. Un essaim, constitué de millions de criquets, peut dévorer jusqu’à 100 000 tonnes de végétation verte par jour. C'est un risque de sécurité alimentaire important qu'il ne faut pas prendre à la légère, il ne faut pas sous-estimer ce criquet-là. Avant les années 1960, il y avait régulièrement des famines à cause de ces criquets, avant la mise en place d'un système préventif. Il faut savoir que régulièrement, en Mauritanie par exemple, des campagnes préventives ont lieu. Ce n'est pas lié seulement à l'Afrique de l'Est.</w:t>
      </w:r>
    </w:p>
    <w:p w14:paraId="200FEEB9" w14:textId="070D16AF" w:rsidR="00E87706" w:rsidRPr="00B01850" w:rsidRDefault="00E87706" w:rsidP="00FB7828">
      <w:pPr>
        <w:spacing w:after="0" w:line="240" w:lineRule="auto"/>
        <w:textAlignment w:val="baseline"/>
        <w:rPr>
          <w:rFonts w:ascii="Arial" w:hAnsi="Arial" w:cs="Arial"/>
        </w:rPr>
      </w:pPr>
      <w:r w:rsidRPr="00B01850">
        <w:rPr>
          <w:rFonts w:ascii="Arial" w:hAnsi="Arial" w:cs="Arial"/>
        </w:rPr>
        <w:t>L’invasion acridienne affecte les pâturages et l’élevage, les récoltes, la biodiversité végétale, la sécurité alimentaire et les communautés humaines.</w:t>
      </w:r>
    </w:p>
    <w:p w14:paraId="7C74A9F4" w14:textId="3FE68CC0" w:rsidR="00E87706" w:rsidRPr="00B01850" w:rsidRDefault="00E87706" w:rsidP="00214DCC">
      <w:pPr>
        <w:pStyle w:val="ListParagraph"/>
        <w:numPr>
          <w:ilvl w:val="0"/>
          <w:numId w:val="97"/>
        </w:numPr>
        <w:spacing w:before="120" w:after="120"/>
        <w:textAlignment w:val="baseline"/>
        <w:rPr>
          <w:rFonts w:ascii="Arial" w:hAnsi="Arial" w:cs="Arial"/>
          <w:b/>
          <w:bCs/>
        </w:rPr>
      </w:pPr>
      <w:bookmarkStart w:id="30" w:name="_Toc44289839"/>
      <w:bookmarkStart w:id="31" w:name="_Hlk44049807"/>
      <w:r w:rsidRPr="00B01850">
        <w:rPr>
          <w:rFonts w:ascii="Arial" w:hAnsi="Arial" w:cs="Arial"/>
          <w:b/>
          <w:bCs/>
        </w:rPr>
        <w:t>Infestation des chenilles</w:t>
      </w:r>
      <w:bookmarkEnd w:id="30"/>
      <w:bookmarkEnd w:id="31"/>
    </w:p>
    <w:p w14:paraId="22A90235" w14:textId="77777777" w:rsidR="00E87706" w:rsidRPr="00B01850" w:rsidRDefault="00E87706" w:rsidP="006E7A44">
      <w:pPr>
        <w:spacing w:after="0" w:line="240" w:lineRule="auto"/>
        <w:jc w:val="both"/>
        <w:textAlignment w:val="baseline"/>
        <w:rPr>
          <w:rFonts w:ascii="Arial" w:hAnsi="Arial" w:cs="Arial"/>
        </w:rPr>
      </w:pPr>
      <w:r w:rsidRPr="00B01850">
        <w:rPr>
          <w:rFonts w:ascii="Arial" w:hAnsi="Arial" w:cs="Arial"/>
        </w:rPr>
        <w:t>Originaire d’Amérique, la chenille légionnaire d’automne (</w:t>
      </w:r>
      <w:proofErr w:type="spellStart"/>
      <w:r w:rsidRPr="00B01850">
        <w:rPr>
          <w:rFonts w:ascii="Arial" w:hAnsi="Arial" w:cs="Arial"/>
        </w:rPr>
        <w:t>Spodoptera</w:t>
      </w:r>
      <w:proofErr w:type="spellEnd"/>
      <w:r w:rsidRPr="00B01850">
        <w:rPr>
          <w:rFonts w:ascii="Arial" w:hAnsi="Arial" w:cs="Arial"/>
        </w:rPr>
        <w:t xml:space="preserve"> </w:t>
      </w:r>
      <w:proofErr w:type="spellStart"/>
      <w:r w:rsidRPr="00B01850">
        <w:rPr>
          <w:rFonts w:ascii="Arial" w:hAnsi="Arial" w:cs="Arial"/>
        </w:rPr>
        <w:t>frugiperda</w:t>
      </w:r>
      <w:proofErr w:type="spellEnd"/>
      <w:r w:rsidRPr="00B01850">
        <w:rPr>
          <w:rFonts w:ascii="Arial" w:hAnsi="Arial" w:cs="Arial"/>
        </w:rPr>
        <w:t xml:space="preserve"> (J.-E. Smith) ; </w:t>
      </w:r>
      <w:proofErr w:type="spellStart"/>
      <w:r w:rsidRPr="00B01850">
        <w:rPr>
          <w:rFonts w:ascii="Arial" w:hAnsi="Arial" w:cs="Arial"/>
        </w:rPr>
        <w:t>Lepidoptera</w:t>
      </w:r>
      <w:proofErr w:type="spellEnd"/>
      <w:r w:rsidRPr="00B01850">
        <w:rPr>
          <w:rFonts w:ascii="Arial" w:hAnsi="Arial" w:cs="Arial"/>
        </w:rPr>
        <w:t xml:space="preserve">, </w:t>
      </w:r>
      <w:proofErr w:type="spellStart"/>
      <w:r w:rsidRPr="00B01850">
        <w:rPr>
          <w:rFonts w:ascii="Arial" w:hAnsi="Arial" w:cs="Arial"/>
        </w:rPr>
        <w:t>Noctuidae</w:t>
      </w:r>
      <w:proofErr w:type="spellEnd"/>
      <w:r w:rsidRPr="00B01850">
        <w:rPr>
          <w:rFonts w:ascii="Arial" w:hAnsi="Arial" w:cs="Arial"/>
        </w:rPr>
        <w:t>) a été signalée pour la première fois sur le continent africain en janvier 2016 (</w:t>
      </w:r>
      <w:proofErr w:type="spellStart"/>
      <w:r w:rsidRPr="00B01850">
        <w:rPr>
          <w:rFonts w:ascii="Arial" w:hAnsi="Arial" w:cs="Arial"/>
        </w:rPr>
        <w:t>Goergen</w:t>
      </w:r>
      <w:proofErr w:type="spellEnd"/>
      <w:r w:rsidRPr="00B01850">
        <w:rPr>
          <w:rFonts w:ascii="Arial" w:hAnsi="Arial" w:cs="Arial"/>
        </w:rPr>
        <w:t xml:space="preserve"> et al. 2016). Des études ultérieures ont révélé que le ravageur est présent dans presque toute l’Afrique sub-saharienne (ASS), où il provoque des dégâts considérables, en particulier dans les champs de maïs et dans une moindre mesure de sorgho et d’autres cultures. Actuellement, plus de 30 pays ont identifié le ravageur sur leurs territoires, y compris les îles comme le Cap-Vert, Madagascar, São Tomé et Principe et les Seychelles.</w:t>
      </w:r>
    </w:p>
    <w:p w14:paraId="01884B6E" w14:textId="77777777" w:rsidR="00E87706" w:rsidRPr="00B01850" w:rsidRDefault="00E87706" w:rsidP="00BF244C">
      <w:pPr>
        <w:spacing w:before="120" w:after="0" w:line="240" w:lineRule="auto"/>
        <w:jc w:val="both"/>
        <w:textAlignment w:val="baseline"/>
        <w:rPr>
          <w:rFonts w:ascii="Arial" w:hAnsi="Arial" w:cs="Arial"/>
        </w:rPr>
      </w:pPr>
      <w:r w:rsidRPr="00B01850">
        <w:rPr>
          <w:rFonts w:ascii="Arial" w:hAnsi="Arial" w:cs="Arial"/>
        </w:rPr>
        <w:t xml:space="preserve">La chenille légionnaire consomme de nombreuses cultures. Elle est capable de se nourrir sur plus de 80 espèces de cultures différentes, ce qui en fait d’elle un des ravageurs des cultures les plus nuisibles. Bien qu’elle ait une préférence pour le maïs, l’aliment de base en Afrique sub-saharienne, elle peut aussi attaquer toutes les autres grandes plantes cultivées, y compris le sorgho, le riz, la canne à sucre, le chou, la betterave, l’arachide, le soja, l’oignon, le coton, l’herbe des pâturages, le mil, la tomate, et la pomme de terre. La chenille légionnaire se propage </w:t>
      </w:r>
      <w:r w:rsidRPr="00B01850">
        <w:rPr>
          <w:rFonts w:ascii="Arial" w:hAnsi="Arial" w:cs="Arial"/>
        </w:rPr>
        <w:lastRenderedPageBreak/>
        <w:t xml:space="preserve">rapidement sur de vastes espaces géographiques. À l’instar d’autres papillons du genre </w:t>
      </w:r>
      <w:proofErr w:type="spellStart"/>
      <w:r w:rsidRPr="00B01850">
        <w:rPr>
          <w:rFonts w:ascii="Arial" w:hAnsi="Arial" w:cs="Arial"/>
        </w:rPr>
        <w:t>Spodoptera</w:t>
      </w:r>
      <w:proofErr w:type="spellEnd"/>
      <w:r w:rsidRPr="00B01850">
        <w:rPr>
          <w:rFonts w:ascii="Arial" w:hAnsi="Arial" w:cs="Arial"/>
        </w:rPr>
        <w:t>, les papillons de la chenille légionnaire d’automne ont des comportements à la fois migratoires et de dispersion beaucoup plus localisée.</w:t>
      </w:r>
    </w:p>
    <w:p w14:paraId="13D9BBEE" w14:textId="77777777" w:rsidR="00E87706" w:rsidRPr="00B01850" w:rsidRDefault="00E87706" w:rsidP="006E7A44">
      <w:pPr>
        <w:spacing w:after="0" w:line="240" w:lineRule="auto"/>
        <w:jc w:val="both"/>
        <w:textAlignment w:val="baseline"/>
        <w:rPr>
          <w:rFonts w:ascii="Arial" w:hAnsi="Arial" w:cs="Arial"/>
        </w:rPr>
      </w:pPr>
      <w:r w:rsidRPr="00B01850">
        <w:rPr>
          <w:rFonts w:ascii="Arial" w:hAnsi="Arial" w:cs="Arial"/>
        </w:rPr>
        <w:t>En raison de sa propagation rapide et de sa capacité distinctive à causer des dommages généralisés sur plusieurs cultures, la chenille légionnaire d’automne menace sérieusement la sécurité alimentaire et nutritionnelle ainsi que la subsistance des centaines de millions de ménages agricoles en Afrique sud Saharienne en particulier lorsqu’elle s’ajoute à d’autres facteurs d’insécurité alimentaire.</w:t>
      </w:r>
    </w:p>
    <w:p w14:paraId="0562300B" w14:textId="317BE20F" w:rsidR="00E87706" w:rsidRPr="00B01850" w:rsidRDefault="00E87706" w:rsidP="006E7A44">
      <w:pPr>
        <w:spacing w:after="0" w:line="240" w:lineRule="auto"/>
        <w:jc w:val="both"/>
        <w:textAlignment w:val="baseline"/>
        <w:rPr>
          <w:rFonts w:ascii="Arial" w:hAnsi="Arial" w:cs="Arial"/>
        </w:rPr>
      </w:pPr>
      <w:r w:rsidRPr="00B01850">
        <w:rPr>
          <w:rFonts w:ascii="Arial" w:hAnsi="Arial" w:cs="Arial"/>
        </w:rPr>
        <w:t>D’après une note d’information publiée par le Centre international pour l’agriculture et les sciences biologiques (</w:t>
      </w:r>
      <w:r w:rsidRPr="00B01850">
        <w:rPr>
          <w:rFonts w:ascii="Arial" w:hAnsi="Arial" w:cs="Arial"/>
          <w:i/>
          <w:iCs/>
        </w:rPr>
        <w:t>Centre for Agriculture and Bioscience International</w:t>
      </w:r>
      <w:r w:rsidRPr="00B01850">
        <w:rPr>
          <w:rFonts w:ascii="Arial" w:hAnsi="Arial" w:cs="Arial"/>
        </w:rPr>
        <w:t xml:space="preserve"> - CABI) en septembre 2017, en l’absence de méthodes de lutte adéquates, la chenille légionnaire d’automne peut provoquer des pertes de rendement de 8,3 à 20,6 millions de tonnes par an, dans seulement 12 des pays africains producteurs de maïs. Cela représente une proportion de 21 à 53% de la production annuelle moyenne de maïs sur une période de trois ans dans ces pays. La valeur de ces pertes a été estimée entre 2,48 et 6,19 milliards de dollars américains. C’est en 2017, que la chenille légionnaire a envahi la quasi-totalité des cultures en Guinée avec une prédilection pour le maïs.</w:t>
      </w:r>
    </w:p>
    <w:p w14:paraId="672D648C" w14:textId="1174B4AF" w:rsidR="00E87706" w:rsidRPr="00B01850" w:rsidRDefault="00E87706" w:rsidP="00BF244C">
      <w:pPr>
        <w:spacing w:before="120" w:after="0" w:line="240" w:lineRule="auto"/>
        <w:jc w:val="both"/>
        <w:textAlignment w:val="baseline"/>
        <w:rPr>
          <w:rFonts w:ascii="Arial" w:hAnsi="Arial" w:cs="Arial"/>
        </w:rPr>
      </w:pPr>
      <w:r w:rsidRPr="00B01850">
        <w:rPr>
          <w:rFonts w:ascii="Arial" w:hAnsi="Arial" w:cs="Arial"/>
        </w:rPr>
        <w:t xml:space="preserve">Depuis le mois d’octobre 2017, la chenille légionnaire a envahi les cultures guinéennes notamment le maïs, d’abord à Kindia et Mamou, avant de toucher toutes les préfectures du pays. C’est pour justement mettre fin à sa prolifération, sinon à son éradication complète que le </w:t>
      </w:r>
      <w:proofErr w:type="gramStart"/>
      <w:r w:rsidRPr="00B01850">
        <w:rPr>
          <w:rFonts w:ascii="Arial" w:hAnsi="Arial" w:cs="Arial"/>
        </w:rPr>
        <w:t>Ministère de l’agriculture</w:t>
      </w:r>
      <w:proofErr w:type="gramEnd"/>
      <w:r w:rsidRPr="00B01850">
        <w:rPr>
          <w:rFonts w:ascii="Arial" w:hAnsi="Arial" w:cs="Arial"/>
        </w:rPr>
        <w:t xml:space="preserve"> a mis en place un dispositif de prévention et de lutte contre cette chenille avec l’appui des partenaires au développement notamment la FAO et la BAD. </w:t>
      </w:r>
    </w:p>
    <w:p w14:paraId="2B7E60BF" w14:textId="77777777" w:rsidR="006E7A44" w:rsidRPr="00B01850" w:rsidRDefault="00E87706" w:rsidP="00214DCC">
      <w:pPr>
        <w:pStyle w:val="ListParagraph"/>
        <w:numPr>
          <w:ilvl w:val="0"/>
          <w:numId w:val="98"/>
        </w:numPr>
        <w:spacing w:before="120" w:after="120"/>
        <w:textAlignment w:val="baseline"/>
        <w:rPr>
          <w:rFonts w:ascii="Arial" w:hAnsi="Arial" w:cs="Arial"/>
          <w:b/>
          <w:bCs/>
        </w:rPr>
      </w:pPr>
      <w:bookmarkStart w:id="32" w:name="_Toc44289840"/>
      <w:bookmarkStart w:id="33" w:name="_Hlk44049828"/>
      <w:r w:rsidRPr="00B01850">
        <w:rPr>
          <w:rFonts w:ascii="Arial" w:hAnsi="Arial" w:cs="Arial"/>
          <w:b/>
          <w:bCs/>
        </w:rPr>
        <w:t>Raz-de-marée</w:t>
      </w:r>
      <w:bookmarkEnd w:id="32"/>
      <w:bookmarkEnd w:id="33"/>
    </w:p>
    <w:p w14:paraId="5C18A343" w14:textId="5C5B093D" w:rsidR="00E87706" w:rsidRPr="00B01850" w:rsidRDefault="00E87706" w:rsidP="00FB7828">
      <w:pPr>
        <w:spacing w:after="0"/>
        <w:jc w:val="both"/>
        <w:textAlignment w:val="baseline"/>
        <w:rPr>
          <w:rFonts w:ascii="Arial" w:hAnsi="Arial" w:cs="Arial"/>
          <w:b/>
          <w:bCs/>
        </w:rPr>
      </w:pPr>
      <w:r w:rsidRPr="00B01850">
        <w:rPr>
          <w:rFonts w:ascii="Arial" w:hAnsi="Arial" w:cs="Arial"/>
        </w:rPr>
        <w:t>Un raz-de-marée est un envahissement exceptionnel du rivage par la mer, une submersion marine, dû à une surcote temporaire (une élévation anormale du niveau de la mer). L'envahissement du littoral par la mer peut se produire lors d'une forte tempête, notamment au moment des grandes marées. Un raz-de-marée (ou raz de marée) est une catastrophe naturelle pendant laquelle la mer recouvre brusquement les terres du littoral, sous la forme d'une grande vague ou d'une série de vagues. La vague peut donc balayer tout le littoral, parfois loin à l'intérieur des terres, en détruisant tout ce qui a été construit là, ainsi que les plantations, et tuant par noyade ou par impact les êtres humains et les animaux qui s’y trouvent.</w:t>
      </w:r>
    </w:p>
    <w:p w14:paraId="7694F23D" w14:textId="77777777" w:rsidR="00E87706" w:rsidRPr="00B01850" w:rsidRDefault="00E87706" w:rsidP="00214DCC">
      <w:pPr>
        <w:pStyle w:val="ListParagraph"/>
        <w:numPr>
          <w:ilvl w:val="0"/>
          <w:numId w:val="99"/>
        </w:numPr>
        <w:spacing w:before="120" w:after="120"/>
        <w:textAlignment w:val="baseline"/>
        <w:rPr>
          <w:rFonts w:ascii="Arial" w:hAnsi="Arial" w:cs="Arial"/>
          <w:b/>
          <w:bCs/>
        </w:rPr>
      </w:pPr>
      <w:bookmarkStart w:id="34" w:name="_Toc44289841"/>
      <w:r w:rsidRPr="00B01850">
        <w:rPr>
          <w:rFonts w:ascii="Arial" w:hAnsi="Arial" w:cs="Arial"/>
          <w:b/>
          <w:bCs/>
        </w:rPr>
        <w:t>P</w:t>
      </w:r>
      <w:bookmarkStart w:id="35" w:name="_Hlk44049856"/>
      <w:r w:rsidRPr="00B01850">
        <w:rPr>
          <w:rFonts w:ascii="Arial" w:hAnsi="Arial" w:cs="Arial"/>
          <w:b/>
          <w:bCs/>
        </w:rPr>
        <w:t>roduits chimiques incluant certains cosmétiques</w:t>
      </w:r>
      <w:bookmarkEnd w:id="34"/>
      <w:bookmarkEnd w:id="35"/>
    </w:p>
    <w:p w14:paraId="5B9E1195" w14:textId="77777777" w:rsidR="00E87706" w:rsidRPr="00B01850" w:rsidRDefault="00E87706" w:rsidP="00FB7828">
      <w:pPr>
        <w:spacing w:after="0" w:line="240" w:lineRule="auto"/>
        <w:jc w:val="both"/>
        <w:textAlignment w:val="baseline"/>
        <w:rPr>
          <w:rFonts w:ascii="Arial" w:hAnsi="Arial" w:cs="Arial"/>
        </w:rPr>
      </w:pPr>
      <w:r w:rsidRPr="00B01850">
        <w:rPr>
          <w:rFonts w:ascii="Arial" w:hAnsi="Arial" w:cs="Arial"/>
        </w:rPr>
        <w:t>Les produits chimiques ont des effets sur la santé, la sécurité et les écosystèmes. Les produits chimiques présentent des dangers pour les personnes, les installations ou l'environnement : intoxications aiguës, asphyxie, incendie, explosion, pollution… Ils peuvent aussi provoquer des effets plus insidieux, après des années d’exposition du travailleur à de faibles doses, voire plusieurs années après la fin de l’exposition. Ces dangers immédiats et différés doivent être pris en compte dans le cadre d’une même démarche de prévention des risques chimiques.</w:t>
      </w:r>
    </w:p>
    <w:p w14:paraId="019FFEA3" w14:textId="77777777" w:rsidR="00E87706" w:rsidRPr="00B01850" w:rsidRDefault="00E87706" w:rsidP="00FB7828">
      <w:pPr>
        <w:spacing w:before="120" w:after="0" w:line="240" w:lineRule="auto"/>
        <w:jc w:val="both"/>
        <w:textAlignment w:val="baseline"/>
        <w:rPr>
          <w:rFonts w:ascii="Arial" w:hAnsi="Arial" w:cs="Arial"/>
        </w:rPr>
      </w:pPr>
      <w:r w:rsidRPr="00B01850">
        <w:rPr>
          <w:rFonts w:ascii="Arial" w:hAnsi="Arial" w:cs="Arial"/>
        </w:rPr>
        <w:t>La nature des effets des produits chimiques sur la santé dépend de plusieurs paramètres :</w:t>
      </w:r>
    </w:p>
    <w:p w14:paraId="71F876CC" w14:textId="32BA96F6" w:rsidR="00E87706" w:rsidRPr="00B01850" w:rsidRDefault="0066454C" w:rsidP="00214DCC">
      <w:pPr>
        <w:pStyle w:val="ListParagraph"/>
        <w:numPr>
          <w:ilvl w:val="0"/>
          <w:numId w:val="58"/>
        </w:numPr>
        <w:jc w:val="both"/>
        <w:textAlignment w:val="baseline"/>
        <w:rPr>
          <w:rFonts w:ascii="Arial" w:hAnsi="Arial" w:cs="Arial"/>
        </w:rPr>
      </w:pPr>
      <w:r w:rsidRPr="00E87706">
        <w:rPr>
          <w:rFonts w:ascii="Arial" w:hAnsi="Arial" w:cs="Arial"/>
        </w:rPr>
        <w:t>Caractéristiques</w:t>
      </w:r>
      <w:r w:rsidR="00E87706" w:rsidRPr="00B01850">
        <w:rPr>
          <w:rFonts w:ascii="Arial" w:hAnsi="Arial" w:cs="Arial"/>
        </w:rPr>
        <w:t xml:space="preserve"> du produit chimique concerné (toxicité, nature physique…</w:t>
      </w:r>
      <w:proofErr w:type="gramStart"/>
      <w:r w:rsidR="00E87706" w:rsidRPr="00B01850">
        <w:rPr>
          <w:rFonts w:ascii="Arial" w:hAnsi="Arial" w:cs="Arial"/>
        </w:rPr>
        <w:t>);</w:t>
      </w:r>
      <w:proofErr w:type="gramEnd"/>
    </w:p>
    <w:p w14:paraId="63F26A2B" w14:textId="5C414749" w:rsidR="00E87706" w:rsidRPr="00B01850" w:rsidRDefault="0066454C" w:rsidP="00214DCC">
      <w:pPr>
        <w:pStyle w:val="ListParagraph"/>
        <w:numPr>
          <w:ilvl w:val="0"/>
          <w:numId w:val="58"/>
        </w:numPr>
        <w:jc w:val="both"/>
        <w:textAlignment w:val="baseline"/>
        <w:rPr>
          <w:rFonts w:ascii="Arial" w:hAnsi="Arial" w:cs="Arial"/>
        </w:rPr>
      </w:pPr>
      <w:r w:rsidRPr="00E87706">
        <w:rPr>
          <w:rFonts w:ascii="Arial" w:hAnsi="Arial" w:cs="Arial"/>
        </w:rPr>
        <w:t>Voies</w:t>
      </w:r>
      <w:r w:rsidR="00E87706" w:rsidRPr="00B01850">
        <w:rPr>
          <w:rFonts w:ascii="Arial" w:hAnsi="Arial" w:cs="Arial"/>
        </w:rPr>
        <w:t xml:space="preserve"> de pénétration dans l’organisme (respiratoire, cutanée ou digestive</w:t>
      </w:r>
      <w:proofErr w:type="gramStart"/>
      <w:r w:rsidR="00E87706" w:rsidRPr="00B01850">
        <w:rPr>
          <w:rFonts w:ascii="Arial" w:hAnsi="Arial" w:cs="Arial"/>
        </w:rPr>
        <w:t>);</w:t>
      </w:r>
      <w:proofErr w:type="gramEnd"/>
    </w:p>
    <w:p w14:paraId="65DFD4F3" w14:textId="18E4885E" w:rsidR="00E87706" w:rsidRPr="00B01850" w:rsidRDefault="0066454C" w:rsidP="00214DCC">
      <w:pPr>
        <w:pStyle w:val="ListParagraph"/>
        <w:numPr>
          <w:ilvl w:val="0"/>
          <w:numId w:val="58"/>
        </w:numPr>
        <w:jc w:val="both"/>
        <w:textAlignment w:val="baseline"/>
        <w:rPr>
          <w:rFonts w:ascii="Arial" w:hAnsi="Arial" w:cs="Arial"/>
        </w:rPr>
      </w:pPr>
      <w:r w:rsidRPr="00E87706">
        <w:rPr>
          <w:rFonts w:ascii="Arial" w:hAnsi="Arial" w:cs="Arial"/>
        </w:rPr>
        <w:t>Mode</w:t>
      </w:r>
      <w:r w:rsidR="00E87706" w:rsidRPr="00B01850">
        <w:rPr>
          <w:rFonts w:ascii="Arial" w:hAnsi="Arial" w:cs="Arial"/>
        </w:rPr>
        <w:t xml:space="preserve"> d’exposition (niveau, fréquence, durée…</w:t>
      </w:r>
      <w:proofErr w:type="gramStart"/>
      <w:r w:rsidR="00E87706" w:rsidRPr="00B01850">
        <w:rPr>
          <w:rFonts w:ascii="Arial" w:hAnsi="Arial" w:cs="Arial"/>
        </w:rPr>
        <w:t>);</w:t>
      </w:r>
      <w:proofErr w:type="gramEnd"/>
    </w:p>
    <w:p w14:paraId="33E47A56" w14:textId="29A95781" w:rsidR="00FB7828" w:rsidRPr="00B01850" w:rsidRDefault="0066454C" w:rsidP="00214DCC">
      <w:pPr>
        <w:pStyle w:val="ListParagraph"/>
        <w:numPr>
          <w:ilvl w:val="0"/>
          <w:numId w:val="58"/>
        </w:numPr>
        <w:spacing w:after="0" w:line="240" w:lineRule="auto"/>
        <w:contextualSpacing w:val="0"/>
        <w:jc w:val="both"/>
        <w:textAlignment w:val="baseline"/>
        <w:rPr>
          <w:rFonts w:ascii="Arial" w:hAnsi="Arial" w:cs="Arial"/>
        </w:rPr>
      </w:pPr>
      <w:r w:rsidRPr="00E87706">
        <w:rPr>
          <w:rFonts w:ascii="Arial" w:hAnsi="Arial" w:cs="Arial"/>
        </w:rPr>
        <w:t>État</w:t>
      </w:r>
      <w:r w:rsidR="00E87706" w:rsidRPr="00B01850">
        <w:rPr>
          <w:rFonts w:ascii="Arial" w:hAnsi="Arial" w:cs="Arial"/>
        </w:rPr>
        <w:t xml:space="preserve"> de santé et autres expositions de la personne concernée (pathologies existantes, prise de médicaments, consommation d’alcool ou de tabac, expositions environnementales…).</w:t>
      </w:r>
    </w:p>
    <w:p w14:paraId="5621C32E" w14:textId="21C23E80" w:rsidR="00E87706" w:rsidRPr="00B01850" w:rsidRDefault="00E87706" w:rsidP="00FB7828">
      <w:pPr>
        <w:spacing w:before="120" w:after="0" w:line="240" w:lineRule="auto"/>
        <w:jc w:val="both"/>
        <w:textAlignment w:val="baseline"/>
        <w:rPr>
          <w:rFonts w:ascii="Arial" w:hAnsi="Arial" w:cs="Arial"/>
        </w:rPr>
      </w:pPr>
      <w:r w:rsidRPr="00B01850">
        <w:rPr>
          <w:rFonts w:ascii="Arial" w:hAnsi="Arial" w:cs="Arial"/>
        </w:rPr>
        <w:t>Ces effets peuvent apparaître :</w:t>
      </w:r>
    </w:p>
    <w:p w14:paraId="6849A6EE" w14:textId="0EE3372F" w:rsidR="00E87706" w:rsidRPr="00B01850" w:rsidRDefault="003B0AF6" w:rsidP="00214DCC">
      <w:pPr>
        <w:pStyle w:val="ListParagraph"/>
        <w:numPr>
          <w:ilvl w:val="0"/>
          <w:numId w:val="58"/>
        </w:numPr>
        <w:jc w:val="both"/>
        <w:textAlignment w:val="baseline"/>
        <w:rPr>
          <w:rFonts w:ascii="Arial" w:hAnsi="Arial" w:cs="Arial"/>
        </w:rPr>
      </w:pPr>
      <w:r w:rsidRPr="00E87706">
        <w:rPr>
          <w:rFonts w:ascii="Arial" w:hAnsi="Arial" w:cs="Arial"/>
        </w:rPr>
        <w:lastRenderedPageBreak/>
        <w:t>En</w:t>
      </w:r>
      <w:r w:rsidR="00E87706" w:rsidRPr="00B01850">
        <w:rPr>
          <w:rFonts w:ascii="Arial" w:hAnsi="Arial" w:cs="Arial"/>
        </w:rPr>
        <w:t xml:space="preserve"> cas d’exposition à un produit chimique sur une brève durée (intoxication aiguë) : brûlure, irritation de la peau, démangeaison, convulsion, ébriété, perte de connaissance, coma, arrêt respiratoire</w:t>
      </w:r>
      <w:proofErr w:type="gramStart"/>
      <w:r w:rsidR="00E87706" w:rsidRPr="00B01850">
        <w:rPr>
          <w:rFonts w:ascii="Arial" w:hAnsi="Arial" w:cs="Arial"/>
        </w:rPr>
        <w:t>…;</w:t>
      </w:r>
      <w:proofErr w:type="gramEnd"/>
    </w:p>
    <w:p w14:paraId="6C95F5E3" w14:textId="5915C14C" w:rsidR="00E87706" w:rsidRPr="00B01850" w:rsidRDefault="003B0AF6" w:rsidP="00214DCC">
      <w:pPr>
        <w:pStyle w:val="ListParagraph"/>
        <w:numPr>
          <w:ilvl w:val="0"/>
          <w:numId w:val="58"/>
        </w:numPr>
        <w:jc w:val="both"/>
        <w:textAlignment w:val="baseline"/>
        <w:rPr>
          <w:rFonts w:ascii="Arial" w:hAnsi="Arial" w:cs="Arial"/>
        </w:rPr>
      </w:pPr>
      <w:r w:rsidRPr="00E87706">
        <w:rPr>
          <w:rFonts w:ascii="Arial" w:hAnsi="Arial" w:cs="Arial"/>
        </w:rPr>
        <w:t>Après</w:t>
      </w:r>
      <w:r w:rsidR="00E87706" w:rsidRPr="00B01850">
        <w:rPr>
          <w:rFonts w:ascii="Arial" w:hAnsi="Arial" w:cs="Arial"/>
        </w:rPr>
        <w:t xml:space="preserve"> des contacts répétés avec des produits chimiques, même à faibles doses, (intoxication chronique) : eczéma ou asthme, silicose, cancer (mésothéliome …), insuffisance rénale, troubles de la fertilité...</w:t>
      </w:r>
    </w:p>
    <w:p w14:paraId="277174F1" w14:textId="37B76DE5" w:rsidR="006E7A44" w:rsidRPr="00B01850" w:rsidRDefault="00E87706" w:rsidP="00FB7828">
      <w:pPr>
        <w:spacing w:after="0" w:line="240" w:lineRule="auto"/>
        <w:jc w:val="both"/>
        <w:textAlignment w:val="baseline"/>
        <w:rPr>
          <w:rFonts w:ascii="Arial" w:hAnsi="Arial" w:cs="Arial"/>
        </w:rPr>
      </w:pPr>
      <w:r w:rsidRPr="00B01850">
        <w:rPr>
          <w:rFonts w:ascii="Arial" w:hAnsi="Arial" w:cs="Arial"/>
        </w:rPr>
        <w:t>Les pathologies dues à des produits chimiques peuvent apparaître plusieurs mois ou plusieurs années après l’exposition. Dans le cas des cancers professionnels, ils peuvent apparaître 10, 20, voire 40 ans après l’exposition.</w:t>
      </w:r>
      <w:bookmarkStart w:id="36" w:name="_Toc44289842"/>
      <w:bookmarkStart w:id="37" w:name="_Hlk44049888"/>
    </w:p>
    <w:p w14:paraId="711800B9" w14:textId="019AB72A" w:rsidR="00E87706" w:rsidRPr="00B01850" w:rsidRDefault="00E87706" w:rsidP="00214DCC">
      <w:pPr>
        <w:pStyle w:val="ListParagraph"/>
        <w:numPr>
          <w:ilvl w:val="0"/>
          <w:numId w:val="100"/>
        </w:numPr>
        <w:spacing w:before="120" w:after="120" w:line="240" w:lineRule="auto"/>
        <w:contextualSpacing w:val="0"/>
        <w:textAlignment w:val="baseline"/>
        <w:rPr>
          <w:rFonts w:ascii="Arial" w:hAnsi="Arial" w:cs="Arial"/>
        </w:rPr>
      </w:pPr>
      <w:r w:rsidRPr="00B01850">
        <w:rPr>
          <w:rFonts w:ascii="Arial" w:hAnsi="Arial" w:cs="Arial"/>
          <w:b/>
          <w:bCs/>
        </w:rPr>
        <w:t>Accidents des transports</w:t>
      </w:r>
      <w:bookmarkEnd w:id="36"/>
    </w:p>
    <w:bookmarkEnd w:id="37"/>
    <w:p w14:paraId="057582A8" w14:textId="77777777" w:rsidR="00E87706" w:rsidRPr="00B01850" w:rsidRDefault="00E87706" w:rsidP="00BF244C">
      <w:pPr>
        <w:spacing w:after="0"/>
        <w:jc w:val="both"/>
        <w:textAlignment w:val="baseline"/>
        <w:rPr>
          <w:rFonts w:ascii="Arial" w:hAnsi="Arial" w:cs="Arial"/>
        </w:rPr>
      </w:pPr>
      <w:r w:rsidRPr="00B01850">
        <w:rPr>
          <w:rFonts w:ascii="Arial" w:hAnsi="Arial" w:cs="Arial"/>
        </w:rPr>
        <w:t>Plusieurs centaines d’accidents de transport routier avec dommages matériels et corporels, allant jusqu’à la perte des vies humaines se produisent chaque année en Guinée. Pour le transport routier, le phénomène est lié au profil des routes (sinuosité des routes leur étroitesse), à leur mauvais état, l’excès de vitesse le non-respect du code de la route, le manque de contrôle technique et d’entretien des véhicules, les surcharges ainsi que le transport mixte des bagages et des personnes. Quant au transport maritime et fluvial les accidents sont liés à la surcharge et à la vétusté des embarcations, aux mauvaises conditions météorologiques (vents violents, faible visibilité, fortes pluies), grosses vagues, force excessive du courant d’eau (ruissellement torrentiel).</w:t>
      </w:r>
    </w:p>
    <w:p w14:paraId="1D79F4C2" w14:textId="77777777" w:rsidR="00E87706" w:rsidRPr="00B01850" w:rsidRDefault="00E87706" w:rsidP="00FB7828">
      <w:pPr>
        <w:spacing w:after="0"/>
        <w:jc w:val="both"/>
        <w:textAlignment w:val="baseline"/>
        <w:rPr>
          <w:rFonts w:ascii="Arial" w:hAnsi="Arial" w:cs="Arial"/>
        </w:rPr>
      </w:pPr>
      <w:r w:rsidRPr="00B01850">
        <w:rPr>
          <w:rFonts w:ascii="Arial" w:hAnsi="Arial" w:cs="Arial"/>
        </w:rPr>
        <w:t>En dehors des erreurs d’ordre technique commises par les pilotes, plusieurs accidents d’avions sont occasionnés par le mauvais temps (brouillard, pluie très forte réduisant la visibilité, vents violents, orages etc…), la vétusté des aéronefs et le manque d’entretien technique.</w:t>
      </w:r>
    </w:p>
    <w:p w14:paraId="67525DDF" w14:textId="77777777" w:rsidR="00E87706" w:rsidRPr="00B01850" w:rsidRDefault="00E87706" w:rsidP="00FB7828">
      <w:pPr>
        <w:spacing w:after="0"/>
        <w:jc w:val="both"/>
        <w:textAlignment w:val="baseline"/>
        <w:rPr>
          <w:rFonts w:ascii="Arial" w:hAnsi="Arial" w:cs="Arial"/>
        </w:rPr>
      </w:pPr>
      <w:r w:rsidRPr="00B01850">
        <w:rPr>
          <w:rFonts w:ascii="Arial" w:hAnsi="Arial" w:cs="Arial"/>
        </w:rPr>
        <w:t xml:space="preserve">En Guinée il y a eu un accident d’avion de la compagnie Air Guinée en 1978 </w:t>
      </w:r>
      <w:proofErr w:type="gramStart"/>
      <w:r w:rsidRPr="00B01850">
        <w:rPr>
          <w:rFonts w:ascii="Arial" w:hAnsi="Arial" w:cs="Arial"/>
        </w:rPr>
        <w:t>suite à un</w:t>
      </w:r>
      <w:proofErr w:type="gramEnd"/>
      <w:r w:rsidRPr="00B01850">
        <w:rPr>
          <w:rFonts w:ascii="Arial" w:hAnsi="Arial" w:cs="Arial"/>
        </w:rPr>
        <w:t xml:space="preserve"> temps orageux à Conakry entrainant la mort de 15 personnes sur les 17 occupants. Plusieurs centaines d’accidents de transport routier avec dommages matériels et corporels, allant jusqu’à la perte des vies humaines se produisent chaque année en Guinée. Le phénomène est lié à la sinuosité des routes, à leur étroitesse, à leur mauvais état, et l’excès de vitesse ou au non-respect du code de la route.</w:t>
      </w:r>
    </w:p>
    <w:p w14:paraId="2B3FCC2B" w14:textId="77777777" w:rsidR="00E87706" w:rsidRPr="00B01850" w:rsidRDefault="00E87706" w:rsidP="00214DCC">
      <w:pPr>
        <w:pStyle w:val="ListParagraph"/>
        <w:numPr>
          <w:ilvl w:val="0"/>
          <w:numId w:val="101"/>
        </w:numPr>
        <w:spacing w:before="120" w:after="120"/>
        <w:textAlignment w:val="baseline"/>
        <w:rPr>
          <w:rFonts w:ascii="Arial" w:hAnsi="Arial" w:cs="Arial"/>
          <w:b/>
          <w:bCs/>
        </w:rPr>
      </w:pPr>
      <w:bookmarkStart w:id="38" w:name="_Toc44289843"/>
      <w:bookmarkStart w:id="39" w:name="_Hlk44049960"/>
      <w:r w:rsidRPr="00B01850">
        <w:rPr>
          <w:rFonts w:ascii="Arial" w:hAnsi="Arial" w:cs="Arial"/>
          <w:b/>
          <w:bCs/>
        </w:rPr>
        <w:t>Biosécurité</w:t>
      </w:r>
      <w:bookmarkEnd w:id="38"/>
    </w:p>
    <w:bookmarkEnd w:id="39"/>
    <w:p w14:paraId="10915012" w14:textId="77777777" w:rsidR="00E87706" w:rsidRPr="00B01850" w:rsidRDefault="00E87706" w:rsidP="00083572">
      <w:pPr>
        <w:spacing w:after="0" w:line="240" w:lineRule="auto"/>
        <w:jc w:val="both"/>
        <w:textAlignment w:val="baseline"/>
        <w:rPr>
          <w:rFonts w:ascii="Arial" w:hAnsi="Arial" w:cs="Arial"/>
        </w:rPr>
      </w:pPr>
      <w:r w:rsidRPr="00B01850">
        <w:rPr>
          <w:rFonts w:ascii="Arial" w:hAnsi="Arial" w:cs="Arial"/>
        </w:rPr>
        <w:t xml:space="preserve">L’évaluation des risques biologiques ne repose pas sur des bases théoriques développées par des technocrates, mais bien sur des bases empiriques nées à la suite d’une prise de conscience par la communauté scientifique, d'une part, du danger que représentait la manipulation d'organismes pathogènes (mis en avant au travers de recensements des maladies infectieuses acquises en laboratoire) et, d'autre part, des dangers potentiellement associés aux manipulations impliquant l’ADN recombinant. Cette évaluation constitue le fondement scientifique qui permet d’autoriser ou d'interdire toute activité impliquant des OGM et/ou des pathogènes et, le cas échéant, d’imposer d’éventuelles mesures ayant pour but de limiter les </w:t>
      </w:r>
      <w:proofErr w:type="gramStart"/>
      <w:r w:rsidRPr="00B01850">
        <w:rPr>
          <w:rFonts w:ascii="Arial" w:hAnsi="Arial" w:cs="Arial"/>
        </w:rPr>
        <w:t>risques potentiels</w:t>
      </w:r>
      <w:proofErr w:type="gramEnd"/>
      <w:r w:rsidRPr="00B01850">
        <w:rPr>
          <w:rFonts w:ascii="Arial" w:hAnsi="Arial" w:cs="Arial"/>
        </w:rPr>
        <w:t xml:space="preserve"> pour la santé humaine et l’environnement.</w:t>
      </w:r>
    </w:p>
    <w:p w14:paraId="317E79CF" w14:textId="77777777" w:rsidR="00E87706" w:rsidRPr="00B01850" w:rsidRDefault="00E87706" w:rsidP="00083572">
      <w:pPr>
        <w:spacing w:after="0" w:line="240" w:lineRule="auto"/>
        <w:jc w:val="both"/>
        <w:textAlignment w:val="baseline"/>
        <w:rPr>
          <w:rFonts w:ascii="Arial" w:hAnsi="Arial" w:cs="Arial"/>
        </w:rPr>
      </w:pPr>
      <w:r w:rsidRPr="00B01850">
        <w:rPr>
          <w:rFonts w:ascii="Arial" w:hAnsi="Arial" w:cs="Arial"/>
        </w:rPr>
        <w:t>L’évaluation des risques est un des trois éléments de l’analyse des risques les deux autres étant la gestion des risques (qui correspond traditionnellement au rôle des décideurs) et la communication des risques (vis-à-vis du public notamment). En théorie, ces trois éléments sont séparés et séquentiels, mais les frontières entre ces éléments s’avèrent parfois assez floues et perméables dans la pratique.</w:t>
      </w:r>
    </w:p>
    <w:p w14:paraId="7ED73F85" w14:textId="77777777" w:rsidR="00E87706" w:rsidRPr="00B01850" w:rsidRDefault="00E87706" w:rsidP="00083572">
      <w:pPr>
        <w:spacing w:after="0" w:line="240" w:lineRule="auto"/>
        <w:jc w:val="both"/>
        <w:textAlignment w:val="baseline"/>
        <w:rPr>
          <w:rFonts w:ascii="Arial" w:hAnsi="Arial" w:cs="Arial"/>
        </w:rPr>
      </w:pPr>
      <w:r w:rsidRPr="00B01850">
        <w:rPr>
          <w:rFonts w:ascii="Arial" w:hAnsi="Arial" w:cs="Arial"/>
        </w:rPr>
        <w:lastRenderedPageBreak/>
        <w:t>Il est important de distinguer la prévention (qui est une réponse à un risque avéré) de la précaution. Le principe de précaution peut être invoqué lorsque les effets potentiellement dangereux d'un phénomène, d'un produit ou d'un procédé ont été identifiés par le biais d'une évaluation scientifique et objective, mais cette évaluation ne permet pas de déterminer le risque avec suffisamment de certitude. Le recours au principe de précaution s'inscrit donc dans le cadre général de l'analyse des risques mais relève de la gestion des risques. Le recours au principe de précaution n'est justifié que lorsque trois conditions préalables - l'identification des effets potentiellement négatifs, l'évaluation des données scientifiques disponibles et l'étendue de l'incertitude scientifique - ont été remplies.</w:t>
      </w:r>
    </w:p>
    <w:p w14:paraId="46EB13F0" w14:textId="749972DA" w:rsidR="008329C7" w:rsidRPr="00B01850" w:rsidRDefault="00F434EE" w:rsidP="00083572">
      <w:pPr>
        <w:pStyle w:val="ListParagraph"/>
        <w:spacing w:before="120" w:after="0" w:line="240" w:lineRule="auto"/>
        <w:ind w:left="0"/>
        <w:contextualSpacing w:val="0"/>
        <w:jc w:val="both"/>
        <w:textAlignment w:val="baseline"/>
        <w:rPr>
          <w:rFonts w:ascii="Arial" w:hAnsi="Arial" w:cs="Arial"/>
        </w:rPr>
      </w:pPr>
      <w:r w:rsidRPr="00B01850">
        <w:rPr>
          <w:rFonts w:ascii="Arial" w:hAnsi="Arial" w:cs="Arial"/>
        </w:rPr>
        <w:t xml:space="preserve">Le cadre de coordination entre le gouvernement et les partenaires de développement a été mis en place par l'Ordre A/2015/196, et comprend un secrétariat, présidé par le Ministre Conseiller à la Présidence chargé des questions économiques et financières, ainsi que des groupes thématiques. Les membres statutaires du côté gouvernemental comprennent : le Premier Ministre (Président), le </w:t>
      </w:r>
      <w:proofErr w:type="gramStart"/>
      <w:r w:rsidRPr="00B01850">
        <w:rPr>
          <w:rFonts w:ascii="Arial" w:hAnsi="Arial" w:cs="Arial"/>
        </w:rPr>
        <w:t>Ministre de l'Économie</w:t>
      </w:r>
      <w:proofErr w:type="gramEnd"/>
      <w:r w:rsidRPr="00B01850">
        <w:rPr>
          <w:rFonts w:ascii="Arial" w:hAnsi="Arial" w:cs="Arial"/>
        </w:rPr>
        <w:t xml:space="preserve"> et des Finances (Vice-Président), le </w:t>
      </w:r>
      <w:proofErr w:type="gramStart"/>
      <w:r w:rsidRPr="00B01850">
        <w:rPr>
          <w:rFonts w:ascii="Arial" w:hAnsi="Arial" w:cs="Arial"/>
        </w:rPr>
        <w:t>Ministre</w:t>
      </w:r>
      <w:proofErr w:type="gramEnd"/>
      <w:r w:rsidRPr="00B01850">
        <w:rPr>
          <w:rFonts w:ascii="Arial" w:hAnsi="Arial" w:cs="Arial"/>
        </w:rPr>
        <w:t xml:space="preserve"> des Affaires Étrangères, le </w:t>
      </w:r>
      <w:proofErr w:type="gramStart"/>
      <w:r w:rsidRPr="00B01850">
        <w:rPr>
          <w:rFonts w:ascii="Arial" w:hAnsi="Arial" w:cs="Arial"/>
        </w:rPr>
        <w:t>Ministre</w:t>
      </w:r>
      <w:proofErr w:type="gramEnd"/>
      <w:r w:rsidRPr="00B01850">
        <w:rPr>
          <w:rFonts w:ascii="Arial" w:hAnsi="Arial" w:cs="Arial"/>
        </w:rPr>
        <w:t xml:space="preserve"> de la Planification et de la Coopération, le </w:t>
      </w:r>
      <w:proofErr w:type="gramStart"/>
      <w:r w:rsidRPr="00B01850">
        <w:rPr>
          <w:rFonts w:ascii="Arial" w:hAnsi="Arial" w:cs="Arial"/>
        </w:rPr>
        <w:t>Ministre de l'Administration</w:t>
      </w:r>
      <w:proofErr w:type="gramEnd"/>
      <w:r w:rsidRPr="00B01850">
        <w:rPr>
          <w:rFonts w:ascii="Arial" w:hAnsi="Arial" w:cs="Arial"/>
        </w:rPr>
        <w:t xml:space="preserve"> Territoriale et de la Décentralisation, le Ministre du Budget, les représentants de la Présidence de la République, les membres du Secrétariat Permanent. Les partenaires de développement sont représentés par le Coordonnateur Résident du Système des Nations Unies et comprennent des partenaires bilatéraux et multilatéraux ainsi que des organisations non gouvernementales (ONG).</w:t>
      </w:r>
    </w:p>
    <w:p w14:paraId="70105F98" w14:textId="00D81938" w:rsidR="00E036E2" w:rsidRPr="00B01850" w:rsidRDefault="00E036E2" w:rsidP="00214DCC">
      <w:pPr>
        <w:pStyle w:val="ListParagraph"/>
        <w:numPr>
          <w:ilvl w:val="0"/>
          <w:numId w:val="33"/>
        </w:numPr>
        <w:spacing w:before="120" w:after="120" w:line="278" w:lineRule="auto"/>
        <w:contextualSpacing w:val="0"/>
        <w:jc w:val="both"/>
        <w:rPr>
          <w:rFonts w:ascii="Arial" w:eastAsia="Aptos" w:hAnsi="Arial" w:cs="Arial"/>
          <w:b/>
          <w:bCs/>
          <w:kern w:val="2"/>
          <w14:ligatures w14:val="standardContextual"/>
        </w:rPr>
      </w:pPr>
      <w:r w:rsidRPr="00B01850">
        <w:rPr>
          <w:rFonts w:ascii="Arial" w:eastAsia="Aptos" w:hAnsi="Arial" w:cs="Arial"/>
          <w:b/>
          <w:bCs/>
          <w:kern w:val="2"/>
          <w14:ligatures w14:val="standardContextual"/>
        </w:rPr>
        <w:t>Lacunes Clés en Matière de Préparation</w:t>
      </w:r>
      <w:r w:rsidR="00BC4C0E" w:rsidRPr="00B01850">
        <w:rPr>
          <w:rFonts w:ascii="Arial" w:eastAsia="Aptos" w:hAnsi="Arial" w:cs="Arial"/>
          <w:b/>
          <w:bCs/>
          <w:kern w:val="2"/>
          <w14:ligatures w14:val="standardContextual"/>
        </w:rPr>
        <w:t xml:space="preserve"> à la gestion des risques</w:t>
      </w:r>
    </w:p>
    <w:p w14:paraId="3F303EA8" w14:textId="77777777" w:rsidR="00E036E2" w:rsidRPr="00B01850" w:rsidRDefault="00E036E2" w:rsidP="00E036E2">
      <w:pPr>
        <w:spacing w:after="0" w:line="278" w:lineRule="auto"/>
        <w:jc w:val="both"/>
        <w:rPr>
          <w:rFonts w:ascii="Arial" w:eastAsia="Aptos" w:hAnsi="Arial" w:cs="Arial"/>
          <w:kern w:val="2"/>
          <w14:ligatures w14:val="standardContextual"/>
        </w:rPr>
      </w:pPr>
      <w:r w:rsidRPr="00B01850">
        <w:rPr>
          <w:rFonts w:ascii="Arial" w:eastAsia="Aptos" w:hAnsi="Arial" w:cs="Arial"/>
          <w:kern w:val="2"/>
          <w14:ligatures w14:val="standardContextual"/>
        </w:rPr>
        <w:t>Malgré les politiques en place, il y a un besoin urgent de ressources et de renforcement des capacités institutionnelles pour mettre en œuvre les initiatives de gestion des risques de catastrophes (GRC), en particulier au niveau infranational. Malgré le soutien que la Guinée a reçu de la communauté internationale, des défis institutionnels, juridiques, techniques et financiers bloquent encore l'efficacité du système de GRC. Quatre principaux défis ont été identifiés comme suit : (i) Manque de leadership national reconnu et accepté par tous, (ii) Inefficacité du Système d'Alerte Précoce (SAP), (iii) Ressources humaines et financières insuffisantes et (iv) Capacité limitée des parties prenantes. Le dernier document de stratégie nationale de réduction des risques de catastrophes (2024-2030) organise les actions en huit grands axes stratégiques : (i) améliorer la gouvernance des risques de catastrophes ; (ii) promouvoir l'investissement dans la réduction des risques de catastrophes ; (iii) développer des partenariats et la coopération en matière de réduction des risques de catastrophes ; (iv) développer et protéger les infrastructures d'adaptation et de résilience ; (v) améliorer l'information, la sensibilisation et l'éducation environnementale ; (vi) promouvoir le renforcement des capacités des parties prenantes en matière de réduction des risques de catastrophes ; (vii) promouvoir la résilience des villes et des populations vulnérables ; et (viii) protéger les enfants et lutter contre la violence basée sur le genre.</w:t>
      </w:r>
    </w:p>
    <w:p w14:paraId="38E0975C" w14:textId="77777777" w:rsidR="00E036E2" w:rsidRPr="00B01850" w:rsidRDefault="00E036E2" w:rsidP="00E036E2">
      <w:pPr>
        <w:spacing w:after="0" w:line="278" w:lineRule="auto"/>
        <w:jc w:val="both"/>
        <w:rPr>
          <w:rFonts w:ascii="Arial" w:eastAsia="Aptos" w:hAnsi="Arial" w:cs="Arial"/>
          <w:kern w:val="2"/>
          <w14:ligatures w14:val="standardContextual"/>
        </w:rPr>
      </w:pPr>
      <w:r w:rsidRPr="00B01850">
        <w:rPr>
          <w:rFonts w:ascii="Arial" w:eastAsia="Aptos" w:hAnsi="Arial" w:cs="Arial"/>
          <w:kern w:val="2"/>
          <w14:ligatures w14:val="standardContextual"/>
        </w:rPr>
        <w:t xml:space="preserve">Le processus de déclaration d'urgence et les efforts de réponse subséquents ne sont pas clairs. Selon la Constitution de la Guinée de 2020 (suspendue depuis le coup d'État de 2021), l'article 100, l'état d'urgence est déclaré par le Président de la République, mais il n'y a aucune référence aux catastrophes ou aux risques climatiques. Et comme mentionné au paragraphe 7, la Loi sur la GRC de 1996 elle-même ne fournit pas de conditions claires pour déclarer une urgence et la forme que cette déclaration doit prendre. Cela n'a aucun impact sur le CERP qui ne nécessite pas de déclaration d'urgence. La reconnaissance de l'urgence sera convenue et indiquée dans </w:t>
      </w:r>
      <w:r w:rsidRPr="00B01850">
        <w:rPr>
          <w:rFonts w:ascii="Arial" w:eastAsia="Aptos" w:hAnsi="Arial" w:cs="Arial"/>
          <w:kern w:val="2"/>
          <w14:ligatures w14:val="standardContextual"/>
        </w:rPr>
        <w:lastRenderedPageBreak/>
        <w:t>le Manuel de Mise en Œuvre du Projet. Après une déclaration d'urgence, comme mentionné au paragraphe 6, un décret présidentiel ordonne la mise en œuvre du PNPCOS, mais ce document n'existe pas. La loi fait également référence au Comité National de Gestion des Catastrophes (CNGC), sous le ministère de l'Environnement, et le décret D/97/285/PRG/SGG de 1997 définit les fonctions du CNGC, mais le rôle du CNGC dans la préparation et le financement du PNPCOS n'a pas été rempli. Et le MEDD a récemment émis un décret A/2022/4116/MEDD/CAB/SGG, définissant les modalités d'élaboration, de contenu et de mise en œuvre des plans d'urgence de la GRC, sans indication claire du PNPCOS. Cependant, il y a eu des développements significatifs avec la création du CENAGCUE et de l'ANGUCH. Il est important de mettre à jour les lois ou les politiques clarifiant les procédures de déclaration d'urgence liée aux catastrophes.</w:t>
      </w:r>
    </w:p>
    <w:p w14:paraId="1B1B8695" w14:textId="77777777" w:rsidR="00E036E2" w:rsidRPr="00B01850" w:rsidRDefault="00E036E2" w:rsidP="00E036E2">
      <w:pPr>
        <w:spacing w:after="0" w:line="278" w:lineRule="auto"/>
        <w:jc w:val="both"/>
        <w:rPr>
          <w:rFonts w:ascii="Arial" w:eastAsia="Aptos" w:hAnsi="Arial" w:cs="Arial"/>
          <w:kern w:val="2"/>
          <w14:ligatures w14:val="standardContextual"/>
        </w:rPr>
      </w:pPr>
      <w:r w:rsidRPr="00B01850">
        <w:rPr>
          <w:rFonts w:ascii="Arial" w:eastAsia="Aptos" w:hAnsi="Arial" w:cs="Arial"/>
          <w:kern w:val="2"/>
          <w14:ligatures w14:val="standardContextual"/>
        </w:rPr>
        <w:t>Les rôles et responsabilités des institutions de gestion des risques de catastrophes ne sont pas clairs et se chevauchent parfois. La Guinée dispose de plusieurs institutions pour la gestion des risques de catastrophes et des urgences, y compris l'ANGUCH, le CENAGCUE, la DGPC et l'ANIES. Ces institutions travaillent sur divers aspects de la gestion des crises, tels que la fragilité, la vulnérabilité, les urgences environnementales et la prévention des risques. Cependant, leurs rôles et responsabilités nécessitent une clarification et une rationalisation pour assurer une coordination efficace pendant les urgences déclarées. L'ANIES et le FDSI jouent également des rôles clés dans ce cadre. L'absence du PNPCOS est une lacune importante qui doit être comblée pour le CERP proposé. De plus, les secteurs fréquemment touchés par les catastrophes manquent des compétences humaines nécessaires pour améliorer les approches sectorielles de la gestion des risques et des catastrophes, les évaluations d'impact et la planification de la réponse et de la récupération en cas d'urgence.</w:t>
      </w:r>
    </w:p>
    <w:p w14:paraId="306E6286" w14:textId="0A06B3A9" w:rsidR="00E036E2" w:rsidRPr="00B01850" w:rsidRDefault="00E036E2" w:rsidP="00E036E2">
      <w:pPr>
        <w:pStyle w:val="ListParagraph"/>
        <w:spacing w:after="0" w:line="240" w:lineRule="auto"/>
        <w:ind w:left="0"/>
        <w:jc w:val="both"/>
        <w:textAlignment w:val="baseline"/>
        <w:rPr>
          <w:rFonts w:ascii="Arial" w:hAnsi="Arial" w:cs="Arial"/>
          <w:highlight w:val="yellow"/>
        </w:rPr>
      </w:pPr>
      <w:r w:rsidRPr="00B01850">
        <w:rPr>
          <w:rFonts w:ascii="Arial" w:eastAsia="Aptos" w:hAnsi="Arial" w:cs="Arial"/>
          <w:kern w:val="2"/>
          <w14:ligatures w14:val="standardContextual"/>
        </w:rPr>
        <w:t>Une autre lacune importante est le manque de ressources financières pour la préparation et la réponse aux catastrophes. Le décret D/2022/0320/PRG/SGG du 23 juin 2022 accorde à l'ANGUCH l'autonomie dans la gestion des ressources de crise et la mobilisation des ressources humaines en situation de crise. Actuellement, il n'y a pas de fonds de contingence dédié ou d'autres moyens d'accéder à des liquidités immédiates après un événement. Un décret en préparation établit un Fonds National de Réduction des Risques de Catastrophes (FNRRC) pour collecter et gérer des fonds pour les opérations de prévention et de réduction des risques de catastrophes, mais ce fonds n'est pas spécifiquement réservé à la réponse aux catastrophes, donc plus de travail est nécessaire pour soutenir la préparation financière. De plus, la Guinée manque d'équipements et de logistique adéquats pour la gestion des crises. Les premiers intervenants tels que la Direction de la Protection Civile, les services de santé et la Croix-Rouge Guinéenne font face à des contraintes de capacité pour répondre et gérer les catastrophes comme on l'a vu lors de l'explosion du dépôt de pétrole.</w:t>
      </w:r>
    </w:p>
    <w:p w14:paraId="6AB72460" w14:textId="77777777" w:rsidR="00E036E2" w:rsidRPr="00B01850" w:rsidRDefault="00E036E2" w:rsidP="00214DCC">
      <w:pPr>
        <w:pStyle w:val="ListParagraph"/>
        <w:numPr>
          <w:ilvl w:val="0"/>
          <w:numId w:val="34"/>
        </w:numPr>
        <w:spacing w:before="120" w:after="120" w:line="278" w:lineRule="auto"/>
        <w:contextualSpacing w:val="0"/>
        <w:jc w:val="both"/>
        <w:rPr>
          <w:rFonts w:ascii="Arial" w:eastAsia="Aptos" w:hAnsi="Arial" w:cs="Arial"/>
          <w:b/>
          <w:bCs/>
          <w:kern w:val="2"/>
          <w14:ligatures w14:val="standardContextual"/>
        </w:rPr>
      </w:pPr>
      <w:r w:rsidRPr="00B01850">
        <w:rPr>
          <w:rFonts w:ascii="Arial" w:eastAsia="Aptos" w:hAnsi="Arial" w:cs="Arial"/>
          <w:b/>
          <w:bCs/>
          <w:kern w:val="2"/>
          <w14:ligatures w14:val="standardContextual"/>
        </w:rPr>
        <w:t>L'Engagement de la Banque Mondiale avec la Guinée sur la Préparation aux Crises et la Réponse d'Urgence</w:t>
      </w:r>
    </w:p>
    <w:p w14:paraId="0EFB713C" w14:textId="10D99E64" w:rsidR="00E036E2" w:rsidRPr="00B01850" w:rsidRDefault="00E036E2" w:rsidP="00E036E2">
      <w:pPr>
        <w:spacing w:after="0" w:line="278" w:lineRule="auto"/>
        <w:jc w:val="both"/>
        <w:rPr>
          <w:rFonts w:ascii="Arial" w:eastAsia="Aptos" w:hAnsi="Arial" w:cs="Arial"/>
          <w:kern w:val="2"/>
          <w14:ligatures w14:val="standardContextual"/>
        </w:rPr>
      </w:pPr>
      <w:r w:rsidRPr="00B01850">
        <w:rPr>
          <w:rFonts w:ascii="Arial" w:eastAsia="Aptos" w:hAnsi="Arial" w:cs="Arial"/>
          <w:kern w:val="2"/>
          <w14:ligatures w14:val="standardContextual"/>
        </w:rPr>
        <w:t xml:space="preserve">L'engagement de la Banque est aligné avec le Cadre de Partenariat Pays (CPF) pour la période FY2018-FY23 qui soutient le Plan National de Développement Économique et Social (PNDES) de la Guinée 2016-2020 mis à jour en 2021. Le CPF a été informé par le Diagnostic Systématique du Pays (SCD) réalisé en 2017. Le CPF se concentre sur trois domaines prioritaires : la gestion des ressources budgétaires et naturelles, le développement humain, et la productivité agricole et la croissance économique. Il reflète également l'engagement du gouvernement guinéen à atteindre les 17 Objectifs de Développement Durable (ODD) et à répondre à ses responsabilités et priorités en matière de mitigation et d'adaptation au changement climatique. La préparation en </w:t>
      </w:r>
      <w:r w:rsidRPr="00B01850">
        <w:rPr>
          <w:rFonts w:ascii="Arial" w:eastAsia="Aptos" w:hAnsi="Arial" w:cs="Arial"/>
          <w:kern w:val="2"/>
          <w14:ligatures w14:val="standardContextual"/>
        </w:rPr>
        <w:lastRenderedPageBreak/>
        <w:t xml:space="preserve">cours du Rapport sur le Climat et le Développement du Pays (CCDR) abordera les aspects de préparation aux urgences et de capacité de résilience. De plus, la Banque a été impliquée dans des efforts récents de réponse d'urgence, tels que l'Évaluation Rapide des Dommages et des Besoins (RDNA) </w:t>
      </w:r>
      <w:proofErr w:type="gramStart"/>
      <w:r w:rsidRPr="00B01850">
        <w:rPr>
          <w:rFonts w:ascii="Arial" w:eastAsia="Aptos" w:hAnsi="Arial" w:cs="Arial"/>
          <w:kern w:val="2"/>
          <w14:ligatures w14:val="standardContextual"/>
        </w:rPr>
        <w:t>suite à</w:t>
      </w:r>
      <w:proofErr w:type="gramEnd"/>
      <w:r w:rsidRPr="00B01850">
        <w:rPr>
          <w:rFonts w:ascii="Arial" w:eastAsia="Aptos" w:hAnsi="Arial" w:cs="Arial"/>
          <w:kern w:val="2"/>
          <w14:ligatures w14:val="standardContextual"/>
        </w:rPr>
        <w:t xml:space="preserve"> l'explosion du dépôt de pétrole de Kaloum en décembre 2023. Enfin, le projet CERP proposé contribuera à la préparation aux crises et à la réponse d'urgence en fournissant une approche structurée pour déployer rapidement des fonds dans le portefeuille existant de la Banque de manière plus flexible et efficace pour offrir une réponse rapide en cas de crise.</w:t>
      </w:r>
    </w:p>
    <w:p w14:paraId="5F33D606" w14:textId="77777777" w:rsidR="00E036E2" w:rsidRPr="00B01850" w:rsidRDefault="00E036E2" w:rsidP="00E036E2">
      <w:pPr>
        <w:spacing w:after="0" w:line="278" w:lineRule="auto"/>
        <w:jc w:val="both"/>
        <w:rPr>
          <w:rFonts w:ascii="Arial" w:eastAsia="Aptos" w:hAnsi="Arial" w:cs="Arial"/>
          <w:kern w:val="2"/>
          <w14:ligatures w14:val="standardContextual"/>
        </w:rPr>
      </w:pPr>
      <w:r w:rsidRPr="00B01850">
        <w:rPr>
          <w:rFonts w:ascii="Arial" w:eastAsia="Aptos" w:hAnsi="Arial" w:cs="Arial"/>
          <w:kern w:val="2"/>
          <w14:ligatures w14:val="standardContextual"/>
        </w:rPr>
        <w:t>Le portefeuille actuel de la Banque Mondiale en Guinée s'élève à un engagement total de 856 millions USD pour 13 projets d'investissement : 6 projets nationaux et 7 projets régionaux. En septembre 2024, le solde non décaissé s'élève à 563 millions USD, soit 66% de l'engagement total. En termes d'engagements futurs, quatre projets visent à améliorer i) l'accès à l'eau potable et à l'assainissement dans la Grande Conakry ; ii) la résilience climatique, la sécurité alimentaire et les pêches ; iii) l'éducation secondaire pour les jeunes filles ; et iv) l'amélioration de l'accès à l'électricité avec le Projet d'Extension de l'Accès à l'Électricité en Guinée - Phase 2 pour un montant estimé de 200 millions USD. La Guinée est également considérée comme faisant partie d'un projet régional sur le développement, la résilience et la valorisation de l'eau pour l'Afrique de l'Ouest.</w:t>
      </w:r>
    </w:p>
    <w:p w14:paraId="1DBC8997" w14:textId="295EE923" w:rsidR="00030A9E" w:rsidRPr="00B01850" w:rsidRDefault="00E036E2" w:rsidP="00030A9E">
      <w:pPr>
        <w:pStyle w:val="ListParagraph"/>
        <w:spacing w:after="0" w:line="240" w:lineRule="auto"/>
        <w:ind w:left="0"/>
        <w:jc w:val="both"/>
        <w:textAlignment w:val="baseline"/>
        <w:rPr>
          <w:rFonts w:ascii="Arial" w:eastAsia="Aptos" w:hAnsi="Arial" w:cs="Arial"/>
          <w:kern w:val="2"/>
          <w14:ligatures w14:val="standardContextual"/>
        </w:rPr>
      </w:pPr>
      <w:r w:rsidRPr="00B01850">
        <w:rPr>
          <w:rFonts w:ascii="Arial" w:eastAsia="Aptos" w:hAnsi="Arial" w:cs="Arial"/>
          <w:kern w:val="2"/>
          <w14:ligatures w14:val="standardContextual"/>
        </w:rPr>
        <w:t xml:space="preserve">Le Financement Additionnel (FA) du PRU-APN (P168777) continue de contribuer à tous les piliers du CPF de la Guinée, </w:t>
      </w:r>
      <w:proofErr w:type="gramStart"/>
      <w:r w:rsidRPr="00B01850">
        <w:rPr>
          <w:rFonts w:ascii="Arial" w:eastAsia="Aptos" w:hAnsi="Arial" w:cs="Arial"/>
          <w:kern w:val="2"/>
          <w14:ligatures w14:val="standardContextual"/>
        </w:rPr>
        <w:t>au</w:t>
      </w:r>
      <w:proofErr w:type="gramEnd"/>
      <w:r w:rsidRPr="00B01850">
        <w:rPr>
          <w:rFonts w:ascii="Arial" w:eastAsia="Aptos" w:hAnsi="Arial" w:cs="Arial"/>
          <w:kern w:val="2"/>
          <w14:ligatures w14:val="standardContextual"/>
        </w:rPr>
        <w:t xml:space="preserve"> Plan National de Développement Économique et Social 2016-2020 (PNDES) du gouvernement, et au Programme de Référence Intérimaire (2022-2025) adopté par le gouvernement de transition. Le FA soutiendra le Pilier 1 du CPF en renforçant la capacité du gouvernement à fournir des services de protection sociale de base, et le Pilier 2 en promouvant les investissements au niveau des ménages dans la petite enfance et l'éducation. Sous le Pilier 3, le projet favorisera l'inclusion économique des ménages pauvres et vulnérables et aidera à l'identification de sources de revenus durables grâce à des activités d'inclusion productive. Le FA est également aligné avec l'approche de la Banque pour les situations de fragilité dans lesquelles la Banque reste engagée en centrant ses efforts sur le soutien aux personnes les plus vulnérables.</w:t>
      </w:r>
    </w:p>
    <w:p w14:paraId="52E3DB48" w14:textId="77777777" w:rsidR="00083572" w:rsidRPr="00B01850" w:rsidRDefault="00083572" w:rsidP="00030A9E">
      <w:pPr>
        <w:pStyle w:val="ListParagraph"/>
        <w:spacing w:after="0" w:line="240" w:lineRule="auto"/>
        <w:ind w:left="0"/>
        <w:jc w:val="both"/>
        <w:textAlignment w:val="baseline"/>
        <w:rPr>
          <w:rFonts w:ascii="Arial" w:eastAsia="Aptos" w:hAnsi="Arial" w:cs="Arial"/>
          <w:kern w:val="2"/>
          <w14:ligatures w14:val="standardContextual"/>
        </w:rPr>
      </w:pPr>
    </w:p>
    <w:p w14:paraId="5C4D3299" w14:textId="6D430522" w:rsidR="00F0034F" w:rsidRPr="00B01850" w:rsidRDefault="00066016" w:rsidP="003A0C92">
      <w:pPr>
        <w:pStyle w:val="Heading1"/>
        <w:spacing w:before="120" w:after="120" w:line="240" w:lineRule="auto"/>
        <w:jc w:val="both"/>
        <w:rPr>
          <w:rFonts w:ascii="Arial" w:hAnsi="Arial" w:cs="Arial"/>
          <w:b/>
          <w:bCs/>
          <w:color w:val="auto"/>
          <w:sz w:val="22"/>
          <w:szCs w:val="22"/>
        </w:rPr>
      </w:pPr>
      <w:bookmarkStart w:id="40" w:name="_Toc1920720472"/>
      <w:bookmarkStart w:id="41" w:name="_Toc197382143"/>
      <w:r w:rsidRPr="00B01850">
        <w:rPr>
          <w:rFonts w:ascii="Arial" w:hAnsi="Arial" w:cs="Arial"/>
          <w:b/>
          <w:bCs/>
          <w:color w:val="auto"/>
          <w:sz w:val="22"/>
          <w:szCs w:val="22"/>
        </w:rPr>
        <w:t xml:space="preserve">SECTION 2 </w:t>
      </w:r>
      <w:r w:rsidRPr="00B01850">
        <w:rPr>
          <w:rFonts w:ascii="Arial" w:hAnsi="Arial" w:cs="Arial"/>
          <w:color w:val="auto"/>
          <w:sz w:val="22"/>
          <w:szCs w:val="22"/>
        </w:rPr>
        <w:t xml:space="preserve">: </w:t>
      </w:r>
      <w:r w:rsidR="00C15B99" w:rsidRPr="00B01850">
        <w:rPr>
          <w:rFonts w:ascii="Arial" w:hAnsi="Arial" w:cs="Arial"/>
          <w:color w:val="auto"/>
          <w:sz w:val="22"/>
          <w:szCs w:val="22"/>
        </w:rPr>
        <w:t xml:space="preserve">BREVE DESCRIPTION DE LA </w:t>
      </w:r>
      <w:r w:rsidRPr="00B01850">
        <w:rPr>
          <w:rFonts w:ascii="Arial" w:hAnsi="Arial" w:cs="Arial"/>
          <w:color w:val="auto"/>
          <w:sz w:val="22"/>
          <w:szCs w:val="22"/>
        </w:rPr>
        <w:t xml:space="preserve">SITUATION ENVIRONNEMENTALE ET SOCIALE DE </w:t>
      </w:r>
      <w:r w:rsidR="00E4008F" w:rsidRPr="00B01850">
        <w:rPr>
          <w:rFonts w:ascii="Arial" w:hAnsi="Arial" w:cs="Arial"/>
          <w:color w:val="auto"/>
          <w:sz w:val="22"/>
          <w:szCs w:val="22"/>
        </w:rPr>
        <w:t xml:space="preserve">LA </w:t>
      </w:r>
      <w:r w:rsidR="00083181" w:rsidRPr="00B01850">
        <w:rPr>
          <w:rFonts w:ascii="Arial" w:hAnsi="Arial" w:cs="Arial"/>
          <w:color w:val="auto"/>
          <w:sz w:val="22"/>
          <w:szCs w:val="22"/>
        </w:rPr>
        <w:t>GUINÉE</w:t>
      </w:r>
      <w:bookmarkEnd w:id="40"/>
      <w:bookmarkEnd w:id="41"/>
    </w:p>
    <w:p w14:paraId="27A27189" w14:textId="77777777" w:rsidR="00083572" w:rsidRPr="00B01850" w:rsidRDefault="00083572" w:rsidP="00F07CFE">
      <w:pPr>
        <w:spacing w:after="0" w:line="240" w:lineRule="auto"/>
        <w:jc w:val="both"/>
        <w:rPr>
          <w:rFonts w:ascii="Arial" w:eastAsia="Calibri" w:hAnsi="Arial" w:cs="Arial"/>
          <w:bCs/>
        </w:rPr>
      </w:pPr>
    </w:p>
    <w:p w14:paraId="4A81414F" w14:textId="0A603373" w:rsidR="00F07CFE" w:rsidRPr="00B01850" w:rsidRDefault="00D43859" w:rsidP="00F07CFE">
      <w:pPr>
        <w:spacing w:after="0" w:line="240" w:lineRule="auto"/>
        <w:jc w:val="both"/>
        <w:rPr>
          <w:rFonts w:ascii="Arial" w:eastAsia="Calibri" w:hAnsi="Arial" w:cs="Arial"/>
          <w:bCs/>
        </w:rPr>
      </w:pPr>
      <w:r w:rsidRPr="00B01850">
        <w:rPr>
          <w:rFonts w:ascii="Arial" w:eastAsia="Calibri" w:hAnsi="Arial" w:cs="Arial"/>
          <w:bCs/>
        </w:rPr>
        <w:t>Cette section fournit des informations générales sur les conditions environnementales et socioéconomiques de base pertinentes d</w:t>
      </w:r>
      <w:r w:rsidR="00385D92" w:rsidRPr="00B01850">
        <w:rPr>
          <w:rFonts w:ascii="Arial" w:eastAsia="Calibri" w:hAnsi="Arial" w:cs="Arial"/>
          <w:bCs/>
        </w:rPr>
        <w:t xml:space="preserve">u </w:t>
      </w:r>
      <w:r w:rsidRPr="00B01850">
        <w:rPr>
          <w:rFonts w:ascii="Arial" w:eastAsia="Calibri" w:hAnsi="Arial" w:cs="Arial"/>
          <w:bCs/>
        </w:rPr>
        <w:t>pays</w:t>
      </w:r>
      <w:r w:rsidR="003A0C92" w:rsidRPr="00B01850">
        <w:rPr>
          <w:rFonts w:ascii="Arial" w:eastAsia="Calibri" w:hAnsi="Arial" w:cs="Arial"/>
          <w:bCs/>
        </w:rPr>
        <w:t xml:space="preserve"> </w:t>
      </w:r>
      <w:r w:rsidR="00385D92" w:rsidRPr="00B01850">
        <w:rPr>
          <w:rFonts w:ascii="Arial" w:eastAsia="Calibri" w:hAnsi="Arial" w:cs="Arial"/>
          <w:bCs/>
        </w:rPr>
        <w:t xml:space="preserve">qui permettraient d’avoir un aperçu sur les risques et catastrophes. Cette </w:t>
      </w:r>
      <w:r w:rsidR="00F07CFE" w:rsidRPr="00B01850">
        <w:rPr>
          <w:rFonts w:ascii="Arial" w:eastAsia="Calibri" w:hAnsi="Arial" w:cs="Arial"/>
          <w:bCs/>
        </w:rPr>
        <w:t>description est faite pour les milieux bio</w:t>
      </w:r>
      <w:r w:rsidR="00385D92" w:rsidRPr="00B01850">
        <w:rPr>
          <w:rFonts w:ascii="Arial" w:eastAsia="Calibri" w:hAnsi="Arial" w:cs="Arial"/>
          <w:bCs/>
        </w:rPr>
        <w:t xml:space="preserve">physique </w:t>
      </w:r>
      <w:r w:rsidR="00F07CFE" w:rsidRPr="00B01850">
        <w:rPr>
          <w:rFonts w:ascii="Arial" w:eastAsia="Calibri" w:hAnsi="Arial" w:cs="Arial"/>
          <w:bCs/>
        </w:rPr>
        <w:t>et humain</w:t>
      </w:r>
      <w:r w:rsidR="00385D92" w:rsidRPr="00B01850">
        <w:rPr>
          <w:rFonts w:ascii="Arial" w:eastAsia="Calibri" w:hAnsi="Arial" w:cs="Arial"/>
          <w:bCs/>
        </w:rPr>
        <w:t>.</w:t>
      </w:r>
      <w:bookmarkStart w:id="42" w:name="_Toc530321040"/>
    </w:p>
    <w:p w14:paraId="5BB33DA7" w14:textId="77777777" w:rsidR="00F07CFE" w:rsidRPr="00B01850" w:rsidRDefault="00F07CFE" w:rsidP="00214DCC">
      <w:pPr>
        <w:pStyle w:val="ListParagraph"/>
        <w:numPr>
          <w:ilvl w:val="0"/>
          <w:numId w:val="32"/>
        </w:numPr>
        <w:spacing w:before="120" w:after="120" w:line="240" w:lineRule="auto"/>
        <w:jc w:val="both"/>
        <w:outlineLvl w:val="2"/>
        <w:rPr>
          <w:rFonts w:ascii="Arial" w:eastAsia="Calibri" w:hAnsi="Arial" w:cs="Arial"/>
          <w:bCs/>
        </w:rPr>
      </w:pPr>
      <w:bookmarkStart w:id="43" w:name="_Toc34754438"/>
      <w:bookmarkStart w:id="44" w:name="_Toc197382144"/>
      <w:r w:rsidRPr="00B01850">
        <w:rPr>
          <w:rFonts w:ascii="Arial" w:eastAsia="Calibri" w:hAnsi="Arial" w:cs="Arial"/>
          <w:b/>
          <w:bCs/>
        </w:rPr>
        <w:t>Contexte général et local</w:t>
      </w:r>
      <w:bookmarkEnd w:id="42"/>
      <w:bookmarkEnd w:id="43"/>
      <w:bookmarkEnd w:id="44"/>
    </w:p>
    <w:p w14:paraId="0651143A" w14:textId="3EBA3E38" w:rsidR="00F07CFE" w:rsidRPr="00B01850" w:rsidRDefault="00F07CFE" w:rsidP="00F07CFE">
      <w:pPr>
        <w:spacing w:after="0" w:line="240" w:lineRule="auto"/>
        <w:ind w:right="227"/>
        <w:jc w:val="both"/>
        <w:rPr>
          <w:rFonts w:ascii="Arial" w:eastAsia="Calibri" w:hAnsi="Arial" w:cs="Arial"/>
          <w:bCs/>
        </w:rPr>
      </w:pPr>
      <w:r w:rsidRPr="00B01850">
        <w:rPr>
          <w:rFonts w:ascii="Arial" w:eastAsia="Calibri" w:hAnsi="Arial" w:cs="Arial"/>
          <w:bCs/>
        </w:rPr>
        <w:t>Malgré un énorme potentiel de ressources naturelles, la Guinée se trouve aux 179</w:t>
      </w:r>
      <w:r w:rsidR="00D43859" w:rsidRPr="00B01850">
        <w:rPr>
          <w:rFonts w:ascii="Arial" w:eastAsia="Calibri" w:hAnsi="Arial" w:cs="Arial"/>
          <w:bCs/>
          <w:vertAlign w:val="superscript"/>
        </w:rPr>
        <w:t>e</w:t>
      </w:r>
      <w:r w:rsidR="00D43859" w:rsidRPr="00B01850">
        <w:rPr>
          <w:rFonts w:ascii="Arial" w:eastAsia="Calibri" w:hAnsi="Arial" w:cs="Arial"/>
          <w:bCs/>
        </w:rPr>
        <w:t xml:space="preserve"> </w:t>
      </w:r>
      <w:r w:rsidRPr="00B01850">
        <w:rPr>
          <w:rFonts w:ascii="Arial" w:eastAsia="Calibri" w:hAnsi="Arial" w:cs="Arial"/>
          <w:bCs/>
        </w:rPr>
        <w:t>rangs sur 186 pays, selon le classement des Nations Unies en 2016. L’IDH le plus élevé de la Guinée (0,41) a été enregistré en 2014 et le plus bas (0,36) en 2005. Le taux d’alphabétisation en Guinée est de 34% pour les adultes (INS, 2015).</w:t>
      </w:r>
    </w:p>
    <w:p w14:paraId="6F819F67" w14:textId="77777777" w:rsidR="00F07CFE" w:rsidRPr="00B01850" w:rsidRDefault="00F07CFE" w:rsidP="00F07CFE">
      <w:pPr>
        <w:spacing w:after="0" w:line="240" w:lineRule="auto"/>
        <w:ind w:right="227"/>
        <w:jc w:val="both"/>
        <w:rPr>
          <w:rFonts w:ascii="Arial" w:eastAsia="Calibri" w:hAnsi="Arial" w:cs="Arial"/>
          <w:bCs/>
        </w:rPr>
      </w:pPr>
      <w:r w:rsidRPr="00B01850">
        <w:rPr>
          <w:rFonts w:ascii="Arial" w:eastAsia="Calibri" w:hAnsi="Arial" w:cs="Arial"/>
          <w:bCs/>
        </w:rPr>
        <w:t>Le pays est en effet confronté à divers problèmes reliés à sa croissance démographique et à la mauvaise performance de son économie.</w:t>
      </w:r>
    </w:p>
    <w:p w14:paraId="5ACD244F" w14:textId="143C4618" w:rsidR="00F07CFE" w:rsidRPr="00B01850" w:rsidRDefault="00F07CFE" w:rsidP="00F07CFE">
      <w:pPr>
        <w:spacing w:after="0" w:line="240" w:lineRule="auto"/>
        <w:ind w:right="227"/>
        <w:jc w:val="both"/>
        <w:rPr>
          <w:rFonts w:ascii="Arial" w:eastAsia="Calibri" w:hAnsi="Arial" w:cs="Arial"/>
          <w:bCs/>
        </w:rPr>
      </w:pPr>
      <w:r w:rsidRPr="00B01850">
        <w:rPr>
          <w:rFonts w:ascii="Arial" w:eastAsia="Calibri" w:hAnsi="Arial" w:cs="Arial"/>
          <w:bCs/>
        </w:rPr>
        <w:t xml:space="preserve">La détérioration de la situation socioéconomique a entraîné des conséquences néfastes sur l’accès aux services de base, notamment en milieu urbain. La détérioration continue des conditions de vie des populations s’exprime par l’absence ou l’insuffisance des services </w:t>
      </w:r>
      <w:r w:rsidRPr="00B01850">
        <w:rPr>
          <w:rFonts w:ascii="Arial" w:eastAsia="Calibri" w:hAnsi="Arial" w:cs="Arial"/>
          <w:bCs/>
        </w:rPr>
        <w:lastRenderedPageBreak/>
        <w:t>d’électricité, d’assainissement et de traitement des déchets solides et liquides. Ces facteurs accélèrent la dégradation de l’environnement (pollutions) et présentent un risque croissant pour la santé publique (maladies liées à l’insalubrité et à la qualité de l’eau).</w:t>
      </w:r>
    </w:p>
    <w:p w14:paraId="0AF6C823" w14:textId="77777777" w:rsidR="00F07CFE" w:rsidRPr="00B01850" w:rsidRDefault="00F07CFE" w:rsidP="00F07CFE">
      <w:pPr>
        <w:spacing w:after="0" w:line="240" w:lineRule="auto"/>
        <w:ind w:right="227"/>
        <w:jc w:val="both"/>
        <w:rPr>
          <w:rFonts w:ascii="Arial" w:eastAsia="Calibri" w:hAnsi="Arial" w:cs="Arial"/>
          <w:bCs/>
        </w:rPr>
      </w:pPr>
      <w:r w:rsidRPr="00B01850">
        <w:rPr>
          <w:rFonts w:ascii="Arial" w:eastAsia="Calibri" w:hAnsi="Arial" w:cs="Arial"/>
          <w:bCs/>
        </w:rPr>
        <w:t xml:space="preserve">Les effets du changement climatique ayant un impact visible sur les activités agricoles constituent une des principales causes de la vulnérabilité des populations qui sont en majorité rurales. </w:t>
      </w:r>
    </w:p>
    <w:p w14:paraId="3868AD99" w14:textId="77777777" w:rsidR="00F07CFE" w:rsidRPr="00B01850" w:rsidRDefault="00F07CFE" w:rsidP="00F07CFE">
      <w:pPr>
        <w:autoSpaceDE w:val="0"/>
        <w:autoSpaceDN w:val="0"/>
        <w:adjustRightInd w:val="0"/>
        <w:spacing w:after="0" w:line="240" w:lineRule="auto"/>
        <w:jc w:val="both"/>
        <w:rPr>
          <w:rFonts w:ascii="Arial" w:eastAsia="Calibri" w:hAnsi="Arial" w:cs="Arial"/>
        </w:rPr>
      </w:pPr>
      <w:r w:rsidRPr="00B01850">
        <w:rPr>
          <w:rFonts w:ascii="Arial" w:eastAsia="Calibri" w:hAnsi="Arial" w:cs="Arial"/>
        </w:rPr>
        <w:t xml:space="preserve">Les causes profondes de la vulnérabilité d’un système sont reliées au passé de la société, qui explique l’organisation du système politique et socio-économique actuel, déterminant la distribution des ressources au sein de la population, l’accès aux structures de pouvoir, le système économique en place (Baudoin, 2012). </w:t>
      </w:r>
    </w:p>
    <w:p w14:paraId="22D899FB" w14:textId="77777777" w:rsidR="00F07CFE" w:rsidRPr="00B01850" w:rsidRDefault="00F07CFE" w:rsidP="00F07CFE">
      <w:pPr>
        <w:autoSpaceDE w:val="0"/>
        <w:autoSpaceDN w:val="0"/>
        <w:adjustRightInd w:val="0"/>
        <w:spacing w:after="0" w:line="240" w:lineRule="auto"/>
        <w:jc w:val="both"/>
        <w:rPr>
          <w:rFonts w:ascii="Arial" w:eastAsia="Calibri" w:hAnsi="Arial" w:cs="Arial"/>
        </w:rPr>
      </w:pPr>
      <w:r w:rsidRPr="00B01850">
        <w:rPr>
          <w:rFonts w:ascii="Arial" w:eastAsia="Calibri" w:hAnsi="Arial" w:cs="Arial"/>
        </w:rPr>
        <w:t xml:space="preserve">Les communes de la Guinée sont en majorité des agriculteurs disposant de faibles moyens de production. Ils ne disposent pas en effet de moyens techniques et financiers pour l’amélioration des techniques de production. La vulnérabilité est reflétée par les capacités d’un individu ou d’une société à pouvoir anticiper, faire face, résister et se remettre des impacts du changement climatique (Baudoin, 2012). La résilience des communautés guinéennes est problématique en raison de leurs faibles moyens pour faire face aux changements climatiques de façon anticipative, de limiter leurs conséquences négatives, ou de se remettre de leurs impacts après coup. L'organisation sociale et les pratiques agricoles influencent la vulnérabilité de ces communautés. </w:t>
      </w:r>
    </w:p>
    <w:p w14:paraId="6A97EC07" w14:textId="14BE9D07" w:rsidR="00F07CFE" w:rsidRPr="00B01850" w:rsidRDefault="00F07CFE" w:rsidP="00F07CFE">
      <w:pPr>
        <w:spacing w:after="0" w:line="240" w:lineRule="auto"/>
        <w:ind w:right="227"/>
        <w:jc w:val="both"/>
        <w:rPr>
          <w:rFonts w:ascii="Arial" w:eastAsia="Calibri" w:hAnsi="Arial" w:cs="Arial"/>
          <w:bCs/>
        </w:rPr>
      </w:pPr>
      <w:r w:rsidRPr="00B01850">
        <w:rPr>
          <w:rFonts w:ascii="Arial" w:eastAsia="Calibri" w:hAnsi="Arial" w:cs="Arial"/>
          <w:bCs/>
        </w:rPr>
        <w:t>L’économie guinéenne s’appuie sur l’agriculture, l’élevage, la pêche, la forêt et les mines. Le secteur rural occupe plus de 70 % de la population. Malgré l’important potentiel des ressources naturelles, la pauvreté demeure plus accentuée en milieu rural avec 59,9 % et les ménages d’agriculteurs montrent des taux de pauvreté les plus élevés (62,5 %)</w:t>
      </w:r>
      <w:r w:rsidR="00770891" w:rsidRPr="00B01850">
        <w:rPr>
          <w:rFonts w:ascii="Arial" w:eastAsia="Calibri" w:hAnsi="Arial" w:cs="Arial"/>
          <w:bCs/>
        </w:rPr>
        <w:t>.</w:t>
      </w:r>
    </w:p>
    <w:p w14:paraId="21214ADA" w14:textId="12D67159" w:rsidR="00770891" w:rsidRPr="00B01850" w:rsidRDefault="00770891" w:rsidP="00F07CFE">
      <w:pPr>
        <w:spacing w:after="0" w:line="240" w:lineRule="auto"/>
        <w:ind w:right="227"/>
        <w:jc w:val="both"/>
        <w:rPr>
          <w:rFonts w:ascii="Arial" w:eastAsia="Calibri" w:hAnsi="Arial" w:cs="Arial"/>
          <w:bCs/>
        </w:rPr>
      </w:pPr>
      <w:r w:rsidRPr="00B01850">
        <w:rPr>
          <w:rFonts w:ascii="Arial" w:eastAsia="Calibri" w:hAnsi="Arial" w:cs="Arial"/>
          <w:bCs/>
        </w:rPr>
        <w:t xml:space="preserve">Les risques et catastrophes en Guinée : Caractéristiques </w:t>
      </w:r>
    </w:p>
    <w:p w14:paraId="6F1DCC45" w14:textId="284FEE4C" w:rsidR="00F07CFE" w:rsidRPr="00B01850" w:rsidRDefault="00F07CFE" w:rsidP="00214DCC">
      <w:pPr>
        <w:pStyle w:val="ListParagraph"/>
        <w:numPr>
          <w:ilvl w:val="0"/>
          <w:numId w:val="31"/>
        </w:numPr>
        <w:spacing w:before="120" w:after="120" w:line="240" w:lineRule="auto"/>
        <w:contextualSpacing w:val="0"/>
        <w:jc w:val="both"/>
        <w:outlineLvl w:val="2"/>
        <w:rPr>
          <w:rFonts w:ascii="Arial" w:eastAsia="Calibri" w:hAnsi="Arial" w:cs="Arial"/>
          <w:b/>
          <w:bCs/>
        </w:rPr>
      </w:pPr>
      <w:bookmarkStart w:id="45" w:name="_Toc528854478"/>
      <w:bookmarkStart w:id="46" w:name="_Toc34754439"/>
      <w:bookmarkStart w:id="47" w:name="_Toc197382145"/>
      <w:r w:rsidRPr="00B01850">
        <w:rPr>
          <w:rFonts w:ascii="Arial" w:eastAsia="Calibri" w:hAnsi="Arial" w:cs="Arial"/>
          <w:b/>
          <w:bCs/>
        </w:rPr>
        <w:t>Description du milieu biophysique</w:t>
      </w:r>
      <w:bookmarkEnd w:id="45"/>
      <w:bookmarkEnd w:id="46"/>
      <w:bookmarkEnd w:id="47"/>
    </w:p>
    <w:p w14:paraId="65326122" w14:textId="77777777" w:rsidR="00F07CFE" w:rsidRPr="00B01850" w:rsidRDefault="00F07CFE" w:rsidP="00214DCC">
      <w:pPr>
        <w:pStyle w:val="ListParagraph"/>
        <w:numPr>
          <w:ilvl w:val="0"/>
          <w:numId w:val="43"/>
        </w:numPr>
        <w:spacing w:before="120" w:after="120" w:line="240" w:lineRule="auto"/>
        <w:outlineLvl w:val="3"/>
        <w:rPr>
          <w:rFonts w:ascii="Arial" w:eastAsia="Calibri" w:hAnsi="Arial" w:cs="Arial"/>
          <w:i/>
          <w:iCs/>
        </w:rPr>
      </w:pPr>
      <w:bookmarkStart w:id="48" w:name="_Toc528854479"/>
      <w:bookmarkStart w:id="49" w:name="_Toc34754440"/>
      <w:r w:rsidRPr="00B01850">
        <w:rPr>
          <w:rFonts w:ascii="Arial" w:eastAsia="Calibri" w:hAnsi="Arial" w:cs="Arial"/>
          <w:i/>
          <w:iCs/>
        </w:rPr>
        <w:t>État de l’environnement en Basse Guinée</w:t>
      </w:r>
      <w:bookmarkEnd w:id="48"/>
      <w:bookmarkEnd w:id="49"/>
    </w:p>
    <w:p w14:paraId="58C54F1C" w14:textId="798AD359"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 xml:space="preserve">La Guinée maritime est l’une des quatre régions naturelles de la Guinée. Elle s’étend sur 300 kilomètres en bordure de l’océan </w:t>
      </w:r>
      <w:r w:rsidR="002F2A4A" w:rsidRPr="00B01850">
        <w:rPr>
          <w:rFonts w:ascii="Arial" w:eastAsia="Calibri" w:hAnsi="Arial" w:cs="Arial"/>
        </w:rPr>
        <w:t>Atlantique</w:t>
      </w:r>
      <w:r w:rsidRPr="00B01850">
        <w:rPr>
          <w:rFonts w:ascii="Arial" w:eastAsia="Calibri" w:hAnsi="Arial" w:cs="Arial"/>
        </w:rPr>
        <w:t xml:space="preserve"> et regroupe les régions de Boké et de Kindia à l’Ouest de la Guinée. La Basse Guinée couvre une superficie de 36 200 km² soit 14,72 % du territoire national. Elle se caractérise par un littoral atlantique d’un tracé découpé comprenant des îles et îlots, des caps, des baies et rias, embouchures remontées par la marée, des plaines côtières submersibles vers la mer et exondées vers l’intérieur, dominé à l’Est par un écran montagneux sous forme d’une falaise verticale qui constitue la retombée occidentale du massif du Fouta </w:t>
      </w:r>
      <w:proofErr w:type="spellStart"/>
      <w:r w:rsidRPr="00B01850">
        <w:rPr>
          <w:rFonts w:ascii="Arial" w:eastAsia="Calibri" w:hAnsi="Arial" w:cs="Arial"/>
        </w:rPr>
        <w:t>Djallon</w:t>
      </w:r>
      <w:proofErr w:type="spellEnd"/>
      <w:r w:rsidRPr="00B01850">
        <w:rPr>
          <w:rFonts w:ascii="Arial" w:eastAsia="Calibri" w:hAnsi="Arial" w:cs="Arial"/>
        </w:rPr>
        <w:t xml:space="preserve">. Le relief de la Guinée maritime varie de peu </w:t>
      </w:r>
      <w:proofErr w:type="gramStart"/>
      <w:r w:rsidRPr="00B01850">
        <w:rPr>
          <w:rFonts w:ascii="Arial" w:eastAsia="Calibri" w:hAnsi="Arial" w:cs="Arial"/>
        </w:rPr>
        <w:t>accidenté</w:t>
      </w:r>
      <w:proofErr w:type="gramEnd"/>
      <w:r w:rsidRPr="00B01850">
        <w:rPr>
          <w:rFonts w:ascii="Arial" w:eastAsia="Calibri" w:hAnsi="Arial" w:cs="Arial"/>
        </w:rPr>
        <w:t xml:space="preserve"> à accidenté avec une altitude moyenne de </w:t>
      </w:r>
      <w:smartTag w:uri="urn:schemas-microsoft-com:office:smarttags" w:element="metricconverter">
        <w:smartTagPr>
          <w:attr w:name="ProductID" w:val="458 m"/>
        </w:smartTagPr>
        <w:r w:rsidRPr="00B01850">
          <w:rPr>
            <w:rFonts w:ascii="Arial" w:eastAsia="Calibri" w:hAnsi="Arial" w:cs="Arial"/>
          </w:rPr>
          <w:t>458 m</w:t>
        </w:r>
      </w:smartTag>
      <w:r w:rsidRPr="00B01850">
        <w:rPr>
          <w:rFonts w:ascii="Arial" w:eastAsia="Calibri" w:hAnsi="Arial" w:cs="Arial"/>
        </w:rPr>
        <w:t xml:space="preserve">. On rencontre dans cette région des bas-fonds, des plaines, des vallées et des plateaux dont les sommets les plus hauts sont : </w:t>
      </w:r>
      <w:proofErr w:type="spellStart"/>
      <w:r w:rsidRPr="00B01850">
        <w:rPr>
          <w:rFonts w:ascii="Arial" w:eastAsia="Calibri" w:hAnsi="Arial" w:cs="Arial"/>
        </w:rPr>
        <w:t>Gangan</w:t>
      </w:r>
      <w:proofErr w:type="spellEnd"/>
      <w:r w:rsidRPr="00B01850">
        <w:rPr>
          <w:rFonts w:ascii="Arial" w:eastAsia="Calibri" w:hAnsi="Arial" w:cs="Arial"/>
        </w:rPr>
        <w:t xml:space="preserve"> à Kindia, (</w:t>
      </w:r>
      <w:smartTag w:uri="urn:schemas-microsoft-com:office:smarttags" w:element="metricconverter">
        <w:smartTagPr>
          <w:attr w:name="ProductID" w:val="1116 m"/>
        </w:smartTagPr>
        <w:r w:rsidRPr="00B01850">
          <w:rPr>
            <w:rFonts w:ascii="Arial" w:eastAsia="Calibri" w:hAnsi="Arial" w:cs="Arial"/>
          </w:rPr>
          <w:t>1116 m</w:t>
        </w:r>
      </w:smartTag>
      <w:r w:rsidRPr="00B01850">
        <w:rPr>
          <w:rFonts w:ascii="Arial" w:eastAsia="Calibri" w:hAnsi="Arial" w:cs="Arial"/>
        </w:rPr>
        <w:t xml:space="preserve">), </w:t>
      </w:r>
      <w:proofErr w:type="spellStart"/>
      <w:r w:rsidRPr="00B01850">
        <w:rPr>
          <w:rFonts w:ascii="Arial" w:eastAsia="Calibri" w:hAnsi="Arial" w:cs="Arial"/>
        </w:rPr>
        <w:t>Kakoulima</w:t>
      </w:r>
      <w:proofErr w:type="spellEnd"/>
      <w:r w:rsidRPr="00B01850">
        <w:rPr>
          <w:rFonts w:ascii="Arial" w:eastAsia="Calibri" w:hAnsi="Arial" w:cs="Arial"/>
        </w:rPr>
        <w:t xml:space="preserve"> à </w:t>
      </w:r>
      <w:proofErr w:type="spellStart"/>
      <w:r w:rsidRPr="00B01850">
        <w:rPr>
          <w:rFonts w:ascii="Arial" w:eastAsia="Calibri" w:hAnsi="Arial" w:cs="Arial"/>
        </w:rPr>
        <w:t>Coyah</w:t>
      </w:r>
      <w:proofErr w:type="spellEnd"/>
      <w:r w:rsidRPr="00B01850">
        <w:rPr>
          <w:rFonts w:ascii="Arial" w:eastAsia="Calibri" w:hAnsi="Arial" w:cs="Arial"/>
        </w:rPr>
        <w:t xml:space="preserve"> (</w:t>
      </w:r>
      <w:smartTag w:uri="urn:schemas-microsoft-com:office:smarttags" w:element="metricconverter">
        <w:smartTagPr>
          <w:attr w:name="ProductID" w:val="1007 m"/>
        </w:smartTagPr>
        <w:r w:rsidRPr="00B01850">
          <w:rPr>
            <w:rFonts w:ascii="Arial" w:eastAsia="Calibri" w:hAnsi="Arial" w:cs="Arial"/>
          </w:rPr>
          <w:t>1007 m</w:t>
        </w:r>
      </w:smartTag>
      <w:r w:rsidRPr="00B01850">
        <w:rPr>
          <w:rFonts w:ascii="Arial" w:eastAsia="Calibri" w:hAnsi="Arial" w:cs="Arial"/>
        </w:rPr>
        <w:t xml:space="preserve">), </w:t>
      </w:r>
      <w:bookmarkStart w:id="50" w:name="_Hlk26112910"/>
      <w:proofErr w:type="spellStart"/>
      <w:r w:rsidRPr="00B01850">
        <w:rPr>
          <w:rFonts w:ascii="Arial" w:eastAsia="Calibri" w:hAnsi="Arial" w:cs="Arial"/>
        </w:rPr>
        <w:t>Bennah</w:t>
      </w:r>
      <w:proofErr w:type="spellEnd"/>
      <w:r w:rsidRPr="00B01850">
        <w:rPr>
          <w:rFonts w:ascii="Arial" w:eastAsia="Calibri" w:hAnsi="Arial" w:cs="Arial"/>
        </w:rPr>
        <w:t xml:space="preserve"> à Forécariah (</w:t>
      </w:r>
      <w:smartTag w:uri="urn:schemas-microsoft-com:office:smarttags" w:element="metricconverter">
        <w:smartTagPr>
          <w:attr w:name="ProductID" w:val="1124 m"/>
        </w:smartTagPr>
        <w:r w:rsidRPr="00B01850">
          <w:rPr>
            <w:rFonts w:ascii="Arial" w:eastAsia="Calibri" w:hAnsi="Arial" w:cs="Arial"/>
          </w:rPr>
          <w:t>1124 m</w:t>
        </w:r>
      </w:smartTag>
      <w:r w:rsidRPr="00B01850">
        <w:rPr>
          <w:rFonts w:ascii="Arial" w:eastAsia="Calibri" w:hAnsi="Arial" w:cs="Arial"/>
        </w:rPr>
        <w:t xml:space="preserve">) </w:t>
      </w:r>
      <w:bookmarkEnd w:id="50"/>
      <w:r w:rsidRPr="00B01850">
        <w:rPr>
          <w:rFonts w:ascii="Arial" w:eastAsia="Calibri" w:hAnsi="Arial" w:cs="Arial"/>
        </w:rPr>
        <w:t xml:space="preserve">et </w:t>
      </w:r>
      <w:proofErr w:type="spellStart"/>
      <w:r w:rsidRPr="00B01850">
        <w:rPr>
          <w:rFonts w:ascii="Arial" w:eastAsia="Calibri" w:hAnsi="Arial" w:cs="Arial"/>
        </w:rPr>
        <w:t>Loubha</w:t>
      </w:r>
      <w:proofErr w:type="spellEnd"/>
      <w:r w:rsidRPr="00B01850">
        <w:rPr>
          <w:rFonts w:ascii="Arial" w:eastAsia="Calibri" w:hAnsi="Arial" w:cs="Arial"/>
        </w:rPr>
        <w:t xml:space="preserve"> à </w:t>
      </w:r>
      <w:proofErr w:type="spellStart"/>
      <w:r w:rsidRPr="00B01850">
        <w:rPr>
          <w:rFonts w:ascii="Arial" w:eastAsia="Calibri" w:hAnsi="Arial" w:cs="Arial"/>
        </w:rPr>
        <w:t>Télimélé</w:t>
      </w:r>
      <w:proofErr w:type="spellEnd"/>
      <w:r w:rsidRPr="00B01850">
        <w:rPr>
          <w:rFonts w:ascii="Arial" w:eastAsia="Calibri" w:hAnsi="Arial" w:cs="Arial"/>
        </w:rPr>
        <w:t xml:space="preserve"> (</w:t>
      </w:r>
      <w:smartTag w:uri="urn:schemas-microsoft-com:office:smarttags" w:element="metricconverter">
        <w:smartTagPr>
          <w:attr w:name="ProductID" w:val="800 m"/>
        </w:smartTagPr>
        <w:r w:rsidRPr="00B01850">
          <w:rPr>
            <w:rFonts w:ascii="Arial" w:eastAsia="Calibri" w:hAnsi="Arial" w:cs="Arial"/>
          </w:rPr>
          <w:t>800 m</w:t>
        </w:r>
      </w:smartTag>
      <w:r w:rsidRPr="00B01850">
        <w:rPr>
          <w:rFonts w:ascii="Arial" w:eastAsia="Calibri" w:hAnsi="Arial" w:cs="Arial"/>
        </w:rPr>
        <w:t>).</w:t>
      </w:r>
    </w:p>
    <w:p w14:paraId="2478C562" w14:textId="77777777"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 xml:space="preserve">Le climat de la Basse Guinée est un climat tropical, humide appelé climat </w:t>
      </w:r>
      <w:proofErr w:type="spellStart"/>
      <w:r w:rsidRPr="00B01850">
        <w:rPr>
          <w:rFonts w:ascii="Arial" w:eastAsia="Calibri" w:hAnsi="Arial" w:cs="Arial"/>
        </w:rPr>
        <w:t>subguinéen</w:t>
      </w:r>
      <w:proofErr w:type="spellEnd"/>
      <w:r w:rsidRPr="00B01850">
        <w:rPr>
          <w:rFonts w:ascii="Arial" w:eastAsia="Calibri" w:hAnsi="Arial" w:cs="Arial"/>
        </w:rPr>
        <w:t xml:space="preserve">. Il subit fortement l'influence conjuguée de la proximité de la mer et de la disposition presque parallèle à la côte de la retombée occidentale du Fouta </w:t>
      </w:r>
      <w:proofErr w:type="spellStart"/>
      <w:r w:rsidRPr="00B01850">
        <w:rPr>
          <w:rFonts w:ascii="Arial" w:eastAsia="Calibri" w:hAnsi="Arial" w:cs="Arial"/>
        </w:rPr>
        <w:t>Djallon</w:t>
      </w:r>
      <w:proofErr w:type="spellEnd"/>
      <w:r w:rsidRPr="00B01850">
        <w:rPr>
          <w:rFonts w:ascii="Arial" w:eastAsia="Calibri" w:hAnsi="Arial" w:cs="Arial"/>
        </w:rPr>
        <w:t>.</w:t>
      </w:r>
    </w:p>
    <w:p w14:paraId="4838FCC5" w14:textId="3F228643" w:rsidR="00F07CFE" w:rsidRPr="00B01850" w:rsidRDefault="00F07CFE" w:rsidP="00F07CFE">
      <w:pPr>
        <w:spacing w:after="0" w:line="240" w:lineRule="auto"/>
        <w:jc w:val="both"/>
        <w:rPr>
          <w:rFonts w:ascii="Arial" w:eastAsia="Times New Roman" w:hAnsi="Arial" w:cs="Arial"/>
          <w:lang w:eastAsia="fr-FR"/>
        </w:rPr>
      </w:pPr>
      <w:r w:rsidRPr="00B01850">
        <w:rPr>
          <w:rFonts w:ascii="Arial" w:eastAsia="Times New Roman" w:hAnsi="Arial" w:cs="Arial"/>
          <w:lang w:eastAsia="fr-FR"/>
        </w:rPr>
        <w:t xml:space="preserve">La Guinée Maritime possède un système impressionnant et complexe de cours d'eau. Ceux-ci naissent au cœur ou sur les pentes du Fouta </w:t>
      </w:r>
      <w:proofErr w:type="spellStart"/>
      <w:r w:rsidRPr="00B01850">
        <w:rPr>
          <w:rFonts w:ascii="Arial" w:eastAsia="Times New Roman" w:hAnsi="Arial" w:cs="Arial"/>
          <w:lang w:eastAsia="fr-FR"/>
        </w:rPr>
        <w:t>Djallon</w:t>
      </w:r>
      <w:proofErr w:type="spellEnd"/>
      <w:r w:rsidRPr="00B01850">
        <w:rPr>
          <w:rFonts w:ascii="Arial" w:eastAsia="Times New Roman" w:hAnsi="Arial" w:cs="Arial"/>
          <w:lang w:eastAsia="fr-FR"/>
        </w:rPr>
        <w:t xml:space="preserve"> et prennent la direction de l'Océan Atlantique où ils se jettent directement ou par des détours, à travers de larges estuaires (les </w:t>
      </w:r>
      <w:r w:rsidRPr="00B01850">
        <w:rPr>
          <w:rFonts w:ascii="Arial" w:eastAsia="Times New Roman" w:hAnsi="Arial" w:cs="Arial"/>
          <w:i/>
          <w:iCs/>
          <w:lang w:eastAsia="fr-FR"/>
        </w:rPr>
        <w:t>Rio</w:t>
      </w:r>
      <w:r w:rsidRPr="00B01850">
        <w:rPr>
          <w:rFonts w:ascii="Arial" w:eastAsia="Times New Roman" w:hAnsi="Arial" w:cs="Arial"/>
          <w:lang w:eastAsia="fr-FR"/>
        </w:rPr>
        <w:t xml:space="preserve"> ou </w:t>
      </w:r>
      <w:r w:rsidRPr="00B01850">
        <w:rPr>
          <w:rFonts w:ascii="Arial" w:eastAsia="Times New Roman" w:hAnsi="Arial" w:cs="Arial"/>
          <w:i/>
          <w:iCs/>
          <w:lang w:eastAsia="fr-FR"/>
        </w:rPr>
        <w:t>Rias</w:t>
      </w:r>
      <w:r w:rsidRPr="00B01850">
        <w:rPr>
          <w:rFonts w:ascii="Arial" w:eastAsia="Times New Roman" w:hAnsi="Arial" w:cs="Arial"/>
          <w:lang w:eastAsia="fr-FR"/>
        </w:rPr>
        <w:t xml:space="preserve">). Ces cours d'eau sont : Le </w:t>
      </w:r>
      <w:proofErr w:type="spellStart"/>
      <w:r w:rsidRPr="00B01850">
        <w:rPr>
          <w:rFonts w:ascii="Arial" w:eastAsia="Times New Roman" w:hAnsi="Arial" w:cs="Arial"/>
          <w:bCs/>
          <w:lang w:eastAsia="fr-FR"/>
        </w:rPr>
        <w:t>Cogon</w:t>
      </w:r>
      <w:proofErr w:type="spellEnd"/>
      <w:r w:rsidRPr="00B01850">
        <w:rPr>
          <w:rFonts w:ascii="Arial" w:eastAsia="Times New Roman" w:hAnsi="Arial" w:cs="Arial"/>
          <w:lang w:eastAsia="fr-FR"/>
        </w:rPr>
        <w:t xml:space="preserve">, </w:t>
      </w:r>
      <w:r w:rsidRPr="00B01850">
        <w:rPr>
          <w:rFonts w:ascii="Arial" w:eastAsia="Times New Roman" w:hAnsi="Arial" w:cs="Arial"/>
          <w:bCs/>
          <w:lang w:eastAsia="fr-FR"/>
        </w:rPr>
        <w:t>l</w:t>
      </w:r>
      <w:r w:rsidRPr="00B01850">
        <w:rPr>
          <w:rFonts w:ascii="Arial" w:eastAsia="Times New Roman" w:hAnsi="Arial" w:cs="Arial"/>
          <w:lang w:eastAsia="fr-FR"/>
        </w:rPr>
        <w:t xml:space="preserve">e </w:t>
      </w:r>
      <w:proofErr w:type="spellStart"/>
      <w:r w:rsidRPr="00B01850">
        <w:rPr>
          <w:rFonts w:ascii="Arial" w:eastAsia="Times New Roman" w:hAnsi="Arial" w:cs="Arial"/>
          <w:bCs/>
          <w:lang w:eastAsia="fr-FR"/>
        </w:rPr>
        <w:t>Bourounao</w:t>
      </w:r>
      <w:proofErr w:type="spellEnd"/>
      <w:r w:rsidRPr="00B01850">
        <w:rPr>
          <w:rFonts w:ascii="Arial" w:eastAsia="Times New Roman" w:hAnsi="Arial" w:cs="Arial"/>
          <w:lang w:eastAsia="fr-FR"/>
        </w:rPr>
        <w:t xml:space="preserve"> et le </w:t>
      </w:r>
      <w:proofErr w:type="spellStart"/>
      <w:r w:rsidRPr="00B01850">
        <w:rPr>
          <w:rFonts w:ascii="Arial" w:eastAsia="Times New Roman" w:hAnsi="Arial" w:cs="Arial"/>
          <w:bCs/>
          <w:lang w:eastAsia="fr-FR"/>
        </w:rPr>
        <w:t>Tinguilinta</w:t>
      </w:r>
      <w:proofErr w:type="spellEnd"/>
      <w:r w:rsidRPr="00B01850">
        <w:rPr>
          <w:rFonts w:ascii="Arial" w:eastAsia="Times New Roman" w:hAnsi="Arial" w:cs="Arial"/>
          <w:lang w:eastAsia="fr-FR"/>
        </w:rPr>
        <w:t xml:space="preserve">, Le </w:t>
      </w:r>
      <w:r w:rsidRPr="00B01850">
        <w:rPr>
          <w:rFonts w:ascii="Arial" w:eastAsia="Times New Roman" w:hAnsi="Arial" w:cs="Arial"/>
          <w:bCs/>
          <w:lang w:eastAsia="fr-FR"/>
        </w:rPr>
        <w:t xml:space="preserve">Rio </w:t>
      </w:r>
      <w:proofErr w:type="spellStart"/>
      <w:r w:rsidRPr="00B01850">
        <w:rPr>
          <w:rFonts w:ascii="Arial" w:eastAsia="Times New Roman" w:hAnsi="Arial" w:cs="Arial"/>
          <w:bCs/>
          <w:lang w:eastAsia="fr-FR"/>
        </w:rPr>
        <w:t>Kappatchez</w:t>
      </w:r>
      <w:proofErr w:type="spellEnd"/>
      <w:r w:rsidRPr="00B01850">
        <w:rPr>
          <w:rFonts w:ascii="Arial" w:eastAsia="Times New Roman" w:hAnsi="Arial" w:cs="Arial"/>
          <w:lang w:eastAsia="fr-FR"/>
        </w:rPr>
        <w:t xml:space="preserve">, la </w:t>
      </w:r>
      <w:proofErr w:type="spellStart"/>
      <w:r w:rsidRPr="00B01850">
        <w:rPr>
          <w:rFonts w:ascii="Arial" w:eastAsia="Times New Roman" w:hAnsi="Arial" w:cs="Arial"/>
          <w:bCs/>
          <w:lang w:eastAsia="fr-FR"/>
        </w:rPr>
        <w:t>Fatala</w:t>
      </w:r>
      <w:proofErr w:type="spellEnd"/>
      <w:r w:rsidRPr="00B01850">
        <w:rPr>
          <w:rFonts w:ascii="Arial" w:eastAsia="Times New Roman" w:hAnsi="Arial" w:cs="Arial"/>
          <w:lang w:eastAsia="fr-FR"/>
        </w:rPr>
        <w:t xml:space="preserve">, </w:t>
      </w:r>
      <w:r w:rsidRPr="00B01850">
        <w:rPr>
          <w:rFonts w:ascii="Arial" w:eastAsia="Times New Roman" w:hAnsi="Arial" w:cs="Arial"/>
          <w:bCs/>
          <w:lang w:eastAsia="fr-FR"/>
        </w:rPr>
        <w:t>l</w:t>
      </w:r>
      <w:r w:rsidRPr="00B01850">
        <w:rPr>
          <w:rFonts w:ascii="Arial" w:eastAsia="Calibri" w:hAnsi="Arial" w:cs="Arial"/>
        </w:rPr>
        <w:t xml:space="preserve">e </w:t>
      </w:r>
      <w:proofErr w:type="spellStart"/>
      <w:r w:rsidRPr="00B01850">
        <w:rPr>
          <w:rFonts w:ascii="Arial" w:eastAsia="Calibri" w:hAnsi="Arial" w:cs="Arial"/>
        </w:rPr>
        <w:t>konkouré</w:t>
      </w:r>
      <w:proofErr w:type="spellEnd"/>
      <w:r w:rsidRPr="00B01850">
        <w:rPr>
          <w:rFonts w:ascii="Arial" w:eastAsia="Calibri" w:hAnsi="Arial" w:cs="Arial"/>
        </w:rPr>
        <w:t xml:space="preserve"> le </w:t>
      </w:r>
      <w:proofErr w:type="spellStart"/>
      <w:r w:rsidRPr="00B01850">
        <w:rPr>
          <w:rFonts w:ascii="Arial" w:eastAsia="Calibri" w:hAnsi="Arial" w:cs="Arial"/>
        </w:rPr>
        <w:t>Badi</w:t>
      </w:r>
      <w:proofErr w:type="spellEnd"/>
      <w:r w:rsidRPr="00B01850">
        <w:rPr>
          <w:rFonts w:ascii="Arial" w:eastAsia="Calibri" w:hAnsi="Arial" w:cs="Arial"/>
        </w:rPr>
        <w:t>, l</w:t>
      </w:r>
      <w:r w:rsidRPr="00B01850">
        <w:rPr>
          <w:rFonts w:ascii="Arial" w:eastAsia="Times New Roman" w:hAnsi="Arial" w:cs="Arial"/>
          <w:lang w:eastAsia="fr-FR"/>
        </w:rPr>
        <w:t xml:space="preserve">e </w:t>
      </w:r>
      <w:proofErr w:type="spellStart"/>
      <w:r w:rsidRPr="00B01850">
        <w:rPr>
          <w:rFonts w:ascii="Arial" w:eastAsia="Times New Roman" w:hAnsi="Arial" w:cs="Arial"/>
          <w:lang w:eastAsia="fr-FR"/>
        </w:rPr>
        <w:t>Kolenté</w:t>
      </w:r>
      <w:proofErr w:type="spellEnd"/>
      <w:r w:rsidRPr="00B01850">
        <w:rPr>
          <w:rFonts w:ascii="Arial" w:eastAsia="Times New Roman" w:hAnsi="Arial" w:cs="Arial"/>
          <w:lang w:eastAsia="fr-FR"/>
        </w:rPr>
        <w:t xml:space="preserve"> </w:t>
      </w:r>
    </w:p>
    <w:p w14:paraId="4D45E5EF" w14:textId="77777777" w:rsidR="00F07CFE" w:rsidRPr="00B01850" w:rsidRDefault="00F07CFE" w:rsidP="00410E28">
      <w:pPr>
        <w:spacing w:before="120" w:after="0" w:line="240" w:lineRule="auto"/>
        <w:jc w:val="both"/>
        <w:rPr>
          <w:rFonts w:ascii="Arial" w:eastAsia="Times New Roman" w:hAnsi="Arial" w:cs="Arial"/>
          <w:lang w:eastAsia="fr-FR"/>
        </w:rPr>
      </w:pPr>
      <w:r w:rsidRPr="00B01850">
        <w:rPr>
          <w:rFonts w:ascii="Arial" w:eastAsia="Calibri" w:hAnsi="Arial" w:cs="Arial"/>
        </w:rPr>
        <w:t>La végétation de la Basse Guinée est du type tropical côtier et est constituée de mangrove le long du littoral. Presque toute la côte est couverte par une ceinture de mangroves, avec la mangrove rouge (</w:t>
      </w:r>
      <w:proofErr w:type="spellStart"/>
      <w:r w:rsidRPr="00B01850">
        <w:rPr>
          <w:rFonts w:ascii="Arial" w:eastAsia="Calibri" w:hAnsi="Arial" w:cs="Arial"/>
          <w:i/>
        </w:rPr>
        <w:t>Rizophora</w:t>
      </w:r>
      <w:proofErr w:type="spellEnd"/>
      <w:r w:rsidRPr="00B01850">
        <w:rPr>
          <w:rFonts w:ascii="Arial" w:eastAsia="Calibri" w:hAnsi="Arial" w:cs="Arial"/>
          <w:i/>
        </w:rPr>
        <w:t xml:space="preserve"> </w:t>
      </w:r>
      <w:proofErr w:type="spellStart"/>
      <w:r w:rsidRPr="00B01850">
        <w:rPr>
          <w:rFonts w:ascii="Arial" w:eastAsia="Calibri" w:hAnsi="Arial" w:cs="Arial"/>
          <w:i/>
        </w:rPr>
        <w:t>racemosa</w:t>
      </w:r>
      <w:proofErr w:type="spellEnd"/>
      <w:r w:rsidRPr="00B01850">
        <w:rPr>
          <w:rFonts w:ascii="Arial" w:eastAsia="Calibri" w:hAnsi="Arial" w:cs="Arial"/>
        </w:rPr>
        <w:t>) et la mangrove blanche (</w:t>
      </w:r>
      <w:proofErr w:type="spellStart"/>
      <w:r w:rsidRPr="00B01850">
        <w:rPr>
          <w:rFonts w:ascii="Arial" w:eastAsia="Calibri" w:hAnsi="Arial" w:cs="Arial"/>
          <w:i/>
        </w:rPr>
        <w:t>Avicennia</w:t>
      </w:r>
      <w:proofErr w:type="spellEnd"/>
      <w:r w:rsidRPr="00B01850">
        <w:rPr>
          <w:rFonts w:ascii="Arial" w:eastAsia="Calibri" w:hAnsi="Arial" w:cs="Arial"/>
          <w:i/>
        </w:rPr>
        <w:t xml:space="preserve"> </w:t>
      </w:r>
      <w:proofErr w:type="spellStart"/>
      <w:r w:rsidRPr="00B01850">
        <w:rPr>
          <w:rFonts w:ascii="Arial" w:eastAsia="Calibri" w:hAnsi="Arial" w:cs="Arial"/>
          <w:i/>
        </w:rPr>
        <w:t>nitida</w:t>
      </w:r>
      <w:proofErr w:type="spellEnd"/>
      <w:r w:rsidRPr="00B01850">
        <w:rPr>
          <w:rFonts w:ascii="Arial" w:eastAsia="Calibri" w:hAnsi="Arial" w:cs="Arial"/>
        </w:rPr>
        <w:t>). La mangrove est suivie vers l'intérieur du continent par des forêts dense, claire ou de la savane. On y rencontre aussi des fromagers, palmiers, cocotiers et colatiers.</w:t>
      </w:r>
    </w:p>
    <w:p w14:paraId="0D92EFE6" w14:textId="77777777"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lastRenderedPageBreak/>
        <w:t xml:space="preserve">La zone côtière guinéenne connaît une dégradation progressive qui a un impact sur l’écosystème marin : coupe de bois de mangrove pour les besoins de saliculture et de bois de service, érosion côtière et rejets en mer des déchets solides domestiques (ordures ménagères) et industriels, rejets d’effluents liquides provoquant du coup des pollutions significatives. </w:t>
      </w:r>
    </w:p>
    <w:p w14:paraId="5909F783" w14:textId="77777777"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L’écosystème urbain de Conakry, connaît un environnement critique caractérisé par la promiscuité et l’insalubrité de l’habitat de la plupart des quartiers qui souffrent de problèmes d’accès à l’eau potable et d’infrastructures d’assainissement, de protection contre les risques naturels ou provoqués, de contrôle et de traitement des eaux usées, de collecte et d’évacuation des ordures.</w:t>
      </w:r>
    </w:p>
    <w:p w14:paraId="6E6935D4" w14:textId="4A675149" w:rsidR="00F07CFE" w:rsidRPr="00B01850" w:rsidRDefault="00F07CFE" w:rsidP="00410E28">
      <w:pPr>
        <w:autoSpaceDE w:val="0"/>
        <w:autoSpaceDN w:val="0"/>
        <w:adjustRightInd w:val="0"/>
        <w:spacing w:before="120" w:after="0" w:line="240" w:lineRule="auto"/>
        <w:jc w:val="both"/>
        <w:rPr>
          <w:rFonts w:ascii="Arial" w:eastAsia="Calibri" w:hAnsi="Arial" w:cs="Arial"/>
        </w:rPr>
      </w:pPr>
      <w:r w:rsidRPr="00B01850">
        <w:rPr>
          <w:rFonts w:ascii="Arial" w:eastAsia="Calibri" w:hAnsi="Arial" w:cs="Arial"/>
        </w:rPr>
        <w:t xml:space="preserve">La Basse Guinée dispose d’énormes ressources naturelles offrant des potentialités d’activités économiques multiples en production agricole, exploitation minière et pêche artisanale et industrielle. Le riz, les noix de coco et de palmistes, la </w:t>
      </w:r>
      <w:r w:rsidR="00410E28" w:rsidRPr="00B01850">
        <w:rPr>
          <w:rFonts w:ascii="Arial" w:eastAsia="Calibri" w:hAnsi="Arial" w:cs="Arial"/>
        </w:rPr>
        <w:t xml:space="preserve">noix de </w:t>
      </w:r>
      <w:r w:rsidRPr="00B01850">
        <w:rPr>
          <w:rFonts w:ascii="Arial" w:eastAsia="Calibri" w:hAnsi="Arial" w:cs="Arial"/>
        </w:rPr>
        <w:t xml:space="preserve">cola, les bananes, les ananas, les agrumes et les cultures vivrières constituent les principales cultures.  </w:t>
      </w:r>
    </w:p>
    <w:p w14:paraId="5542ECAB" w14:textId="77777777" w:rsidR="00F07CFE" w:rsidRPr="00B01850" w:rsidRDefault="00F07CFE" w:rsidP="00214DCC">
      <w:pPr>
        <w:pStyle w:val="ListParagraph"/>
        <w:numPr>
          <w:ilvl w:val="0"/>
          <w:numId w:val="44"/>
        </w:numPr>
        <w:autoSpaceDE w:val="0"/>
        <w:autoSpaceDN w:val="0"/>
        <w:adjustRightInd w:val="0"/>
        <w:spacing w:before="120" w:after="120" w:line="240" w:lineRule="auto"/>
        <w:jc w:val="both"/>
        <w:rPr>
          <w:rFonts w:ascii="Arial" w:eastAsia="Calibri" w:hAnsi="Arial" w:cs="Arial"/>
          <w:i/>
          <w:iCs/>
        </w:rPr>
      </w:pPr>
      <w:bookmarkStart w:id="51" w:name="_Toc528854480"/>
      <w:r w:rsidRPr="00B01850">
        <w:rPr>
          <w:rFonts w:ascii="Arial" w:eastAsia="Calibri" w:hAnsi="Arial" w:cs="Arial"/>
          <w:i/>
          <w:iCs/>
        </w:rPr>
        <w:t>État de l’environnement en Moyenne Guinée</w:t>
      </w:r>
      <w:bookmarkEnd w:id="51"/>
    </w:p>
    <w:p w14:paraId="037E3045" w14:textId="77777777"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 xml:space="preserve">La moyenne Guinée est une région de montagne caractérisée par les contreforts du Fouta </w:t>
      </w:r>
      <w:proofErr w:type="spellStart"/>
      <w:r w:rsidRPr="00B01850">
        <w:rPr>
          <w:rFonts w:ascii="Arial" w:eastAsia="Calibri" w:hAnsi="Arial" w:cs="Arial"/>
        </w:rPr>
        <w:t>Djallon</w:t>
      </w:r>
      <w:proofErr w:type="spellEnd"/>
      <w:r w:rsidRPr="00B01850">
        <w:rPr>
          <w:rFonts w:ascii="Arial" w:eastAsia="Calibri" w:hAnsi="Arial" w:cs="Arial"/>
        </w:rPr>
        <w:t xml:space="preserve">. Elle est presque entièrement dominée par la chaîne montagneuse du Fouta </w:t>
      </w:r>
      <w:proofErr w:type="spellStart"/>
      <w:r w:rsidRPr="00B01850">
        <w:rPr>
          <w:rFonts w:ascii="Arial" w:eastAsia="Calibri" w:hAnsi="Arial" w:cs="Arial"/>
        </w:rPr>
        <w:t>Djallon</w:t>
      </w:r>
      <w:proofErr w:type="spellEnd"/>
      <w:r w:rsidRPr="00B01850">
        <w:rPr>
          <w:rFonts w:ascii="Arial" w:eastAsia="Calibri" w:hAnsi="Arial" w:cs="Arial"/>
        </w:rPr>
        <w:t xml:space="preserve"> dont l'altitude moyenne dépasse partout 700 m. La chaîne du Fouta </w:t>
      </w:r>
      <w:proofErr w:type="spellStart"/>
      <w:r w:rsidRPr="00B01850">
        <w:rPr>
          <w:rFonts w:ascii="Arial" w:eastAsia="Calibri" w:hAnsi="Arial" w:cs="Arial"/>
        </w:rPr>
        <w:t>Djallon</w:t>
      </w:r>
      <w:proofErr w:type="spellEnd"/>
      <w:r w:rsidRPr="00B01850">
        <w:rPr>
          <w:rFonts w:ascii="Arial" w:eastAsia="Calibri" w:hAnsi="Arial" w:cs="Arial"/>
        </w:rPr>
        <w:t xml:space="preserve"> se divise en massifs compacts, dominant les plateaux, le tout entrecoupé de profondes vallées. Les sommets les plus élevés de cette chaîne sont : Le Mont Tinka (1425m), qui domine le plateau de </w:t>
      </w:r>
      <w:proofErr w:type="spellStart"/>
      <w:r w:rsidRPr="00B01850">
        <w:rPr>
          <w:rFonts w:ascii="Arial" w:eastAsia="Calibri" w:hAnsi="Arial" w:cs="Arial"/>
        </w:rPr>
        <w:t>Dalaba</w:t>
      </w:r>
      <w:proofErr w:type="spellEnd"/>
      <w:r w:rsidRPr="00B01850">
        <w:rPr>
          <w:rFonts w:ascii="Arial" w:eastAsia="Calibri" w:hAnsi="Arial" w:cs="Arial"/>
        </w:rPr>
        <w:t xml:space="preserve">, le Mont Loura (1515 m), point culminant du Fouta </w:t>
      </w:r>
      <w:proofErr w:type="spellStart"/>
      <w:r w:rsidRPr="00B01850">
        <w:rPr>
          <w:rFonts w:ascii="Arial" w:eastAsia="Calibri" w:hAnsi="Arial" w:cs="Arial"/>
        </w:rPr>
        <w:t>Djallon</w:t>
      </w:r>
      <w:proofErr w:type="spellEnd"/>
      <w:r w:rsidRPr="00B01850">
        <w:rPr>
          <w:rFonts w:ascii="Arial" w:eastAsia="Calibri" w:hAnsi="Arial" w:cs="Arial"/>
        </w:rPr>
        <w:t xml:space="preserve">, dominant les falaises qui surplombent la vallée du fleuve Gambie. Certains sommets plus isolés atteignent des altitudes fort élevées : mont de </w:t>
      </w:r>
      <w:proofErr w:type="spellStart"/>
      <w:r w:rsidRPr="00B01850">
        <w:rPr>
          <w:rFonts w:ascii="Arial" w:eastAsia="Calibri" w:hAnsi="Arial" w:cs="Arial"/>
        </w:rPr>
        <w:t>Maci</w:t>
      </w:r>
      <w:proofErr w:type="spellEnd"/>
      <w:r w:rsidRPr="00B01850">
        <w:rPr>
          <w:rFonts w:ascii="Arial" w:eastAsia="Calibri" w:hAnsi="Arial" w:cs="Arial"/>
        </w:rPr>
        <w:t xml:space="preserve"> (Pita), mont de </w:t>
      </w:r>
      <w:proofErr w:type="spellStart"/>
      <w:r w:rsidRPr="00B01850">
        <w:rPr>
          <w:rFonts w:ascii="Arial" w:eastAsia="Calibri" w:hAnsi="Arial" w:cs="Arial"/>
        </w:rPr>
        <w:t>Kokoulo</w:t>
      </w:r>
      <w:proofErr w:type="spellEnd"/>
      <w:r w:rsidRPr="00B01850">
        <w:rPr>
          <w:rFonts w:ascii="Arial" w:eastAsia="Calibri" w:hAnsi="Arial" w:cs="Arial"/>
        </w:rPr>
        <w:t xml:space="preserve"> (Labé), mont de </w:t>
      </w:r>
      <w:proofErr w:type="spellStart"/>
      <w:r w:rsidRPr="00B01850">
        <w:rPr>
          <w:rFonts w:ascii="Arial" w:eastAsia="Calibri" w:hAnsi="Arial" w:cs="Arial"/>
        </w:rPr>
        <w:t>Badiar</w:t>
      </w:r>
      <w:proofErr w:type="spellEnd"/>
      <w:r w:rsidRPr="00B01850">
        <w:rPr>
          <w:rFonts w:ascii="Arial" w:eastAsia="Calibri" w:hAnsi="Arial" w:cs="Arial"/>
        </w:rPr>
        <w:t xml:space="preserve"> (Koundara).</w:t>
      </w:r>
    </w:p>
    <w:p w14:paraId="1B0E79DF" w14:textId="77777777"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 xml:space="preserve">Les écosystèmes montagneux du Fouta </w:t>
      </w:r>
      <w:proofErr w:type="spellStart"/>
      <w:r w:rsidRPr="00B01850">
        <w:rPr>
          <w:rFonts w:ascii="Arial" w:eastAsia="Calibri" w:hAnsi="Arial" w:cs="Arial"/>
        </w:rPr>
        <w:t>Djallon</w:t>
      </w:r>
      <w:proofErr w:type="spellEnd"/>
      <w:r w:rsidRPr="00B01850">
        <w:rPr>
          <w:rFonts w:ascii="Arial" w:eastAsia="Calibri" w:hAnsi="Arial" w:cs="Arial"/>
        </w:rPr>
        <w:t xml:space="preserve"> constituent un important réservoir d’eau et une source potentielle d’énergie hydroélectrique. Ces écosystèmes sont encore le siège d’une diversité biologique abondante. Cependant, comme toute région montagneuse, la Moyenne Guinée est très sensible à tout déséquilibre écologique. Elle est exposée à l’intensité des activités humaines, à une érosion accélérée des sols et à une perte rapide du couvert végétal (habitats de la faune) et de la diversité biologique.  </w:t>
      </w:r>
    </w:p>
    <w:p w14:paraId="15661956" w14:textId="77777777"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 xml:space="preserve">En Moyenne Guinée, l’activité humaine sans cesse accrue a dégradé les écosystèmes aquatiques, notamment sur les bassins versants par l’agriculture itinérante avec défrichement, culture sur brûlis, cultures sur pentes à cycles très rapprochés, surpâturage. Il faut noter aussi que l’exploitation minière et la coupe abusive du bois affectent le sol, le sous-sol, le couvert végétal et dégrade la faune par des facteurs divers. L’érosion a provoqué la sédimentation et l’envasement accéléré des cours d’eau en Moyenne Guinée, entraînant un changement des équilibres biologiques. </w:t>
      </w:r>
    </w:p>
    <w:p w14:paraId="08E6AA00" w14:textId="77777777" w:rsidR="00F07CFE" w:rsidRPr="00B01850" w:rsidRDefault="00F07CFE" w:rsidP="00F07CFE">
      <w:pPr>
        <w:spacing w:after="0" w:line="240" w:lineRule="auto"/>
        <w:jc w:val="both"/>
        <w:rPr>
          <w:rFonts w:ascii="Arial" w:eastAsia="Calibri" w:hAnsi="Arial" w:cs="Arial"/>
          <w:color w:val="000000"/>
        </w:rPr>
      </w:pPr>
      <w:r w:rsidRPr="00B01850">
        <w:rPr>
          <w:rFonts w:ascii="Arial" w:eastAsia="Calibri" w:hAnsi="Arial" w:cs="Arial"/>
        </w:rPr>
        <w:t xml:space="preserve">Le climat de la Moyenne Guinée ou climat foutanien est un climat de rythme tropical modifié par l'altitude. Il subit également l'influence de l'Océan Atlantique à l'Ouest. L'année se divise en 2 saisons de durée à peu près égale </w:t>
      </w:r>
      <w:r w:rsidRPr="00B01850">
        <w:rPr>
          <w:rFonts w:ascii="Arial" w:eastAsia="Calibri" w:hAnsi="Arial" w:cs="Arial"/>
          <w:color w:val="000000"/>
        </w:rPr>
        <w:t xml:space="preserve">la saison sèche, la saison des pluies. </w:t>
      </w:r>
    </w:p>
    <w:p w14:paraId="1414667E" w14:textId="77777777"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 xml:space="preserve">Le réseau hydrographique de la Moyenne Guinée est très dense et comprend : Le fleuve Konkouré la </w:t>
      </w:r>
      <w:proofErr w:type="spellStart"/>
      <w:r w:rsidRPr="00B01850">
        <w:rPr>
          <w:rFonts w:ascii="Arial" w:eastAsia="Calibri" w:hAnsi="Arial" w:cs="Arial"/>
        </w:rPr>
        <w:t>Kakrima</w:t>
      </w:r>
      <w:proofErr w:type="spellEnd"/>
      <w:r w:rsidRPr="00B01850">
        <w:rPr>
          <w:rFonts w:ascii="Arial" w:eastAsia="Calibri" w:hAnsi="Arial" w:cs="Arial"/>
        </w:rPr>
        <w:t xml:space="preserve">, le </w:t>
      </w:r>
      <w:proofErr w:type="spellStart"/>
      <w:r w:rsidRPr="00B01850">
        <w:rPr>
          <w:rFonts w:ascii="Arial" w:eastAsia="Calibri" w:hAnsi="Arial" w:cs="Arial"/>
        </w:rPr>
        <w:t>Fetoré</w:t>
      </w:r>
      <w:proofErr w:type="spellEnd"/>
      <w:r w:rsidRPr="00B01850">
        <w:rPr>
          <w:rFonts w:ascii="Arial" w:eastAsia="Calibri" w:hAnsi="Arial" w:cs="Arial"/>
        </w:rPr>
        <w:t xml:space="preserve">, le </w:t>
      </w:r>
      <w:proofErr w:type="spellStart"/>
      <w:r w:rsidRPr="00B01850">
        <w:rPr>
          <w:rFonts w:ascii="Arial" w:eastAsia="Calibri" w:hAnsi="Arial" w:cs="Arial"/>
        </w:rPr>
        <w:t>Kokoulo</w:t>
      </w:r>
      <w:proofErr w:type="spellEnd"/>
      <w:r w:rsidRPr="00B01850">
        <w:rPr>
          <w:rFonts w:ascii="Arial" w:eastAsia="Calibri" w:hAnsi="Arial" w:cs="Arial"/>
        </w:rPr>
        <w:t xml:space="preserve">, la Gambie etc. </w:t>
      </w:r>
    </w:p>
    <w:p w14:paraId="6DACB4DB" w14:textId="77777777" w:rsidR="00F07CFE" w:rsidRPr="00B01850" w:rsidRDefault="00F07CFE" w:rsidP="00214DCC">
      <w:pPr>
        <w:pStyle w:val="ListParagraph"/>
        <w:numPr>
          <w:ilvl w:val="0"/>
          <w:numId w:val="44"/>
        </w:numPr>
        <w:autoSpaceDE w:val="0"/>
        <w:autoSpaceDN w:val="0"/>
        <w:adjustRightInd w:val="0"/>
        <w:spacing w:before="120" w:after="120" w:line="240" w:lineRule="auto"/>
        <w:jc w:val="both"/>
        <w:rPr>
          <w:rFonts w:ascii="Arial" w:eastAsia="Calibri" w:hAnsi="Arial" w:cs="Arial"/>
          <w:i/>
          <w:iCs/>
        </w:rPr>
      </w:pPr>
      <w:bookmarkStart w:id="52" w:name="_Toc528854481"/>
      <w:r w:rsidRPr="00B01850">
        <w:rPr>
          <w:rFonts w:ascii="Arial" w:eastAsia="Calibri" w:hAnsi="Arial" w:cs="Arial"/>
          <w:i/>
          <w:iCs/>
        </w:rPr>
        <w:t>État de l’environnement en Haute Guinée</w:t>
      </w:r>
      <w:bookmarkEnd w:id="52"/>
    </w:p>
    <w:p w14:paraId="15A32188" w14:textId="77777777" w:rsidR="00F07CFE" w:rsidRPr="00B01850" w:rsidRDefault="00F07CFE" w:rsidP="00F07CFE">
      <w:pPr>
        <w:spacing w:after="0" w:line="240" w:lineRule="auto"/>
        <w:jc w:val="both"/>
        <w:rPr>
          <w:rFonts w:ascii="Arial" w:eastAsia="Times New Roman" w:hAnsi="Arial" w:cs="Arial"/>
          <w:lang w:eastAsia="fr-FR"/>
        </w:rPr>
      </w:pPr>
      <w:r w:rsidRPr="00B01850">
        <w:rPr>
          <w:rFonts w:ascii="Arial" w:eastAsia="Times New Roman" w:hAnsi="Arial" w:cs="Arial"/>
          <w:lang w:eastAsia="fr-FR"/>
        </w:rPr>
        <w:t>En Haute Guinée, le relief est caractérisé par la chaîne de Dabola-</w:t>
      </w:r>
      <w:proofErr w:type="spellStart"/>
      <w:r w:rsidRPr="00B01850">
        <w:rPr>
          <w:rFonts w:ascii="Arial" w:eastAsia="Times New Roman" w:hAnsi="Arial" w:cs="Arial"/>
          <w:lang w:eastAsia="fr-FR"/>
        </w:rPr>
        <w:t>Bissikrima</w:t>
      </w:r>
      <w:proofErr w:type="spellEnd"/>
      <w:r w:rsidRPr="00B01850">
        <w:rPr>
          <w:rFonts w:ascii="Arial" w:eastAsia="Times New Roman" w:hAnsi="Arial" w:cs="Arial"/>
          <w:lang w:eastAsia="fr-FR"/>
        </w:rPr>
        <w:t xml:space="preserve">, qui culmine au Mont </w:t>
      </w:r>
      <w:proofErr w:type="spellStart"/>
      <w:r w:rsidRPr="00B01850">
        <w:rPr>
          <w:rFonts w:ascii="Arial" w:eastAsia="Times New Roman" w:hAnsi="Arial" w:cs="Arial"/>
          <w:lang w:eastAsia="fr-FR"/>
        </w:rPr>
        <w:t>Sinséri</w:t>
      </w:r>
      <w:proofErr w:type="spellEnd"/>
      <w:r w:rsidRPr="00B01850">
        <w:rPr>
          <w:rFonts w:ascii="Arial" w:eastAsia="Times New Roman" w:hAnsi="Arial" w:cs="Arial"/>
          <w:lang w:eastAsia="fr-FR"/>
        </w:rPr>
        <w:t xml:space="preserve"> (1036 m), le massif de </w:t>
      </w:r>
      <w:proofErr w:type="spellStart"/>
      <w:r w:rsidRPr="00B01850">
        <w:rPr>
          <w:rFonts w:ascii="Arial" w:eastAsia="Times New Roman" w:hAnsi="Arial" w:cs="Arial"/>
          <w:lang w:eastAsia="fr-FR"/>
        </w:rPr>
        <w:t>Baléya</w:t>
      </w:r>
      <w:proofErr w:type="spellEnd"/>
      <w:r w:rsidRPr="00B01850">
        <w:rPr>
          <w:rFonts w:ascii="Arial" w:eastAsia="Times New Roman" w:hAnsi="Arial" w:cs="Arial"/>
          <w:lang w:eastAsia="fr-FR"/>
        </w:rPr>
        <w:t xml:space="preserve">, le massif de </w:t>
      </w:r>
      <w:proofErr w:type="spellStart"/>
      <w:r w:rsidRPr="00B01850">
        <w:rPr>
          <w:rFonts w:ascii="Arial" w:eastAsia="Times New Roman" w:hAnsi="Arial" w:cs="Arial"/>
          <w:lang w:eastAsia="fr-FR"/>
        </w:rPr>
        <w:t>Banko</w:t>
      </w:r>
      <w:proofErr w:type="spellEnd"/>
      <w:r w:rsidRPr="00B01850">
        <w:rPr>
          <w:rFonts w:ascii="Arial" w:eastAsia="Times New Roman" w:hAnsi="Arial" w:cs="Arial"/>
          <w:lang w:eastAsia="fr-FR"/>
        </w:rPr>
        <w:t xml:space="preserve"> et les hauteurs du </w:t>
      </w:r>
      <w:proofErr w:type="spellStart"/>
      <w:r w:rsidRPr="00B01850">
        <w:rPr>
          <w:rFonts w:ascii="Arial" w:eastAsia="Times New Roman" w:hAnsi="Arial" w:cs="Arial"/>
          <w:lang w:eastAsia="fr-FR"/>
        </w:rPr>
        <w:t>Niandan-Banié</w:t>
      </w:r>
      <w:proofErr w:type="spellEnd"/>
      <w:r w:rsidRPr="00B01850">
        <w:rPr>
          <w:rFonts w:ascii="Arial" w:eastAsia="Times New Roman" w:hAnsi="Arial" w:cs="Arial"/>
          <w:lang w:eastAsia="fr-FR"/>
        </w:rPr>
        <w:t xml:space="preserve">. La région comprend aussi des plateaux de vastes étendues telles que les plateaux du Bassin de Siguiri, mais moins élevés que ceux du Fouta. </w:t>
      </w:r>
    </w:p>
    <w:p w14:paraId="2E4A2E82" w14:textId="77777777" w:rsidR="00F07CFE" w:rsidRPr="00B01850" w:rsidRDefault="00F07CFE" w:rsidP="00346A99">
      <w:pPr>
        <w:spacing w:before="120" w:after="0" w:line="240" w:lineRule="auto"/>
        <w:jc w:val="both"/>
        <w:rPr>
          <w:rFonts w:ascii="Arial" w:eastAsia="Times New Roman" w:hAnsi="Arial" w:cs="Arial"/>
          <w:lang w:eastAsia="fr-FR"/>
        </w:rPr>
      </w:pPr>
      <w:r w:rsidRPr="00B01850">
        <w:rPr>
          <w:rFonts w:ascii="Arial" w:eastAsia="Times New Roman" w:hAnsi="Arial" w:cs="Arial"/>
          <w:lang w:eastAsia="fr-FR"/>
        </w:rPr>
        <w:t>Les plaines sédimentaires de la Haute Guinée bordent les cours d'eau et occupent de vastes superficies. Il s'agit notamment des plaines du Niger (Faranah, Kouroussa et Siguiri), des plaines du Milo (Kankan), des plaines de la Fié (</w:t>
      </w:r>
      <w:proofErr w:type="spellStart"/>
      <w:r w:rsidRPr="00B01850">
        <w:rPr>
          <w:rFonts w:ascii="Arial" w:eastAsia="Times New Roman" w:hAnsi="Arial" w:cs="Arial"/>
          <w:lang w:eastAsia="fr-FR"/>
        </w:rPr>
        <w:t>Mandiana</w:t>
      </w:r>
      <w:proofErr w:type="spellEnd"/>
      <w:r w:rsidRPr="00B01850">
        <w:rPr>
          <w:rFonts w:ascii="Arial" w:eastAsia="Times New Roman" w:hAnsi="Arial" w:cs="Arial"/>
          <w:lang w:eastAsia="fr-FR"/>
        </w:rPr>
        <w:t xml:space="preserve">) et des plaines entre </w:t>
      </w:r>
      <w:proofErr w:type="spellStart"/>
      <w:r w:rsidRPr="00B01850">
        <w:rPr>
          <w:rFonts w:ascii="Arial" w:eastAsia="Times New Roman" w:hAnsi="Arial" w:cs="Arial"/>
          <w:lang w:eastAsia="fr-FR"/>
        </w:rPr>
        <w:t>Banié</w:t>
      </w:r>
      <w:proofErr w:type="spellEnd"/>
      <w:r w:rsidRPr="00B01850">
        <w:rPr>
          <w:rFonts w:ascii="Arial" w:eastAsia="Times New Roman" w:hAnsi="Arial" w:cs="Arial"/>
          <w:lang w:eastAsia="fr-FR"/>
        </w:rPr>
        <w:t xml:space="preserve"> et </w:t>
      </w:r>
      <w:proofErr w:type="spellStart"/>
      <w:r w:rsidRPr="00B01850">
        <w:rPr>
          <w:rFonts w:ascii="Arial" w:eastAsia="Times New Roman" w:hAnsi="Arial" w:cs="Arial"/>
          <w:lang w:eastAsia="fr-FR"/>
        </w:rPr>
        <w:t>Tinkisso</w:t>
      </w:r>
      <w:proofErr w:type="spellEnd"/>
      <w:r w:rsidRPr="00B01850">
        <w:rPr>
          <w:rFonts w:ascii="Arial" w:eastAsia="Times New Roman" w:hAnsi="Arial" w:cs="Arial"/>
          <w:lang w:eastAsia="fr-FR"/>
        </w:rPr>
        <w:t xml:space="preserve"> </w:t>
      </w:r>
      <w:r w:rsidRPr="00B01850">
        <w:rPr>
          <w:rFonts w:ascii="Arial" w:eastAsia="Times New Roman" w:hAnsi="Arial" w:cs="Arial"/>
          <w:lang w:eastAsia="fr-FR"/>
        </w:rPr>
        <w:lastRenderedPageBreak/>
        <w:t xml:space="preserve">(Dabola). Ces plaines constituent des zones d’opportunités de développement agricole. Ces plaines sont exposées à l’intensité des activités humaines, à une érosion accélérée des sols et à une perte rapide de la diversité biologique. </w:t>
      </w:r>
    </w:p>
    <w:p w14:paraId="6EE6EB5E" w14:textId="77777777" w:rsidR="00F07CFE" w:rsidRPr="00B01850" w:rsidRDefault="00F07CFE" w:rsidP="00346A99">
      <w:pPr>
        <w:spacing w:before="120" w:after="0" w:line="240" w:lineRule="auto"/>
        <w:jc w:val="both"/>
        <w:rPr>
          <w:rFonts w:ascii="Arial" w:eastAsia="Times New Roman" w:hAnsi="Arial" w:cs="Arial"/>
          <w:lang w:eastAsia="fr-FR"/>
        </w:rPr>
      </w:pPr>
      <w:r w:rsidRPr="00B01850">
        <w:rPr>
          <w:rFonts w:ascii="Arial" w:eastAsia="Times New Roman" w:hAnsi="Arial" w:cs="Arial"/>
          <w:lang w:eastAsia="fr-FR"/>
        </w:rPr>
        <w:t>Les activités d’exploitation minières en Haute Guinée (or et diamant) représentent d’importantes sources de dégradation de l’environnement. Le réseau hydrographique de haute Guinée est dense. L’activité humaine sans cesse accrue a dégradé ces écosystèmes, notamment sur les bassins versants par l’agriculture itinérante avec défrichement et culture sur brûlis. Il faut noter aussi que l’exploitation minière et la coupe abusive du bois pour la fabrication des briques cuites affectent le sol, le sous-sol, le couvert végétal et dégrade la faune par des facteurs divers. L’érosion a provoqué la sédimentation et l’envasement accéléré des berges du fleuve Niger en Haute Guinée.</w:t>
      </w:r>
    </w:p>
    <w:p w14:paraId="2BE0738E" w14:textId="77777777" w:rsidR="00F07CFE" w:rsidRPr="00B01850" w:rsidRDefault="00F07CFE" w:rsidP="00346A99">
      <w:pPr>
        <w:spacing w:before="120" w:after="0" w:line="240" w:lineRule="auto"/>
        <w:jc w:val="both"/>
        <w:rPr>
          <w:rFonts w:ascii="Arial" w:eastAsia="Times New Roman" w:hAnsi="Arial" w:cs="Arial"/>
          <w:lang w:eastAsia="fr-FR"/>
        </w:rPr>
      </w:pPr>
      <w:r w:rsidRPr="00B01850">
        <w:rPr>
          <w:rFonts w:ascii="Arial" w:eastAsia="Times New Roman" w:hAnsi="Arial" w:cs="Arial"/>
          <w:lang w:eastAsia="fr-FR"/>
        </w:rPr>
        <w:t xml:space="preserve">Le climat de la Haute Guinée est un climat tropical sec appelé </w:t>
      </w:r>
      <w:r w:rsidRPr="00B01850">
        <w:rPr>
          <w:rFonts w:ascii="Arial" w:eastAsia="Times New Roman" w:hAnsi="Arial" w:cs="Arial"/>
          <w:bCs/>
          <w:lang w:eastAsia="fr-FR"/>
        </w:rPr>
        <w:t>climat sud soudanien</w:t>
      </w:r>
      <w:r w:rsidRPr="00B01850">
        <w:rPr>
          <w:rFonts w:ascii="Arial" w:eastAsia="Times New Roman" w:hAnsi="Arial" w:cs="Arial"/>
          <w:lang w:eastAsia="fr-FR"/>
        </w:rPr>
        <w:t>. La continentalité de la région ainsi que l'harmonie du relief influencent sur le climat. L'année se divise en 2 saisons d'inégale durée la saison sèche et la saison pluvieuse.</w:t>
      </w:r>
    </w:p>
    <w:p w14:paraId="5CBDD28B" w14:textId="77777777" w:rsidR="00F07CFE" w:rsidRPr="00B01850" w:rsidRDefault="00F07CFE" w:rsidP="00346A99">
      <w:pPr>
        <w:spacing w:before="120" w:after="0" w:line="240" w:lineRule="auto"/>
        <w:jc w:val="both"/>
        <w:rPr>
          <w:rFonts w:ascii="Arial" w:eastAsia="Times New Roman" w:hAnsi="Arial" w:cs="Arial"/>
          <w:lang w:eastAsia="fr-FR"/>
        </w:rPr>
      </w:pPr>
      <w:r w:rsidRPr="00B01850">
        <w:rPr>
          <w:rFonts w:ascii="Arial" w:eastAsia="Times New Roman" w:hAnsi="Arial" w:cs="Arial"/>
          <w:lang w:eastAsia="fr-FR"/>
        </w:rPr>
        <w:t xml:space="preserve">Le fleuve </w:t>
      </w:r>
      <w:r w:rsidRPr="00B01850">
        <w:rPr>
          <w:rFonts w:ascii="Arial" w:eastAsia="Times New Roman" w:hAnsi="Arial" w:cs="Arial"/>
          <w:bCs/>
          <w:lang w:eastAsia="fr-FR"/>
        </w:rPr>
        <w:t xml:space="preserve">Niger </w:t>
      </w:r>
      <w:r w:rsidRPr="00B01850">
        <w:rPr>
          <w:rFonts w:ascii="Arial" w:eastAsia="Times New Roman" w:hAnsi="Arial" w:cs="Arial"/>
          <w:lang w:eastAsia="fr-FR"/>
        </w:rPr>
        <w:t xml:space="preserve">prend sa source en Guinée, à 745 m d'altitude, dans le Massif du </w:t>
      </w:r>
      <w:proofErr w:type="spellStart"/>
      <w:r w:rsidRPr="00B01850">
        <w:rPr>
          <w:rFonts w:ascii="Arial" w:eastAsia="Times New Roman" w:hAnsi="Arial" w:cs="Arial"/>
          <w:lang w:eastAsia="fr-FR"/>
        </w:rPr>
        <w:t>Daro</w:t>
      </w:r>
      <w:proofErr w:type="spellEnd"/>
      <w:r w:rsidRPr="00B01850">
        <w:rPr>
          <w:rFonts w:ascii="Arial" w:eastAsia="Times New Roman" w:hAnsi="Arial" w:cs="Arial"/>
          <w:lang w:eastAsia="fr-FR"/>
        </w:rPr>
        <w:t xml:space="preserve"> dans la préfecture de Faranah.  C'est un cours d'eau transfrontalier partagé par neuf (9) pays africains.</w:t>
      </w:r>
    </w:p>
    <w:p w14:paraId="79431508" w14:textId="77777777" w:rsidR="00F07CFE" w:rsidRPr="00B01850" w:rsidRDefault="00F07CFE" w:rsidP="00F07CFE">
      <w:pPr>
        <w:spacing w:after="0" w:line="240" w:lineRule="auto"/>
        <w:jc w:val="both"/>
        <w:rPr>
          <w:rFonts w:ascii="Arial" w:eastAsia="Times New Roman" w:hAnsi="Arial" w:cs="Arial"/>
          <w:lang w:eastAsia="fr-FR"/>
        </w:rPr>
      </w:pPr>
      <w:r w:rsidRPr="00B01850">
        <w:rPr>
          <w:rFonts w:ascii="Arial" w:eastAsia="Times New Roman" w:hAnsi="Arial" w:cs="Arial"/>
          <w:lang w:eastAsia="fr-FR"/>
        </w:rPr>
        <w:t>La végétation de la Haute Guinée est celle des savanes soudanaises. Ces savanes semblent être les restes d'une ancienne formation végétale naturelle où dominait la forêt sèche qui a été profondément altérée par l'action de l'homme. L'aspect des savanes varie du Sud au Nord ; on passe généralement de la Savane arborée ou savane-parc à la savane arbustive et herbeuse (</w:t>
      </w:r>
      <w:proofErr w:type="spellStart"/>
      <w:r w:rsidRPr="00B01850">
        <w:rPr>
          <w:rFonts w:ascii="Arial" w:eastAsia="Times New Roman" w:hAnsi="Arial" w:cs="Arial"/>
          <w:lang w:eastAsia="fr-FR"/>
        </w:rPr>
        <w:t>sahéli</w:t>
      </w:r>
      <w:proofErr w:type="spellEnd"/>
      <w:r w:rsidRPr="00B01850">
        <w:rPr>
          <w:rFonts w:ascii="Arial" w:eastAsia="Times New Roman" w:hAnsi="Arial" w:cs="Arial"/>
          <w:lang w:eastAsia="fr-FR"/>
        </w:rPr>
        <w:t>). Partout, on rencontre des clairières et des îlots forestiers. Les arbres les plus caractéristiques de la végétation de la Haute Guinée sont : le néré, le karité, le caïlcédrat (</w:t>
      </w:r>
      <w:proofErr w:type="spellStart"/>
      <w:r w:rsidRPr="00B01850">
        <w:rPr>
          <w:rFonts w:ascii="Arial" w:eastAsia="Times New Roman" w:hAnsi="Arial" w:cs="Arial"/>
          <w:i/>
          <w:lang w:eastAsia="fr-FR"/>
        </w:rPr>
        <w:t>Caya</w:t>
      </w:r>
      <w:proofErr w:type="spellEnd"/>
      <w:r w:rsidRPr="00B01850">
        <w:rPr>
          <w:rFonts w:ascii="Arial" w:eastAsia="Times New Roman" w:hAnsi="Arial" w:cs="Arial"/>
          <w:i/>
          <w:lang w:eastAsia="fr-FR"/>
        </w:rPr>
        <w:t xml:space="preserve"> senegalensis</w:t>
      </w:r>
      <w:r w:rsidRPr="00B01850">
        <w:rPr>
          <w:rFonts w:ascii="Arial" w:eastAsia="Times New Roman" w:hAnsi="Arial" w:cs="Arial"/>
          <w:lang w:eastAsia="fr-FR"/>
        </w:rPr>
        <w:t>), le kapokier (</w:t>
      </w:r>
      <w:proofErr w:type="spellStart"/>
      <w:r w:rsidRPr="00B01850">
        <w:rPr>
          <w:rFonts w:ascii="Arial" w:eastAsia="Times New Roman" w:hAnsi="Arial" w:cs="Arial"/>
          <w:i/>
          <w:lang w:eastAsia="fr-FR"/>
        </w:rPr>
        <w:t>Ceiba</w:t>
      </w:r>
      <w:proofErr w:type="spellEnd"/>
      <w:r w:rsidRPr="00B01850">
        <w:rPr>
          <w:rFonts w:ascii="Arial" w:eastAsia="Times New Roman" w:hAnsi="Arial" w:cs="Arial"/>
          <w:i/>
          <w:lang w:eastAsia="fr-FR"/>
        </w:rPr>
        <w:t xml:space="preserve"> </w:t>
      </w:r>
      <w:proofErr w:type="spellStart"/>
      <w:r w:rsidRPr="00B01850">
        <w:rPr>
          <w:rFonts w:ascii="Arial" w:eastAsia="Times New Roman" w:hAnsi="Arial" w:cs="Arial"/>
          <w:i/>
          <w:lang w:eastAsia="fr-FR"/>
        </w:rPr>
        <w:t>pentandra</w:t>
      </w:r>
      <w:proofErr w:type="spellEnd"/>
      <w:r w:rsidRPr="00B01850">
        <w:rPr>
          <w:rFonts w:ascii="Arial" w:eastAsia="Times New Roman" w:hAnsi="Arial" w:cs="Arial"/>
          <w:lang w:eastAsia="fr-FR"/>
        </w:rPr>
        <w:t xml:space="preserve">), le </w:t>
      </w:r>
      <w:proofErr w:type="spellStart"/>
      <w:r w:rsidRPr="00B01850">
        <w:rPr>
          <w:rFonts w:ascii="Arial" w:eastAsia="Times New Roman" w:hAnsi="Arial" w:cs="Arial"/>
          <w:lang w:eastAsia="fr-FR"/>
        </w:rPr>
        <w:t>lingué</w:t>
      </w:r>
      <w:proofErr w:type="spellEnd"/>
      <w:r w:rsidRPr="00B01850">
        <w:rPr>
          <w:rFonts w:ascii="Arial" w:eastAsia="Times New Roman" w:hAnsi="Arial" w:cs="Arial"/>
          <w:lang w:eastAsia="fr-FR"/>
        </w:rPr>
        <w:t xml:space="preserve"> (</w:t>
      </w:r>
      <w:proofErr w:type="spellStart"/>
      <w:r w:rsidRPr="00B01850">
        <w:rPr>
          <w:rFonts w:ascii="Arial" w:eastAsia="Times New Roman" w:hAnsi="Arial" w:cs="Arial"/>
          <w:i/>
          <w:lang w:eastAsia="fr-FR"/>
        </w:rPr>
        <w:t>Afzelia</w:t>
      </w:r>
      <w:proofErr w:type="spellEnd"/>
      <w:r w:rsidRPr="00B01850">
        <w:rPr>
          <w:rFonts w:ascii="Arial" w:eastAsia="Times New Roman" w:hAnsi="Arial" w:cs="Arial"/>
          <w:i/>
          <w:lang w:eastAsia="fr-FR"/>
        </w:rPr>
        <w:t xml:space="preserve"> </w:t>
      </w:r>
      <w:proofErr w:type="spellStart"/>
      <w:r w:rsidRPr="00B01850">
        <w:rPr>
          <w:rFonts w:ascii="Arial" w:eastAsia="Times New Roman" w:hAnsi="Arial" w:cs="Arial"/>
          <w:i/>
          <w:lang w:eastAsia="fr-FR"/>
        </w:rPr>
        <w:t>africana</w:t>
      </w:r>
      <w:proofErr w:type="spellEnd"/>
      <w:r w:rsidRPr="00B01850">
        <w:rPr>
          <w:rFonts w:ascii="Arial" w:eastAsia="Times New Roman" w:hAnsi="Arial" w:cs="Arial"/>
          <w:lang w:eastAsia="fr-FR"/>
        </w:rPr>
        <w:t>), le baobab (</w:t>
      </w:r>
      <w:proofErr w:type="spellStart"/>
      <w:r w:rsidRPr="00B01850">
        <w:rPr>
          <w:rFonts w:ascii="Arial" w:eastAsia="Times New Roman" w:hAnsi="Arial" w:cs="Arial"/>
          <w:i/>
          <w:lang w:eastAsia="fr-FR"/>
        </w:rPr>
        <w:t>Adansonia</w:t>
      </w:r>
      <w:proofErr w:type="spellEnd"/>
      <w:r w:rsidRPr="00B01850">
        <w:rPr>
          <w:rFonts w:ascii="Arial" w:eastAsia="Times New Roman" w:hAnsi="Arial" w:cs="Arial"/>
          <w:i/>
          <w:lang w:eastAsia="fr-FR"/>
        </w:rPr>
        <w:t xml:space="preserve"> </w:t>
      </w:r>
      <w:proofErr w:type="spellStart"/>
      <w:r w:rsidRPr="00B01850">
        <w:rPr>
          <w:rFonts w:ascii="Arial" w:eastAsia="Times New Roman" w:hAnsi="Arial" w:cs="Arial"/>
          <w:i/>
          <w:lang w:eastAsia="fr-FR"/>
        </w:rPr>
        <w:t>digitata</w:t>
      </w:r>
      <w:proofErr w:type="spellEnd"/>
      <w:r w:rsidRPr="00B01850">
        <w:rPr>
          <w:rFonts w:ascii="Arial" w:eastAsia="Times New Roman" w:hAnsi="Arial" w:cs="Arial"/>
          <w:lang w:eastAsia="fr-FR"/>
        </w:rPr>
        <w:t>). La cueillette des fruits de ces arbres constitue d’importants moyens de subsistance pour les populations locales.</w:t>
      </w:r>
    </w:p>
    <w:p w14:paraId="1D8ABB62" w14:textId="77777777" w:rsidR="00F07CFE" w:rsidRPr="00B01850" w:rsidRDefault="00F07CFE" w:rsidP="00214DCC">
      <w:pPr>
        <w:pStyle w:val="ListParagraph"/>
        <w:numPr>
          <w:ilvl w:val="0"/>
          <w:numId w:val="44"/>
        </w:numPr>
        <w:autoSpaceDE w:val="0"/>
        <w:autoSpaceDN w:val="0"/>
        <w:adjustRightInd w:val="0"/>
        <w:spacing w:before="120" w:after="120" w:line="240" w:lineRule="auto"/>
        <w:jc w:val="both"/>
        <w:rPr>
          <w:rFonts w:ascii="Arial" w:eastAsia="Calibri" w:hAnsi="Arial" w:cs="Arial"/>
          <w:i/>
          <w:iCs/>
        </w:rPr>
      </w:pPr>
      <w:bookmarkStart w:id="53" w:name="_Toc528854482"/>
      <w:bookmarkStart w:id="54" w:name="_Toc34754441"/>
      <w:r w:rsidRPr="00B01850">
        <w:rPr>
          <w:rFonts w:ascii="Arial" w:eastAsia="Calibri" w:hAnsi="Arial" w:cs="Arial"/>
          <w:i/>
          <w:iCs/>
        </w:rPr>
        <w:t>État de l’environnement en Guinée Forestière</w:t>
      </w:r>
      <w:bookmarkEnd w:id="53"/>
      <w:bookmarkEnd w:id="54"/>
    </w:p>
    <w:p w14:paraId="6E437298" w14:textId="77777777"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 xml:space="preserve">La Guinée Forestière est une région montagneuse d'altitude moyenne variant entre 600 à 800 mètres. Le plus haut sommet est le Mont Nimba (1752 m). En dehors du mont Nimba, on y rencontre aussi: le Mont </w:t>
      </w:r>
      <w:proofErr w:type="spellStart"/>
      <w:r w:rsidRPr="00B01850">
        <w:rPr>
          <w:rFonts w:ascii="Arial" w:eastAsia="Calibri" w:hAnsi="Arial" w:cs="Arial"/>
        </w:rPr>
        <w:t>Konossou</w:t>
      </w:r>
      <w:proofErr w:type="spellEnd"/>
      <w:r w:rsidRPr="00B01850">
        <w:rPr>
          <w:rFonts w:ascii="Arial" w:eastAsia="Calibri" w:hAnsi="Arial" w:cs="Arial"/>
        </w:rPr>
        <w:t xml:space="preserve"> (1345m), la chaîne du </w:t>
      </w:r>
      <w:proofErr w:type="spellStart"/>
      <w:r w:rsidRPr="00B01850">
        <w:rPr>
          <w:rFonts w:ascii="Arial" w:eastAsia="Calibri" w:hAnsi="Arial" w:cs="Arial"/>
        </w:rPr>
        <w:t>Ziama</w:t>
      </w:r>
      <w:proofErr w:type="spellEnd"/>
      <w:r w:rsidRPr="00B01850">
        <w:rPr>
          <w:rFonts w:ascii="Arial" w:eastAsia="Calibri" w:hAnsi="Arial" w:cs="Arial"/>
        </w:rPr>
        <w:t xml:space="preserve"> (1287 m) dans la préfecture de Macenta, orientée Nord-Est, Sud-Ouest et la chaîne du Simandou-</w:t>
      </w:r>
      <w:proofErr w:type="spellStart"/>
      <w:r w:rsidRPr="00B01850">
        <w:rPr>
          <w:rFonts w:ascii="Arial" w:eastAsia="Calibri" w:hAnsi="Arial" w:cs="Arial"/>
        </w:rPr>
        <w:t>Gbing</w:t>
      </w:r>
      <w:proofErr w:type="spellEnd"/>
      <w:r w:rsidRPr="00B01850">
        <w:rPr>
          <w:rFonts w:ascii="Arial" w:eastAsia="Calibri" w:hAnsi="Arial" w:cs="Arial"/>
        </w:rPr>
        <w:t xml:space="preserve"> entre les préfectures de Kérouané et de </w:t>
      </w:r>
      <w:proofErr w:type="spellStart"/>
      <w:r w:rsidRPr="00B01850">
        <w:rPr>
          <w:rFonts w:ascii="Arial" w:eastAsia="Calibri" w:hAnsi="Arial" w:cs="Arial"/>
        </w:rPr>
        <w:t>Beyla</w:t>
      </w:r>
      <w:proofErr w:type="spellEnd"/>
      <w:r w:rsidRPr="00B01850">
        <w:rPr>
          <w:rFonts w:ascii="Arial" w:eastAsia="Calibri" w:hAnsi="Arial" w:cs="Arial"/>
        </w:rPr>
        <w:t xml:space="preserve">, qui culmine au Pic de Fon (1656 m). </w:t>
      </w:r>
    </w:p>
    <w:p w14:paraId="2C9022D0" w14:textId="49DE9633" w:rsidR="00F07CFE" w:rsidRPr="00B01850" w:rsidRDefault="00F07CFE" w:rsidP="002930E5">
      <w:pPr>
        <w:autoSpaceDE w:val="0"/>
        <w:autoSpaceDN w:val="0"/>
        <w:adjustRightInd w:val="0"/>
        <w:spacing w:before="120" w:after="0" w:line="240" w:lineRule="auto"/>
        <w:jc w:val="both"/>
        <w:rPr>
          <w:rFonts w:ascii="Arial" w:eastAsia="Calibri" w:hAnsi="Arial" w:cs="Arial"/>
        </w:rPr>
      </w:pPr>
      <w:r w:rsidRPr="00B01850">
        <w:rPr>
          <w:rFonts w:ascii="Arial" w:eastAsia="Calibri" w:hAnsi="Arial" w:cs="Arial"/>
        </w:rPr>
        <w:t>Son relief très accidenté est formé d'un ensemble de collines à fortes pentes séparées par des dépressions d'importance variable, où on rencontre des bas-fonds et des plaines alluviales le long des cours d'eau. L</w:t>
      </w:r>
      <w:r w:rsidRPr="00B01850">
        <w:rPr>
          <w:rFonts w:ascii="Arial" w:eastAsia="Times New Roman" w:hAnsi="Arial" w:cs="Arial"/>
          <w:lang w:eastAsia="fr-FR"/>
        </w:rPr>
        <w:t xml:space="preserve">es plateaux se retrouvent en contrebas des massifs montagneux, comme témoins des surfaces d'érosion. Les plaines quant à elles, sont extrêmement exiguës et situées dans les bas-fonds, au pied des massifs montagneux. C'est le cas de la plaine de </w:t>
      </w:r>
      <w:proofErr w:type="spellStart"/>
      <w:r w:rsidRPr="00B01850">
        <w:rPr>
          <w:rFonts w:ascii="Arial" w:eastAsia="Times New Roman" w:hAnsi="Arial" w:cs="Arial"/>
          <w:lang w:eastAsia="fr-FR"/>
        </w:rPr>
        <w:t>Niékolé</w:t>
      </w:r>
      <w:proofErr w:type="spellEnd"/>
      <w:r w:rsidRPr="00B01850">
        <w:rPr>
          <w:rFonts w:ascii="Arial" w:eastAsia="Times New Roman" w:hAnsi="Arial" w:cs="Arial"/>
          <w:lang w:eastAsia="fr-FR"/>
        </w:rPr>
        <w:t xml:space="preserve"> à Yomou.</w:t>
      </w:r>
    </w:p>
    <w:p w14:paraId="30944720" w14:textId="77777777" w:rsidR="00F07CFE" w:rsidRPr="00B01850" w:rsidRDefault="00F07CFE" w:rsidP="002930E5">
      <w:pPr>
        <w:autoSpaceDE w:val="0"/>
        <w:autoSpaceDN w:val="0"/>
        <w:adjustRightInd w:val="0"/>
        <w:spacing w:before="120" w:after="0" w:line="240" w:lineRule="auto"/>
        <w:jc w:val="both"/>
        <w:rPr>
          <w:rFonts w:ascii="Arial" w:eastAsia="Calibri" w:hAnsi="Arial" w:cs="Arial"/>
        </w:rPr>
      </w:pPr>
      <w:r w:rsidRPr="00B01850">
        <w:rPr>
          <w:rFonts w:ascii="Arial" w:eastAsia="Calibri" w:hAnsi="Arial" w:cs="Arial"/>
        </w:rPr>
        <w:t xml:space="preserve">Le climat de la Guinée Forestière est de type subéquatorial et se caractérise par une longue saison pluvieuse (7 à 8 mois). La pluviométrie annuelle moyenne varie de </w:t>
      </w:r>
      <w:smartTag w:uri="urn:schemas-microsoft-com:office:smarttags" w:element="metricconverter">
        <w:smartTagPr>
          <w:attr w:name="ProductID" w:val="1750 mm"/>
        </w:smartTagPr>
        <w:r w:rsidRPr="00B01850">
          <w:rPr>
            <w:rFonts w:ascii="Arial" w:eastAsia="Calibri" w:hAnsi="Arial" w:cs="Arial"/>
          </w:rPr>
          <w:t>1750 mm</w:t>
        </w:r>
      </w:smartTag>
      <w:r w:rsidRPr="00B01850">
        <w:rPr>
          <w:rFonts w:ascii="Arial" w:eastAsia="Calibri" w:hAnsi="Arial" w:cs="Arial"/>
        </w:rPr>
        <w:t xml:space="preserve"> à </w:t>
      </w:r>
      <w:smartTag w:uri="urn:schemas-microsoft-com:office:smarttags" w:element="metricconverter">
        <w:smartTagPr>
          <w:attr w:name="ProductID" w:val="2500 mm"/>
        </w:smartTagPr>
        <w:r w:rsidRPr="00B01850">
          <w:rPr>
            <w:rFonts w:ascii="Arial" w:eastAsia="Calibri" w:hAnsi="Arial" w:cs="Arial"/>
          </w:rPr>
          <w:t>2500 mm</w:t>
        </w:r>
      </w:smartTag>
      <w:r w:rsidRPr="00B01850">
        <w:rPr>
          <w:rFonts w:ascii="Arial" w:eastAsia="Calibri" w:hAnsi="Arial" w:cs="Arial"/>
        </w:rPr>
        <w:t xml:space="preserve"> en fonction de la latitude et de l’altitude. Suivant la courbe des isohyètes, on peut diviser la région en trois zones climatiques (une zone très pluvieuse humide : </w:t>
      </w:r>
      <w:smartTag w:uri="urn:schemas-microsoft-com:office:smarttags" w:element="metricconverter">
        <w:smartTagPr>
          <w:attr w:name="ProductID" w:val="2000 mm"/>
        </w:smartTagPr>
        <w:r w:rsidRPr="00B01850">
          <w:rPr>
            <w:rFonts w:ascii="Arial" w:eastAsia="Calibri" w:hAnsi="Arial" w:cs="Arial"/>
          </w:rPr>
          <w:t>2000 mm</w:t>
        </w:r>
      </w:smartTag>
      <w:r w:rsidRPr="00B01850">
        <w:rPr>
          <w:rFonts w:ascii="Arial" w:eastAsia="Calibri" w:hAnsi="Arial" w:cs="Arial"/>
        </w:rPr>
        <w:t xml:space="preserve"> à </w:t>
      </w:r>
      <w:smartTag w:uri="urn:schemas-microsoft-com:office:smarttags" w:element="metricconverter">
        <w:smartTagPr>
          <w:attr w:name="ProductID" w:val="2 500 mm"/>
        </w:smartTagPr>
        <w:r w:rsidRPr="00B01850">
          <w:rPr>
            <w:rFonts w:ascii="Arial" w:eastAsia="Calibri" w:hAnsi="Arial" w:cs="Arial"/>
          </w:rPr>
          <w:t>2 500 mm</w:t>
        </w:r>
      </w:smartTag>
      <w:r w:rsidRPr="00B01850">
        <w:rPr>
          <w:rFonts w:ascii="Arial" w:eastAsia="Calibri" w:hAnsi="Arial" w:cs="Arial"/>
        </w:rPr>
        <w:t xml:space="preserve">, une zone moyennement pluvieuse : </w:t>
      </w:r>
      <w:smartTag w:uri="urn:schemas-microsoft-com:office:smarttags" w:element="metricconverter">
        <w:smartTagPr>
          <w:attr w:name="ProductID" w:val="1750 mm"/>
        </w:smartTagPr>
        <w:r w:rsidRPr="00B01850">
          <w:rPr>
            <w:rFonts w:ascii="Arial" w:eastAsia="Calibri" w:hAnsi="Arial" w:cs="Arial"/>
          </w:rPr>
          <w:t>1750 mm</w:t>
        </w:r>
      </w:smartTag>
      <w:r w:rsidRPr="00B01850">
        <w:rPr>
          <w:rFonts w:ascii="Arial" w:eastAsia="Calibri" w:hAnsi="Arial" w:cs="Arial"/>
        </w:rPr>
        <w:t xml:space="preserve"> à </w:t>
      </w:r>
      <w:smartTag w:uri="urn:schemas-microsoft-com:office:smarttags" w:element="metricconverter">
        <w:smartTagPr>
          <w:attr w:name="ProductID" w:val="2 000 mm"/>
        </w:smartTagPr>
        <w:r w:rsidRPr="00B01850">
          <w:rPr>
            <w:rFonts w:ascii="Arial" w:eastAsia="Calibri" w:hAnsi="Arial" w:cs="Arial"/>
          </w:rPr>
          <w:t>2 000 mm</w:t>
        </w:r>
      </w:smartTag>
      <w:r w:rsidRPr="00B01850">
        <w:rPr>
          <w:rFonts w:ascii="Arial" w:eastAsia="Calibri" w:hAnsi="Arial" w:cs="Arial"/>
        </w:rPr>
        <w:t xml:space="preserve"> et une zone moins pluvieuse : </w:t>
      </w:r>
      <w:smartTag w:uri="urn:schemas-microsoft-com:office:smarttags" w:element="metricconverter">
        <w:smartTagPr>
          <w:attr w:name="ProductID" w:val="1 500 mm"/>
        </w:smartTagPr>
        <w:r w:rsidRPr="00B01850">
          <w:rPr>
            <w:rFonts w:ascii="Arial" w:eastAsia="Calibri" w:hAnsi="Arial" w:cs="Arial"/>
          </w:rPr>
          <w:t>1 500 mm</w:t>
        </w:r>
      </w:smartTag>
      <w:r w:rsidRPr="00B01850">
        <w:rPr>
          <w:rFonts w:ascii="Arial" w:eastAsia="Calibri" w:hAnsi="Arial" w:cs="Arial"/>
        </w:rPr>
        <w:t xml:space="preserve"> à </w:t>
      </w:r>
      <w:smartTag w:uri="urn:schemas-microsoft-com:office:smarttags" w:element="metricconverter">
        <w:smartTagPr>
          <w:attr w:name="ProductID" w:val="1ﾠ750 mm"/>
        </w:smartTagPr>
        <w:r w:rsidRPr="00B01850">
          <w:rPr>
            <w:rFonts w:ascii="Arial" w:eastAsia="Calibri" w:hAnsi="Arial" w:cs="Arial"/>
          </w:rPr>
          <w:t>1 750 mm</w:t>
        </w:r>
      </w:smartTag>
      <w:r w:rsidRPr="00B01850">
        <w:rPr>
          <w:rFonts w:ascii="Arial" w:eastAsia="Calibri" w:hAnsi="Arial" w:cs="Arial"/>
        </w:rPr>
        <w:t xml:space="preserve">).  </w:t>
      </w:r>
    </w:p>
    <w:p w14:paraId="43796DFE" w14:textId="58D58A29" w:rsidR="00F07CFE" w:rsidRPr="00B01850" w:rsidRDefault="00F07CFE" w:rsidP="002930E5">
      <w:pPr>
        <w:autoSpaceDE w:val="0"/>
        <w:autoSpaceDN w:val="0"/>
        <w:adjustRightInd w:val="0"/>
        <w:spacing w:before="120" w:after="0" w:line="240" w:lineRule="auto"/>
        <w:jc w:val="both"/>
        <w:rPr>
          <w:rFonts w:ascii="Arial" w:eastAsia="Calibri" w:hAnsi="Arial" w:cs="Arial"/>
        </w:rPr>
      </w:pPr>
      <w:r w:rsidRPr="00B01850">
        <w:rPr>
          <w:rFonts w:ascii="Arial" w:eastAsia="Calibri" w:hAnsi="Arial" w:cs="Arial"/>
        </w:rPr>
        <w:t xml:space="preserve">La température moyenne annuelle est de </w:t>
      </w:r>
      <w:smartTag w:uri="urn:schemas-microsoft-com:office:smarttags" w:element="metricconverter">
        <w:smartTagPr>
          <w:attr w:name="ProductID" w:val="24ﾰC"/>
        </w:smartTagPr>
        <w:r w:rsidRPr="00B01850">
          <w:rPr>
            <w:rFonts w:ascii="Arial" w:eastAsia="Calibri" w:hAnsi="Arial" w:cs="Arial"/>
          </w:rPr>
          <w:t>24°C</w:t>
        </w:r>
      </w:smartTag>
      <w:r w:rsidRPr="00B01850">
        <w:rPr>
          <w:rFonts w:ascii="Arial" w:eastAsia="Calibri" w:hAnsi="Arial" w:cs="Arial"/>
        </w:rPr>
        <w:t xml:space="preserve">. Les températures les plus basses au cours de l'année sont observées pendant les mois de décembre à février (18°C à </w:t>
      </w:r>
      <w:smartTag w:uri="urn:schemas-microsoft-com:office:smarttags" w:element="metricconverter">
        <w:smartTagPr>
          <w:attr w:name="ProductID" w:val="20ﾰC"/>
        </w:smartTagPr>
        <w:r w:rsidRPr="00B01850">
          <w:rPr>
            <w:rFonts w:ascii="Arial" w:eastAsia="Calibri" w:hAnsi="Arial" w:cs="Arial"/>
          </w:rPr>
          <w:t>20°C</w:t>
        </w:r>
      </w:smartTag>
      <w:r w:rsidRPr="00B01850">
        <w:rPr>
          <w:rFonts w:ascii="Arial" w:eastAsia="Calibri" w:hAnsi="Arial" w:cs="Arial"/>
        </w:rPr>
        <w:t>) et les températures les plus élevées s'observent au mois de mars (</w:t>
      </w:r>
      <w:smartTag w:uri="urn:schemas-microsoft-com:office:smarttags" w:element="metricconverter">
        <w:smartTagPr>
          <w:attr w:name="ProductID" w:val="22ﾰC"/>
        </w:smartTagPr>
        <w:r w:rsidRPr="00B01850">
          <w:rPr>
            <w:rFonts w:ascii="Arial" w:eastAsia="Calibri" w:hAnsi="Arial" w:cs="Arial"/>
          </w:rPr>
          <w:t>22°C</w:t>
        </w:r>
      </w:smartTag>
      <w:r w:rsidRPr="00B01850">
        <w:rPr>
          <w:rFonts w:ascii="Arial" w:eastAsia="Calibri" w:hAnsi="Arial" w:cs="Arial"/>
        </w:rPr>
        <w:t xml:space="preserve"> à </w:t>
      </w:r>
      <w:smartTag w:uri="urn:schemas-microsoft-com:office:smarttags" w:element="metricconverter">
        <w:smartTagPr>
          <w:attr w:name="ProductID" w:val="26ﾰC"/>
        </w:smartTagPr>
        <w:r w:rsidRPr="00B01850">
          <w:rPr>
            <w:rFonts w:ascii="Arial" w:eastAsia="Calibri" w:hAnsi="Arial" w:cs="Arial"/>
          </w:rPr>
          <w:t>26°C</w:t>
        </w:r>
      </w:smartTag>
      <w:r w:rsidRPr="00B01850">
        <w:rPr>
          <w:rFonts w:ascii="Arial" w:eastAsia="Calibri" w:hAnsi="Arial" w:cs="Arial"/>
        </w:rPr>
        <w:t xml:space="preserve">). L'humidité est généralement forte toute l'année, la moyenne étant de 80 %. Les vents dominants sont la mousson en saison des </w:t>
      </w:r>
      <w:r w:rsidRPr="00B01850">
        <w:rPr>
          <w:rFonts w:ascii="Arial" w:eastAsia="Calibri" w:hAnsi="Arial" w:cs="Arial"/>
        </w:rPr>
        <w:lastRenderedPageBreak/>
        <w:t xml:space="preserve">pluies et </w:t>
      </w:r>
      <w:proofErr w:type="spellStart"/>
      <w:r w:rsidRPr="00B01850">
        <w:rPr>
          <w:rFonts w:ascii="Arial" w:eastAsia="Calibri" w:hAnsi="Arial" w:cs="Arial"/>
        </w:rPr>
        <w:t>l'harmattan</w:t>
      </w:r>
      <w:proofErr w:type="spellEnd"/>
      <w:r w:rsidRPr="00B01850">
        <w:rPr>
          <w:rFonts w:ascii="Arial" w:eastAsia="Calibri" w:hAnsi="Arial" w:cs="Arial"/>
        </w:rPr>
        <w:t xml:space="preserve"> en saison sèche. </w:t>
      </w:r>
      <w:r w:rsidRPr="00B01850">
        <w:rPr>
          <w:rFonts w:ascii="Arial" w:eastAsia="Times New Roman" w:hAnsi="Arial" w:cs="Arial"/>
          <w:lang w:eastAsia="fr-FR"/>
        </w:rPr>
        <w:t xml:space="preserve">Les principaux cours d’eau sont : La </w:t>
      </w:r>
      <w:proofErr w:type="spellStart"/>
      <w:r w:rsidRPr="00B01850">
        <w:rPr>
          <w:rFonts w:ascii="Arial" w:eastAsia="Times New Roman" w:hAnsi="Arial" w:cs="Arial"/>
          <w:bCs/>
          <w:lang w:eastAsia="fr-FR"/>
        </w:rPr>
        <w:t>Makona</w:t>
      </w:r>
      <w:proofErr w:type="spellEnd"/>
      <w:r w:rsidRPr="00B01850">
        <w:rPr>
          <w:rFonts w:ascii="Arial" w:eastAsia="Times New Roman" w:hAnsi="Arial" w:cs="Arial"/>
          <w:bCs/>
          <w:lang w:eastAsia="fr-FR"/>
        </w:rPr>
        <w:t>, l</w:t>
      </w:r>
      <w:r w:rsidRPr="00B01850">
        <w:rPr>
          <w:rFonts w:ascii="Arial" w:eastAsia="Times New Roman" w:hAnsi="Arial" w:cs="Arial"/>
          <w:lang w:eastAsia="fr-FR"/>
        </w:rPr>
        <w:t xml:space="preserve">e </w:t>
      </w:r>
      <w:proofErr w:type="spellStart"/>
      <w:r w:rsidRPr="00B01850">
        <w:rPr>
          <w:rFonts w:ascii="Arial" w:eastAsia="Times New Roman" w:hAnsi="Arial" w:cs="Arial"/>
          <w:bCs/>
          <w:lang w:eastAsia="fr-FR"/>
        </w:rPr>
        <w:t>Diani</w:t>
      </w:r>
      <w:proofErr w:type="spellEnd"/>
      <w:r w:rsidRPr="00B01850">
        <w:rPr>
          <w:rFonts w:ascii="Arial" w:eastAsia="Times New Roman" w:hAnsi="Arial" w:cs="Arial"/>
          <w:lang w:eastAsia="fr-FR"/>
        </w:rPr>
        <w:t xml:space="preserve">, la </w:t>
      </w:r>
      <w:proofErr w:type="spellStart"/>
      <w:r w:rsidRPr="00B01850">
        <w:rPr>
          <w:rFonts w:ascii="Arial" w:eastAsia="Times New Roman" w:hAnsi="Arial" w:cs="Arial"/>
          <w:bCs/>
          <w:lang w:eastAsia="fr-FR"/>
        </w:rPr>
        <w:t>Loffa</w:t>
      </w:r>
      <w:proofErr w:type="spellEnd"/>
      <w:r w:rsidRPr="00B01850">
        <w:rPr>
          <w:rFonts w:ascii="Arial" w:eastAsia="Times New Roman" w:hAnsi="Arial" w:cs="Arial"/>
          <w:lang w:eastAsia="fr-FR"/>
        </w:rPr>
        <w:t xml:space="preserve">, la </w:t>
      </w:r>
      <w:r w:rsidRPr="00B01850">
        <w:rPr>
          <w:rFonts w:ascii="Arial" w:eastAsia="Times New Roman" w:hAnsi="Arial" w:cs="Arial"/>
          <w:bCs/>
          <w:lang w:eastAsia="fr-FR"/>
        </w:rPr>
        <w:t>Loua,</w:t>
      </w:r>
      <w:r w:rsidRPr="00B01850">
        <w:rPr>
          <w:rFonts w:ascii="Arial" w:eastAsia="Times New Roman" w:hAnsi="Arial" w:cs="Arial"/>
          <w:lang w:eastAsia="fr-FR"/>
        </w:rPr>
        <w:t xml:space="preserve"> le </w:t>
      </w:r>
      <w:r w:rsidRPr="00B01850">
        <w:rPr>
          <w:rFonts w:ascii="Arial" w:eastAsia="Times New Roman" w:hAnsi="Arial" w:cs="Arial"/>
          <w:bCs/>
          <w:lang w:eastAsia="fr-FR"/>
        </w:rPr>
        <w:t>Oulé</w:t>
      </w:r>
      <w:r w:rsidRPr="00B01850">
        <w:rPr>
          <w:rFonts w:ascii="Arial" w:eastAsia="Times New Roman" w:hAnsi="Arial" w:cs="Arial"/>
          <w:lang w:eastAsia="fr-FR"/>
        </w:rPr>
        <w:t xml:space="preserve"> et le </w:t>
      </w:r>
      <w:proofErr w:type="spellStart"/>
      <w:r w:rsidRPr="00B01850">
        <w:rPr>
          <w:rFonts w:ascii="Arial" w:eastAsia="Times New Roman" w:hAnsi="Arial" w:cs="Arial"/>
          <w:bCs/>
          <w:lang w:eastAsia="fr-FR"/>
        </w:rPr>
        <w:t>Nyé</w:t>
      </w:r>
      <w:proofErr w:type="spellEnd"/>
      <w:r w:rsidRPr="00B01850">
        <w:rPr>
          <w:rFonts w:ascii="Arial" w:eastAsia="Times New Roman" w:hAnsi="Arial" w:cs="Arial"/>
          <w:bCs/>
          <w:lang w:eastAsia="fr-FR"/>
        </w:rPr>
        <w:t>.</w:t>
      </w:r>
    </w:p>
    <w:p w14:paraId="247D7B2C" w14:textId="1FB0C826" w:rsidR="00F07CFE" w:rsidRPr="00B01850" w:rsidRDefault="00F07CFE" w:rsidP="002930E5">
      <w:pPr>
        <w:spacing w:before="120" w:after="0" w:line="240" w:lineRule="auto"/>
        <w:jc w:val="both"/>
        <w:rPr>
          <w:rFonts w:ascii="Arial" w:eastAsia="Times New Roman" w:hAnsi="Arial" w:cs="Arial"/>
          <w:lang w:eastAsia="fr-FR"/>
        </w:rPr>
      </w:pPr>
      <w:r w:rsidRPr="00B01850">
        <w:rPr>
          <w:rFonts w:ascii="Arial" w:eastAsia="Times New Roman" w:hAnsi="Arial" w:cs="Arial"/>
          <w:lang w:eastAsia="fr-FR"/>
        </w:rPr>
        <w:t xml:space="preserve">La forêt primaire ne subsiste plus à vrai dire que par îlots dont les plus importants sont les forêts de </w:t>
      </w:r>
      <w:proofErr w:type="spellStart"/>
      <w:r w:rsidRPr="00B01850">
        <w:rPr>
          <w:rFonts w:ascii="Arial" w:eastAsia="Times New Roman" w:hAnsi="Arial" w:cs="Arial"/>
          <w:lang w:eastAsia="fr-FR"/>
        </w:rPr>
        <w:t>Diécké</w:t>
      </w:r>
      <w:proofErr w:type="spellEnd"/>
      <w:r w:rsidRPr="00B01850">
        <w:rPr>
          <w:rFonts w:ascii="Arial" w:eastAsia="Times New Roman" w:hAnsi="Arial" w:cs="Arial"/>
          <w:lang w:eastAsia="fr-FR"/>
        </w:rPr>
        <w:t xml:space="preserve"> (Yomou) et du </w:t>
      </w:r>
      <w:proofErr w:type="spellStart"/>
      <w:r w:rsidRPr="00B01850">
        <w:rPr>
          <w:rFonts w:ascii="Arial" w:eastAsia="Times New Roman" w:hAnsi="Arial" w:cs="Arial"/>
          <w:lang w:eastAsia="fr-FR"/>
        </w:rPr>
        <w:t>Ziama</w:t>
      </w:r>
      <w:proofErr w:type="spellEnd"/>
      <w:r w:rsidRPr="00B01850">
        <w:rPr>
          <w:rFonts w:ascii="Arial" w:eastAsia="Times New Roman" w:hAnsi="Arial" w:cs="Arial"/>
          <w:lang w:eastAsia="fr-FR"/>
        </w:rPr>
        <w:t xml:space="preserve"> (Macenta).</w:t>
      </w:r>
    </w:p>
    <w:p w14:paraId="7CEB0EEA" w14:textId="77777777" w:rsidR="00F07CFE" w:rsidRPr="00B01850" w:rsidRDefault="00F07CFE" w:rsidP="002930E5">
      <w:pPr>
        <w:autoSpaceDE w:val="0"/>
        <w:autoSpaceDN w:val="0"/>
        <w:adjustRightInd w:val="0"/>
        <w:spacing w:before="120" w:after="0" w:line="240" w:lineRule="auto"/>
        <w:jc w:val="both"/>
        <w:rPr>
          <w:rFonts w:ascii="Arial" w:eastAsia="Calibri" w:hAnsi="Arial" w:cs="Arial"/>
        </w:rPr>
      </w:pPr>
      <w:r w:rsidRPr="00B01850">
        <w:rPr>
          <w:rFonts w:ascii="Arial" w:eastAsia="Calibri" w:hAnsi="Arial" w:cs="Arial"/>
        </w:rPr>
        <w:t xml:space="preserve">Les écosystèmes montagneux de la Guinée forestière sont le siège d’une diversité biologique abondante. Cependant, ils sont très sensibles à tout déséquilibre écologique.  Ces écosystèmes sont soumis à de fortes pressions anthropiques entrainant l’érosion accélérée des sols et la perte rapide du couvert végétal (habitats de la faune) et de la diversité biologique. L’exploitation des gisements de fer dans les monts Nimba représente un risque de perturbation de cet écosystème. Les écosystèmes aquatiques de la Guinée forestière sont dégradés par l’agriculture itinérante avec défrichement, culture sur brûlis, cultures sur pentes à cycles très rapprochés. </w:t>
      </w:r>
    </w:p>
    <w:p w14:paraId="2A5D3DC0" w14:textId="77777777" w:rsidR="00F07CFE" w:rsidRPr="00B01850" w:rsidRDefault="00F07CFE" w:rsidP="002930E5">
      <w:pPr>
        <w:autoSpaceDE w:val="0"/>
        <w:autoSpaceDN w:val="0"/>
        <w:adjustRightInd w:val="0"/>
        <w:spacing w:before="120" w:after="0" w:line="240" w:lineRule="auto"/>
        <w:jc w:val="both"/>
        <w:rPr>
          <w:rFonts w:ascii="Arial" w:eastAsia="Calibri" w:hAnsi="Arial" w:cs="Arial"/>
        </w:rPr>
      </w:pPr>
      <w:r w:rsidRPr="00B01850">
        <w:rPr>
          <w:rFonts w:ascii="Arial" w:eastAsia="Calibri" w:hAnsi="Arial" w:cs="Arial"/>
        </w:rPr>
        <w:t>Compte de niveau élevé de dégradation de l’environnement physique de cette région, l’intervention du PPN en tiendra compte et évitera autant que possible d’aggraver cette situation</w:t>
      </w:r>
    </w:p>
    <w:p w14:paraId="407C58A9" w14:textId="4B949F7E" w:rsidR="00F07CFE" w:rsidRPr="00B01850" w:rsidRDefault="00F07CFE" w:rsidP="00214DCC">
      <w:pPr>
        <w:pStyle w:val="ListParagraph"/>
        <w:numPr>
          <w:ilvl w:val="0"/>
          <w:numId w:val="31"/>
        </w:numPr>
        <w:spacing w:before="120" w:after="120" w:line="240" w:lineRule="auto"/>
        <w:outlineLvl w:val="2"/>
        <w:rPr>
          <w:rFonts w:ascii="Arial" w:eastAsia="Calibri" w:hAnsi="Arial" w:cs="Arial"/>
          <w:b/>
          <w:bCs/>
        </w:rPr>
      </w:pPr>
      <w:bookmarkStart w:id="55" w:name="_Toc528854483"/>
      <w:bookmarkStart w:id="56" w:name="_Toc34754442"/>
      <w:bookmarkStart w:id="57" w:name="_Toc197382146"/>
      <w:r w:rsidRPr="00B01850">
        <w:rPr>
          <w:rFonts w:ascii="Arial" w:eastAsia="Calibri" w:hAnsi="Arial" w:cs="Arial"/>
          <w:b/>
          <w:bCs/>
        </w:rPr>
        <w:t>Population</w:t>
      </w:r>
      <w:r w:rsidR="009C0A25" w:rsidRPr="00B01850">
        <w:rPr>
          <w:rFonts w:ascii="Arial" w:eastAsia="Calibri" w:hAnsi="Arial" w:cs="Arial"/>
          <w:b/>
          <w:bCs/>
        </w:rPr>
        <w:t xml:space="preserve">, </w:t>
      </w:r>
      <w:r w:rsidRPr="00B01850">
        <w:rPr>
          <w:rFonts w:ascii="Arial" w:eastAsia="Calibri" w:hAnsi="Arial" w:cs="Arial"/>
          <w:b/>
          <w:bCs/>
        </w:rPr>
        <w:t>démographique</w:t>
      </w:r>
      <w:bookmarkEnd w:id="55"/>
      <w:bookmarkEnd w:id="56"/>
      <w:r w:rsidR="001773EF" w:rsidRPr="00B01850">
        <w:rPr>
          <w:rFonts w:ascii="Arial" w:eastAsia="Calibri" w:hAnsi="Arial" w:cs="Arial"/>
          <w:b/>
          <w:bCs/>
        </w:rPr>
        <w:t xml:space="preserve">, </w:t>
      </w:r>
      <w:r w:rsidR="009C0A25" w:rsidRPr="00B01850">
        <w:rPr>
          <w:rFonts w:ascii="Arial" w:eastAsia="Calibri" w:hAnsi="Arial" w:cs="Arial"/>
          <w:b/>
          <w:bCs/>
        </w:rPr>
        <w:t>migration</w:t>
      </w:r>
      <w:r w:rsidR="001773EF" w:rsidRPr="00B01850">
        <w:rPr>
          <w:rFonts w:ascii="Arial" w:eastAsia="Calibri" w:hAnsi="Arial" w:cs="Arial"/>
          <w:b/>
          <w:bCs/>
        </w:rPr>
        <w:t xml:space="preserve"> et conditions socioéconomiques</w:t>
      </w:r>
      <w:bookmarkEnd w:id="57"/>
    </w:p>
    <w:p w14:paraId="7D6225E8" w14:textId="6C83F589" w:rsidR="00F07CFE" w:rsidRPr="00B01850" w:rsidRDefault="00733B64" w:rsidP="00F07CFE">
      <w:pPr>
        <w:spacing w:after="0" w:line="240" w:lineRule="auto"/>
        <w:jc w:val="both"/>
        <w:rPr>
          <w:rFonts w:ascii="Arial" w:eastAsia="Times New Roman" w:hAnsi="Arial" w:cs="Arial"/>
          <w:lang w:eastAsia="fr-FR"/>
        </w:rPr>
      </w:pPr>
      <w:r w:rsidRPr="00B01850">
        <w:rPr>
          <w:rFonts w:ascii="Arial" w:eastAsia="Times New Roman" w:hAnsi="Arial" w:cs="Arial"/>
          <w:lang w:eastAsia="fr-FR"/>
        </w:rPr>
        <w:t xml:space="preserve">L’analyse des données du RGPH3 fournit une perspective démographique </w:t>
      </w:r>
      <w:r w:rsidR="00202BBF" w:rsidRPr="00B01850">
        <w:rPr>
          <w:rFonts w:ascii="Arial" w:eastAsia="Times New Roman" w:hAnsi="Arial" w:cs="Arial"/>
          <w:lang w:eastAsia="fr-FR"/>
        </w:rPr>
        <w:t xml:space="preserve">de la Guinée </w:t>
      </w:r>
      <w:r w:rsidRPr="00B01850">
        <w:rPr>
          <w:rFonts w:ascii="Arial" w:eastAsia="Times New Roman" w:hAnsi="Arial" w:cs="Arial"/>
          <w:lang w:eastAsia="fr-FR"/>
        </w:rPr>
        <w:t>au mois de juillet 2025</w:t>
      </w:r>
      <w:r w:rsidR="00202BBF" w:rsidRPr="00B01850">
        <w:rPr>
          <w:rFonts w:ascii="Arial" w:eastAsia="Times New Roman" w:hAnsi="Arial" w:cs="Arial"/>
          <w:lang w:eastAsia="fr-FR"/>
        </w:rPr>
        <w:t xml:space="preserve"> avec </w:t>
      </w:r>
      <w:r w:rsidRPr="00B01850">
        <w:rPr>
          <w:rFonts w:ascii="Arial" w:eastAsia="Times New Roman" w:hAnsi="Arial" w:cs="Arial"/>
          <w:lang w:eastAsia="fr-FR"/>
        </w:rPr>
        <w:t xml:space="preserve">une population totale de 14 363 931 habitants </w:t>
      </w:r>
      <w:r w:rsidR="00F07CFE" w:rsidRPr="00B01850">
        <w:rPr>
          <w:rFonts w:ascii="Arial" w:eastAsia="Times New Roman" w:hAnsi="Arial" w:cs="Arial"/>
          <w:lang w:eastAsia="fr-FR"/>
        </w:rPr>
        <w:t>dont 5</w:t>
      </w:r>
      <w:r w:rsidR="00202BBF" w:rsidRPr="00B01850">
        <w:rPr>
          <w:rFonts w:ascii="Arial" w:eastAsia="Times New Roman" w:hAnsi="Arial" w:cs="Arial"/>
          <w:lang w:eastAsia="fr-FR"/>
        </w:rPr>
        <w:t>1,31</w:t>
      </w:r>
      <w:r w:rsidR="00F07CFE" w:rsidRPr="00B01850">
        <w:rPr>
          <w:rFonts w:ascii="Arial" w:eastAsia="Times New Roman" w:hAnsi="Arial" w:cs="Arial"/>
          <w:lang w:eastAsia="fr-FR"/>
        </w:rPr>
        <w:t>% de femmes (</w:t>
      </w:r>
      <w:r w:rsidR="00202BBF" w:rsidRPr="00B01850">
        <w:rPr>
          <w:rFonts w:ascii="Arial" w:eastAsia="Times New Roman" w:hAnsi="Arial" w:cs="Arial"/>
          <w:lang w:eastAsia="fr-FR"/>
        </w:rPr>
        <w:t>INS, 2017</w:t>
      </w:r>
      <w:r w:rsidR="00F07CFE" w:rsidRPr="00B01850">
        <w:rPr>
          <w:rFonts w:ascii="Arial" w:eastAsia="Times New Roman" w:hAnsi="Arial" w:cs="Arial"/>
          <w:lang w:eastAsia="fr-FR"/>
        </w:rPr>
        <w:t>).</w:t>
      </w:r>
    </w:p>
    <w:p w14:paraId="119ECE14" w14:textId="1774C7FC" w:rsidR="00F07CFE" w:rsidRPr="00B01850" w:rsidRDefault="00F07CFE" w:rsidP="00664E85">
      <w:pPr>
        <w:spacing w:before="120" w:after="0" w:line="240" w:lineRule="auto"/>
        <w:jc w:val="both"/>
        <w:rPr>
          <w:rFonts w:ascii="Arial" w:eastAsia="Times New Roman" w:hAnsi="Arial" w:cs="Arial"/>
          <w:lang w:eastAsia="fr-FR"/>
        </w:rPr>
      </w:pPr>
      <w:r w:rsidRPr="00B01850">
        <w:rPr>
          <w:rFonts w:ascii="Arial" w:eastAsia="Times New Roman" w:hAnsi="Arial" w:cs="Arial"/>
          <w:lang w:eastAsia="fr-FR"/>
        </w:rPr>
        <w:t xml:space="preserve">En général, la population guinéenne est jeune, </w:t>
      </w:r>
      <w:r w:rsidR="00346A99" w:rsidRPr="00B01850">
        <w:rPr>
          <w:rFonts w:ascii="Arial" w:eastAsia="Times New Roman" w:hAnsi="Arial" w:cs="Arial"/>
          <w:lang w:eastAsia="fr-FR"/>
        </w:rPr>
        <w:t xml:space="preserve">une personne sur deux à moins de 16 ans et 4,5 % seulement des individus sont âgés de 65 ans ou plus. Elle est </w:t>
      </w:r>
      <w:r w:rsidRPr="00B01850">
        <w:rPr>
          <w:rFonts w:ascii="Arial" w:eastAsia="Times New Roman" w:hAnsi="Arial" w:cs="Arial"/>
          <w:lang w:eastAsia="fr-FR"/>
        </w:rPr>
        <w:t>relativement peu alphabétisée, principalement rurale (près de 70 %) et engagée dans l’agriculture ou le secteur informel. Le mode d’organisation sociale n’attribue pas souvent le statut de chef de ménage aux femmes.</w:t>
      </w:r>
      <w:r w:rsidR="00D5708C" w:rsidRPr="00B01850">
        <w:rPr>
          <w:rFonts w:ascii="Arial" w:eastAsia="Times New Roman" w:hAnsi="Arial" w:cs="Arial"/>
          <w:lang w:eastAsia="fr-FR"/>
        </w:rPr>
        <w:t xml:space="preserve"> </w:t>
      </w:r>
      <w:r w:rsidRPr="00B01850">
        <w:rPr>
          <w:rFonts w:ascii="Arial" w:eastAsia="Times New Roman" w:hAnsi="Arial" w:cs="Arial"/>
          <w:lang w:eastAsia="fr-FR"/>
        </w:rPr>
        <w:t>Ainsi,</w:t>
      </w:r>
      <w:r w:rsidR="00D5708C" w:rsidRPr="00B01850">
        <w:rPr>
          <w:rFonts w:ascii="Arial" w:eastAsia="Times New Roman" w:hAnsi="Arial" w:cs="Arial"/>
          <w:lang w:eastAsia="fr-FR"/>
        </w:rPr>
        <w:t xml:space="preserve"> l</w:t>
      </w:r>
      <w:r w:rsidRPr="00B01850">
        <w:rPr>
          <w:rFonts w:ascii="Arial" w:eastAsia="Times New Roman" w:hAnsi="Arial" w:cs="Arial"/>
          <w:lang w:eastAsia="fr-FR"/>
        </w:rPr>
        <w:t xml:space="preserve">es femmes sont légèrement plus nombreuses que les hommes. </w:t>
      </w:r>
    </w:p>
    <w:p w14:paraId="14548778" w14:textId="6EB0676B" w:rsidR="00F07CFE" w:rsidRPr="00B01850" w:rsidRDefault="00F07CFE" w:rsidP="00D5708C">
      <w:pPr>
        <w:spacing w:before="120" w:after="0" w:line="240" w:lineRule="auto"/>
        <w:jc w:val="both"/>
        <w:rPr>
          <w:rFonts w:ascii="Arial" w:eastAsia="Times New Roman" w:hAnsi="Arial" w:cs="Arial"/>
          <w:lang w:eastAsia="fr-FR"/>
        </w:rPr>
      </w:pPr>
      <w:r w:rsidRPr="00B01850">
        <w:rPr>
          <w:rFonts w:ascii="Arial" w:eastAsia="Times New Roman" w:hAnsi="Arial" w:cs="Arial"/>
          <w:lang w:eastAsia="fr-FR"/>
        </w:rPr>
        <w:t>La structure par âge pour l’ensemble du pays révèle une population jeune, ce qui est essentiellement le résultat d’un taux de fécondité élevé, qui a été estimé à 6 enfants par femme en 2012 (INS, 201</w:t>
      </w:r>
      <w:r w:rsidR="00D5708C" w:rsidRPr="00B01850">
        <w:rPr>
          <w:rFonts w:ascii="Arial" w:eastAsia="Times New Roman" w:hAnsi="Arial" w:cs="Arial"/>
          <w:lang w:eastAsia="fr-FR"/>
        </w:rPr>
        <w:t>7</w:t>
      </w:r>
      <w:r w:rsidRPr="00B01850">
        <w:rPr>
          <w:rFonts w:ascii="Arial" w:eastAsia="Times New Roman" w:hAnsi="Arial" w:cs="Arial"/>
          <w:lang w:eastAsia="fr-FR"/>
        </w:rPr>
        <w:t xml:space="preserve">). Le haut niveau de fécondité s’explique essentiellement par la précocité du mariage, le bas niveau d’instruction et la faiblesse du planning familial. </w:t>
      </w:r>
    </w:p>
    <w:p w14:paraId="09DDD4E6" w14:textId="4B361A70" w:rsidR="00F07CFE" w:rsidRPr="00B01850" w:rsidRDefault="00F07CFE" w:rsidP="00F07CFE">
      <w:pPr>
        <w:spacing w:after="0" w:line="240" w:lineRule="auto"/>
        <w:jc w:val="both"/>
        <w:rPr>
          <w:rFonts w:ascii="Arial" w:eastAsia="Times New Roman" w:hAnsi="Arial" w:cs="Arial"/>
          <w:lang w:eastAsia="fr-FR"/>
        </w:rPr>
      </w:pPr>
      <w:r w:rsidRPr="00B01850">
        <w:rPr>
          <w:rFonts w:ascii="Arial" w:eastAsia="Times New Roman" w:hAnsi="Arial" w:cs="Arial"/>
          <w:lang w:eastAsia="fr-FR"/>
        </w:rPr>
        <w:t xml:space="preserve">La portion économiquement productive (15 à 64 ans) représente 54, 65 %, tandis que les 64 ans et plus totalisent les 3, 65 %. Toutefois, étant donné le taux de chômage élevé, l’indice de dépendance demeure très élevé. </w:t>
      </w:r>
    </w:p>
    <w:p w14:paraId="1E3D27EA" w14:textId="7F59BBA6" w:rsidR="00F07CFE" w:rsidRPr="00B01850" w:rsidRDefault="00093C08" w:rsidP="00F07CFE">
      <w:pPr>
        <w:spacing w:after="0" w:line="240" w:lineRule="auto"/>
        <w:ind w:right="6"/>
        <w:jc w:val="both"/>
        <w:rPr>
          <w:rFonts w:ascii="Arial" w:eastAsia="Times New Roman" w:hAnsi="Arial" w:cs="Arial"/>
          <w:lang w:eastAsia="fr-FR"/>
        </w:rPr>
      </w:pPr>
      <w:r w:rsidRPr="00B01850">
        <w:rPr>
          <w:rFonts w:ascii="Arial" w:eastAsia="Times New Roman" w:hAnsi="Arial" w:cs="Arial"/>
          <w:lang w:eastAsia="fr-FR"/>
        </w:rPr>
        <w:t xml:space="preserve">La dynamique migratoire reste assez accentuée </w:t>
      </w:r>
      <w:r w:rsidR="00F07CFE" w:rsidRPr="00B01850">
        <w:rPr>
          <w:rFonts w:ascii="Arial" w:eastAsia="Times New Roman" w:hAnsi="Arial" w:cs="Arial"/>
          <w:lang w:eastAsia="fr-FR"/>
        </w:rPr>
        <w:t>en Basse Guinée et en Guinée Forestière, en provenance de la Moyenne Guinée et de la Haute Guinée.</w:t>
      </w:r>
    </w:p>
    <w:p w14:paraId="2B3103DE" w14:textId="77777777" w:rsidR="00F07CFE" w:rsidRPr="00B01850" w:rsidRDefault="00F07CFE" w:rsidP="00214DCC">
      <w:pPr>
        <w:pStyle w:val="ListParagraph"/>
        <w:numPr>
          <w:ilvl w:val="0"/>
          <w:numId w:val="45"/>
        </w:numPr>
        <w:spacing w:before="120" w:after="120" w:line="240" w:lineRule="auto"/>
        <w:outlineLvl w:val="2"/>
        <w:rPr>
          <w:rFonts w:ascii="Arial" w:eastAsia="Calibri" w:hAnsi="Arial" w:cs="Arial"/>
          <w:i/>
          <w:iCs/>
        </w:rPr>
      </w:pPr>
      <w:bookmarkStart w:id="58" w:name="_Toc528854484"/>
      <w:bookmarkStart w:id="59" w:name="_Toc34754443"/>
      <w:bookmarkStart w:id="60" w:name="_Toc197382147"/>
      <w:r w:rsidRPr="00B01850">
        <w:rPr>
          <w:rFonts w:ascii="Arial" w:eastAsia="Calibri" w:hAnsi="Arial" w:cs="Arial"/>
          <w:i/>
          <w:iCs/>
        </w:rPr>
        <w:t>Habitats et services</w:t>
      </w:r>
      <w:bookmarkEnd w:id="58"/>
      <w:bookmarkEnd w:id="59"/>
      <w:bookmarkEnd w:id="60"/>
    </w:p>
    <w:p w14:paraId="126E168C" w14:textId="77777777" w:rsidR="00F07CFE" w:rsidRPr="00B01850" w:rsidRDefault="00F07CFE" w:rsidP="00F07CFE">
      <w:pPr>
        <w:spacing w:after="0" w:line="240" w:lineRule="auto"/>
        <w:ind w:right="6"/>
        <w:jc w:val="both"/>
        <w:rPr>
          <w:rFonts w:ascii="Arial" w:eastAsia="Calibri" w:hAnsi="Arial" w:cs="Arial"/>
        </w:rPr>
      </w:pPr>
      <w:r w:rsidRPr="00B01850">
        <w:rPr>
          <w:rFonts w:ascii="Arial" w:eastAsia="Calibri" w:hAnsi="Arial" w:cs="Arial"/>
        </w:rPr>
        <w:t xml:space="preserve">La Guinée a connu une urbanisation croissante depuis la fin des années 1970. La population urbaine s’est élevée de 23 % en 1990 à plus de 35 % aujourd’hui et plus du tiers des pauvres vivent en milieu péri urbain et urbain (PNIE, 2013). L’exode rural a généré une pression relative sur les centres urbains en général et sur la capitale Conakry en particulier, où le taux de croissance annuelle atteint 5 %. (INS, 2011). </w:t>
      </w:r>
    </w:p>
    <w:p w14:paraId="1D84002D" w14:textId="1DCEE90B" w:rsidR="00F07CFE" w:rsidRPr="00B01850" w:rsidRDefault="00F07CFE" w:rsidP="00F07CFE">
      <w:pPr>
        <w:spacing w:after="0" w:line="240" w:lineRule="auto"/>
        <w:ind w:right="6"/>
        <w:jc w:val="both"/>
        <w:rPr>
          <w:rFonts w:ascii="Arial" w:eastAsia="Calibri" w:hAnsi="Arial" w:cs="Arial"/>
        </w:rPr>
      </w:pPr>
      <w:r w:rsidRPr="00B01850">
        <w:rPr>
          <w:rFonts w:ascii="Arial" w:eastAsia="Calibri" w:hAnsi="Arial" w:cs="Arial"/>
        </w:rPr>
        <w:t>Il n’y a pas de différence fondamentale dans l’habitat dans les villes de la Guinée. En général, les habitations sont construites en briques parpaing, couvertes de tôle. Elles ont une forme rectangulaire dont les pièces sont variables en fonction de la taille du ménage. Pour ceux qui sont davantage démunis, les maisons ont une dimension plus réduite. Les cuisines et les latrines sont en majorité externes.</w:t>
      </w:r>
    </w:p>
    <w:p w14:paraId="6C078B4C" w14:textId="77777777" w:rsidR="00F07CFE" w:rsidRPr="00B01850" w:rsidRDefault="00F07CFE" w:rsidP="00214DCC">
      <w:pPr>
        <w:pStyle w:val="ListParagraph"/>
        <w:numPr>
          <w:ilvl w:val="0"/>
          <w:numId w:val="45"/>
        </w:numPr>
        <w:spacing w:before="120" w:after="120" w:line="240" w:lineRule="auto"/>
        <w:outlineLvl w:val="2"/>
        <w:rPr>
          <w:rFonts w:ascii="Arial" w:eastAsia="Calibri" w:hAnsi="Arial" w:cs="Arial"/>
          <w:i/>
          <w:iCs/>
        </w:rPr>
      </w:pPr>
      <w:bookmarkStart w:id="61" w:name="_Toc528854485"/>
      <w:bookmarkStart w:id="62" w:name="_Toc34754444"/>
      <w:bookmarkStart w:id="63" w:name="_Toc197382148"/>
      <w:r w:rsidRPr="00B01850">
        <w:rPr>
          <w:rFonts w:ascii="Arial" w:eastAsia="Calibri" w:hAnsi="Arial" w:cs="Arial"/>
          <w:i/>
          <w:iCs/>
        </w:rPr>
        <w:t>Électricité</w:t>
      </w:r>
      <w:bookmarkEnd w:id="61"/>
      <w:bookmarkEnd w:id="62"/>
      <w:bookmarkEnd w:id="63"/>
    </w:p>
    <w:p w14:paraId="7877D15A" w14:textId="77777777"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 xml:space="preserve">Le sous-secteur de l’hydroélectricité est très peu développé au regard du potentiel existant qui est estimé à 26 000 GWh. En effet, plus de 138 sites de barrages hydroélectriques sont identifiés. À ce jour, moins de 7% de ce potentiel est exploité. </w:t>
      </w:r>
    </w:p>
    <w:p w14:paraId="27A75585" w14:textId="2AD52A06"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lastRenderedPageBreak/>
        <w:t xml:space="preserve">Le secteur de l’électricité en Guinée est confronté à de nombreux défis et contraintes et la capacité du pays à gérer durablement ses ressources énergétiques demeure faible. Ce secteur est actuellement caractérisé par un faible taux d’accès à l’électricité et un déficit chronique entre l’offre et la demande aussi bien au niveau urbain que rural. La production moyenne du réseau interconnecté est largement insuffisante pour couvrir la demande potentielle alors que la Guinée possède un important potentiel hydroélectrique. Cette situation est à la fois cause et conséquence des problèmes de développement socioéconomiques du pays et de dégradation de l’environnement. </w:t>
      </w:r>
    </w:p>
    <w:p w14:paraId="5988917A" w14:textId="234293D4" w:rsidR="00F07CFE" w:rsidRPr="00B01850" w:rsidRDefault="00914157" w:rsidP="00214DCC">
      <w:pPr>
        <w:pStyle w:val="ListParagraph"/>
        <w:numPr>
          <w:ilvl w:val="0"/>
          <w:numId w:val="45"/>
        </w:numPr>
        <w:spacing w:before="120" w:after="120" w:line="240" w:lineRule="auto"/>
        <w:outlineLvl w:val="2"/>
        <w:rPr>
          <w:rFonts w:ascii="Arial" w:eastAsia="Calibri" w:hAnsi="Arial" w:cs="Arial"/>
          <w:i/>
          <w:iCs/>
        </w:rPr>
      </w:pPr>
      <w:bookmarkStart w:id="64" w:name="_Toc528854486"/>
      <w:bookmarkStart w:id="65" w:name="_Toc34754445"/>
      <w:bookmarkStart w:id="66" w:name="_Toc197382149"/>
      <w:r w:rsidRPr="00B01850">
        <w:rPr>
          <w:rFonts w:ascii="Arial" w:eastAsia="Calibri" w:hAnsi="Arial" w:cs="Arial"/>
          <w:i/>
          <w:iCs/>
        </w:rPr>
        <w:t>Accès à l’é</w:t>
      </w:r>
      <w:r w:rsidR="00F07CFE" w:rsidRPr="00B01850">
        <w:rPr>
          <w:rFonts w:ascii="Arial" w:eastAsia="Calibri" w:hAnsi="Arial" w:cs="Arial"/>
          <w:i/>
          <w:iCs/>
        </w:rPr>
        <w:t>ducation</w:t>
      </w:r>
      <w:bookmarkEnd w:id="64"/>
      <w:bookmarkEnd w:id="65"/>
      <w:r w:rsidRPr="00B01850">
        <w:rPr>
          <w:rFonts w:ascii="Arial" w:eastAsia="Calibri" w:hAnsi="Arial" w:cs="Arial"/>
          <w:i/>
          <w:iCs/>
        </w:rPr>
        <w:t xml:space="preserve"> et infrastructures scolaires</w:t>
      </w:r>
      <w:bookmarkEnd w:id="66"/>
    </w:p>
    <w:p w14:paraId="64F12FD4" w14:textId="737BBBB1" w:rsidR="00F07CFE" w:rsidRPr="00B01850" w:rsidRDefault="00F07CFE" w:rsidP="00265DC1">
      <w:pPr>
        <w:spacing w:after="0" w:line="240" w:lineRule="auto"/>
        <w:ind w:right="12"/>
        <w:jc w:val="both"/>
        <w:rPr>
          <w:rFonts w:ascii="Arial" w:eastAsia="Calibri" w:hAnsi="Arial" w:cs="Arial"/>
        </w:rPr>
      </w:pPr>
      <w:r w:rsidRPr="00B01850">
        <w:rPr>
          <w:rFonts w:ascii="Arial" w:eastAsia="Calibri" w:hAnsi="Arial" w:cs="Arial"/>
        </w:rPr>
        <w:t>Cette section</w:t>
      </w:r>
      <w:r w:rsidR="004C68E8" w:rsidRPr="00B01850">
        <w:rPr>
          <w:rFonts w:ascii="Arial" w:eastAsia="Calibri" w:hAnsi="Arial" w:cs="Arial"/>
        </w:rPr>
        <w:t xml:space="preserve"> fournit</w:t>
      </w:r>
      <w:r w:rsidRPr="00B01850">
        <w:rPr>
          <w:rFonts w:ascii="Arial" w:eastAsia="Calibri" w:hAnsi="Arial" w:cs="Arial"/>
        </w:rPr>
        <w:t xml:space="preserve"> quelques informations relatives au secteur de l’éducation </w:t>
      </w:r>
      <w:r w:rsidR="004C68E8" w:rsidRPr="00B01850">
        <w:rPr>
          <w:rFonts w:ascii="Arial" w:eastAsia="Calibri" w:hAnsi="Arial" w:cs="Arial"/>
        </w:rPr>
        <w:t xml:space="preserve">primaire dans les régions administratives de la Guinée. </w:t>
      </w:r>
      <w:r w:rsidR="00525C19" w:rsidRPr="00B01850">
        <w:rPr>
          <w:rFonts w:ascii="Arial" w:eastAsia="Calibri" w:hAnsi="Arial" w:cs="Arial"/>
        </w:rPr>
        <w:t>Ainsi, l</w:t>
      </w:r>
      <w:r w:rsidRPr="00B01850">
        <w:rPr>
          <w:rFonts w:ascii="Arial" w:eastAsia="Calibri" w:hAnsi="Arial" w:cs="Arial"/>
        </w:rPr>
        <w:t xml:space="preserve">es tableaux </w:t>
      </w:r>
      <w:r w:rsidR="00525C19" w:rsidRPr="00B01850">
        <w:rPr>
          <w:rFonts w:ascii="Arial" w:eastAsia="Calibri" w:hAnsi="Arial" w:cs="Arial"/>
        </w:rPr>
        <w:t>1</w:t>
      </w:r>
      <w:r w:rsidRPr="00B01850">
        <w:rPr>
          <w:rFonts w:ascii="Arial" w:eastAsia="Calibri" w:hAnsi="Arial" w:cs="Arial"/>
        </w:rPr>
        <w:t xml:space="preserve"> et </w:t>
      </w:r>
      <w:r w:rsidR="00525C19" w:rsidRPr="00B01850">
        <w:rPr>
          <w:rFonts w:ascii="Arial" w:eastAsia="Calibri" w:hAnsi="Arial" w:cs="Arial"/>
        </w:rPr>
        <w:t>2</w:t>
      </w:r>
      <w:r w:rsidRPr="00B01850">
        <w:rPr>
          <w:rFonts w:ascii="Arial" w:eastAsia="Calibri" w:hAnsi="Arial" w:cs="Arial"/>
        </w:rPr>
        <w:t xml:space="preserve"> </w:t>
      </w:r>
      <w:r w:rsidR="004C68E8" w:rsidRPr="00B01850">
        <w:rPr>
          <w:rFonts w:ascii="Arial" w:eastAsia="Calibri" w:hAnsi="Arial" w:cs="Arial"/>
        </w:rPr>
        <w:t xml:space="preserve">ci-dessous </w:t>
      </w:r>
      <w:r w:rsidR="00525C19" w:rsidRPr="00B01850">
        <w:rPr>
          <w:rFonts w:ascii="Arial" w:eastAsia="Calibri" w:hAnsi="Arial" w:cs="Arial"/>
        </w:rPr>
        <w:t xml:space="preserve">présentent </w:t>
      </w:r>
      <w:r w:rsidR="004C68E8" w:rsidRPr="00B01850">
        <w:rPr>
          <w:rFonts w:ascii="Arial" w:eastAsia="Calibri" w:hAnsi="Arial" w:cs="Arial"/>
        </w:rPr>
        <w:t>quelques statistiques</w:t>
      </w:r>
      <w:r w:rsidR="00525C19" w:rsidRPr="00B01850">
        <w:rPr>
          <w:rFonts w:ascii="Arial" w:eastAsia="Calibri" w:hAnsi="Arial" w:cs="Arial"/>
        </w:rPr>
        <w:t xml:space="preserve"> relatives au secteur</w:t>
      </w:r>
      <w:r w:rsidR="004C68E8" w:rsidRPr="00B01850">
        <w:rPr>
          <w:rFonts w:ascii="Arial" w:eastAsia="Calibri" w:hAnsi="Arial" w:cs="Arial"/>
        </w:rPr>
        <w:t>.</w:t>
      </w:r>
    </w:p>
    <w:p w14:paraId="13C4C94F" w14:textId="5DF21875" w:rsidR="00F07CFE" w:rsidRPr="00B01850" w:rsidRDefault="00F07CFE" w:rsidP="00214DCC">
      <w:pPr>
        <w:pStyle w:val="ListParagraph"/>
        <w:numPr>
          <w:ilvl w:val="0"/>
          <w:numId w:val="36"/>
        </w:numPr>
        <w:spacing w:before="120" w:after="120" w:line="240" w:lineRule="auto"/>
        <w:ind w:right="14"/>
        <w:contextualSpacing w:val="0"/>
        <w:rPr>
          <w:rFonts w:ascii="Arial" w:eastAsia="Calibri" w:hAnsi="Arial" w:cs="Arial"/>
        </w:rPr>
      </w:pPr>
      <w:bookmarkStart w:id="67" w:name="_Toc524844159"/>
      <w:bookmarkStart w:id="68" w:name="_Toc528754368"/>
      <w:bookmarkStart w:id="69" w:name="_Toc17813336"/>
      <w:bookmarkStart w:id="70" w:name="_Toc503257295"/>
      <w:r w:rsidRPr="00B01850">
        <w:rPr>
          <w:rFonts w:ascii="Arial" w:eastAsia="Calibri" w:hAnsi="Arial" w:cs="Arial"/>
        </w:rPr>
        <w:t xml:space="preserve">Tableau </w:t>
      </w:r>
      <w:r w:rsidR="003F0AAE" w:rsidRPr="00B01850">
        <w:rPr>
          <w:rFonts w:ascii="Arial" w:eastAsia="Calibri" w:hAnsi="Arial" w:cs="Arial"/>
        </w:rPr>
        <w:t>1</w:t>
      </w:r>
      <w:r w:rsidRPr="00B01850">
        <w:rPr>
          <w:rFonts w:ascii="Arial" w:eastAsia="Calibri" w:hAnsi="Arial" w:cs="Arial"/>
        </w:rPr>
        <w:t> : Évolution du taux brut de scolarisation au primaire par région et par genre</w:t>
      </w:r>
      <w:bookmarkEnd w:id="67"/>
      <w:bookmarkEnd w:id="68"/>
      <w:bookmarkEnd w:id="69"/>
    </w:p>
    <w:tbl>
      <w:tblPr>
        <w:tblW w:w="505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41"/>
        <w:gridCol w:w="1176"/>
        <w:gridCol w:w="1176"/>
        <w:gridCol w:w="1176"/>
        <w:gridCol w:w="1176"/>
        <w:gridCol w:w="1176"/>
        <w:gridCol w:w="1399"/>
      </w:tblGrid>
      <w:tr w:rsidR="00BA4938" w:rsidRPr="00B01850" w14:paraId="525F8AB4" w14:textId="77777777" w:rsidTr="00F95D7D">
        <w:trPr>
          <w:trHeight w:val="285"/>
        </w:trPr>
        <w:tc>
          <w:tcPr>
            <w:tcW w:w="1202" w:type="pct"/>
            <w:shd w:val="clear" w:color="auto" w:fill="FDE9D9" w:themeFill="accent6" w:themeFillTint="33"/>
            <w:noWrap/>
            <w:vAlign w:val="center"/>
            <w:hideMark/>
          </w:tcPr>
          <w:p w14:paraId="7694BFD9" w14:textId="77777777" w:rsidR="00BA4938" w:rsidRPr="00B01850" w:rsidRDefault="00BA4938" w:rsidP="00144714">
            <w:pPr>
              <w:spacing w:after="0" w:line="240" w:lineRule="auto"/>
              <w:jc w:val="center"/>
              <w:rPr>
                <w:rFonts w:ascii="Calibri" w:eastAsia="Times New Roman" w:hAnsi="Calibri" w:cs="Calibri"/>
                <w:i/>
                <w:iCs/>
                <w:color w:val="000000"/>
              </w:rPr>
            </w:pPr>
            <w:bookmarkStart w:id="71" w:name="_Toc503257296"/>
            <w:bookmarkStart w:id="72" w:name="_Toc524844160"/>
            <w:bookmarkStart w:id="73" w:name="_Toc528754369"/>
            <w:bookmarkEnd w:id="70"/>
            <w:r w:rsidRPr="00B01850">
              <w:rPr>
                <w:rFonts w:ascii="Calibri" w:eastAsia="Times New Roman" w:hAnsi="Calibri" w:cs="Calibri"/>
                <w:i/>
                <w:iCs/>
                <w:color w:val="000000"/>
              </w:rPr>
              <w:t>Régions administratives</w:t>
            </w:r>
          </w:p>
        </w:tc>
        <w:tc>
          <w:tcPr>
            <w:tcW w:w="606" w:type="pct"/>
            <w:shd w:val="clear" w:color="auto" w:fill="FDE9D9" w:themeFill="accent6" w:themeFillTint="33"/>
            <w:noWrap/>
            <w:vAlign w:val="center"/>
            <w:hideMark/>
          </w:tcPr>
          <w:p w14:paraId="4390D6F3" w14:textId="77777777" w:rsidR="00BA4938" w:rsidRPr="00B01850" w:rsidRDefault="00BA4938" w:rsidP="00144714">
            <w:pPr>
              <w:spacing w:after="0" w:line="240" w:lineRule="auto"/>
              <w:jc w:val="center"/>
              <w:rPr>
                <w:rFonts w:ascii="Calibri" w:eastAsia="Times New Roman" w:hAnsi="Calibri" w:cs="Calibri"/>
                <w:i/>
                <w:iCs/>
                <w:color w:val="000000"/>
              </w:rPr>
            </w:pPr>
            <w:r w:rsidRPr="00B01850">
              <w:rPr>
                <w:rFonts w:ascii="Calibri" w:eastAsia="Times New Roman" w:hAnsi="Calibri" w:cs="Calibri"/>
                <w:i/>
                <w:iCs/>
                <w:color w:val="000000"/>
              </w:rPr>
              <w:t>2018-2019</w:t>
            </w:r>
          </w:p>
        </w:tc>
        <w:tc>
          <w:tcPr>
            <w:tcW w:w="606" w:type="pct"/>
            <w:shd w:val="clear" w:color="auto" w:fill="FDE9D9" w:themeFill="accent6" w:themeFillTint="33"/>
            <w:noWrap/>
            <w:vAlign w:val="center"/>
            <w:hideMark/>
          </w:tcPr>
          <w:p w14:paraId="26931081" w14:textId="77777777" w:rsidR="00BA4938" w:rsidRPr="00B01850" w:rsidRDefault="00BA4938" w:rsidP="00144714">
            <w:pPr>
              <w:spacing w:after="0" w:line="240" w:lineRule="auto"/>
              <w:jc w:val="center"/>
              <w:rPr>
                <w:rFonts w:ascii="Calibri" w:eastAsia="Times New Roman" w:hAnsi="Calibri" w:cs="Calibri"/>
                <w:i/>
                <w:iCs/>
                <w:color w:val="000000"/>
              </w:rPr>
            </w:pPr>
            <w:r w:rsidRPr="00B01850">
              <w:rPr>
                <w:rFonts w:ascii="Calibri" w:eastAsia="Times New Roman" w:hAnsi="Calibri" w:cs="Calibri"/>
                <w:i/>
                <w:iCs/>
                <w:color w:val="000000"/>
              </w:rPr>
              <w:t>2019-2020</w:t>
            </w:r>
          </w:p>
        </w:tc>
        <w:tc>
          <w:tcPr>
            <w:tcW w:w="606" w:type="pct"/>
            <w:shd w:val="clear" w:color="auto" w:fill="FDE9D9" w:themeFill="accent6" w:themeFillTint="33"/>
            <w:noWrap/>
            <w:vAlign w:val="center"/>
            <w:hideMark/>
          </w:tcPr>
          <w:p w14:paraId="72ECF1BD" w14:textId="77777777" w:rsidR="00BA4938" w:rsidRPr="00B01850" w:rsidRDefault="00BA4938" w:rsidP="00144714">
            <w:pPr>
              <w:spacing w:after="0" w:line="240" w:lineRule="auto"/>
              <w:jc w:val="center"/>
              <w:rPr>
                <w:rFonts w:ascii="Calibri" w:eastAsia="Times New Roman" w:hAnsi="Calibri" w:cs="Calibri"/>
                <w:i/>
                <w:iCs/>
                <w:color w:val="000000"/>
              </w:rPr>
            </w:pPr>
            <w:r w:rsidRPr="00B01850">
              <w:rPr>
                <w:rFonts w:ascii="Calibri" w:eastAsia="Times New Roman" w:hAnsi="Calibri" w:cs="Calibri"/>
                <w:i/>
                <w:iCs/>
                <w:color w:val="000000"/>
              </w:rPr>
              <w:t>2020-2021</w:t>
            </w:r>
          </w:p>
        </w:tc>
        <w:tc>
          <w:tcPr>
            <w:tcW w:w="606" w:type="pct"/>
            <w:shd w:val="clear" w:color="auto" w:fill="FDE9D9" w:themeFill="accent6" w:themeFillTint="33"/>
            <w:noWrap/>
            <w:vAlign w:val="center"/>
            <w:hideMark/>
          </w:tcPr>
          <w:p w14:paraId="0702C771" w14:textId="77777777" w:rsidR="00BA4938" w:rsidRPr="00B01850" w:rsidRDefault="00BA4938" w:rsidP="00144714">
            <w:pPr>
              <w:spacing w:after="0" w:line="240" w:lineRule="auto"/>
              <w:jc w:val="center"/>
              <w:rPr>
                <w:rFonts w:ascii="Calibri" w:eastAsia="Times New Roman" w:hAnsi="Calibri" w:cs="Calibri"/>
                <w:i/>
                <w:iCs/>
                <w:color w:val="000000"/>
              </w:rPr>
            </w:pPr>
            <w:r w:rsidRPr="00B01850">
              <w:rPr>
                <w:rFonts w:ascii="Calibri" w:eastAsia="Times New Roman" w:hAnsi="Calibri" w:cs="Calibri"/>
                <w:i/>
                <w:iCs/>
                <w:color w:val="000000"/>
              </w:rPr>
              <w:t>2021-2022</w:t>
            </w:r>
          </w:p>
        </w:tc>
        <w:tc>
          <w:tcPr>
            <w:tcW w:w="606" w:type="pct"/>
            <w:shd w:val="clear" w:color="auto" w:fill="FDE9D9" w:themeFill="accent6" w:themeFillTint="33"/>
            <w:noWrap/>
            <w:vAlign w:val="center"/>
            <w:hideMark/>
          </w:tcPr>
          <w:p w14:paraId="10A9DD32" w14:textId="77777777" w:rsidR="00BA4938" w:rsidRPr="00B01850" w:rsidRDefault="00BA4938" w:rsidP="00144714">
            <w:pPr>
              <w:spacing w:after="0" w:line="240" w:lineRule="auto"/>
              <w:jc w:val="center"/>
              <w:rPr>
                <w:rFonts w:ascii="Calibri" w:eastAsia="Times New Roman" w:hAnsi="Calibri" w:cs="Calibri"/>
                <w:i/>
                <w:iCs/>
                <w:color w:val="000000"/>
              </w:rPr>
            </w:pPr>
            <w:r w:rsidRPr="00B01850">
              <w:rPr>
                <w:rFonts w:ascii="Calibri" w:eastAsia="Times New Roman" w:hAnsi="Calibri" w:cs="Calibri"/>
                <w:i/>
                <w:iCs/>
                <w:color w:val="000000"/>
              </w:rPr>
              <w:t>2022-2023</w:t>
            </w:r>
          </w:p>
        </w:tc>
        <w:tc>
          <w:tcPr>
            <w:tcW w:w="770" w:type="pct"/>
            <w:shd w:val="clear" w:color="auto" w:fill="FDE9D9" w:themeFill="accent6" w:themeFillTint="33"/>
            <w:noWrap/>
            <w:vAlign w:val="center"/>
            <w:hideMark/>
          </w:tcPr>
          <w:p w14:paraId="5F9781E8" w14:textId="77777777" w:rsidR="00BA4938" w:rsidRPr="00B01850" w:rsidRDefault="00BA4938" w:rsidP="00144714">
            <w:pPr>
              <w:spacing w:after="0" w:line="240" w:lineRule="auto"/>
              <w:jc w:val="center"/>
              <w:rPr>
                <w:rFonts w:ascii="Calibri" w:eastAsia="Times New Roman" w:hAnsi="Calibri" w:cs="Calibri"/>
                <w:i/>
                <w:iCs/>
                <w:color w:val="000000"/>
              </w:rPr>
            </w:pPr>
            <w:r w:rsidRPr="00B01850">
              <w:rPr>
                <w:rFonts w:ascii="Calibri" w:eastAsia="Times New Roman" w:hAnsi="Calibri" w:cs="Calibri"/>
                <w:i/>
                <w:iCs/>
                <w:color w:val="000000"/>
              </w:rPr>
              <w:t>Total général</w:t>
            </w:r>
          </w:p>
        </w:tc>
      </w:tr>
      <w:tr w:rsidR="00BA4938" w:rsidRPr="00B01850" w14:paraId="263B10DF" w14:textId="77777777" w:rsidTr="00144714">
        <w:trPr>
          <w:trHeight w:val="285"/>
        </w:trPr>
        <w:tc>
          <w:tcPr>
            <w:tcW w:w="1202" w:type="pct"/>
            <w:shd w:val="clear" w:color="auto" w:fill="auto"/>
            <w:noWrap/>
            <w:vAlign w:val="bottom"/>
            <w:hideMark/>
          </w:tcPr>
          <w:p w14:paraId="36590B09" w14:textId="77777777" w:rsidR="00BA4938" w:rsidRPr="00B01850" w:rsidRDefault="00BA4938" w:rsidP="00144714">
            <w:pPr>
              <w:spacing w:after="0" w:line="240" w:lineRule="auto"/>
              <w:rPr>
                <w:rFonts w:ascii="Calibri" w:eastAsia="Times New Roman" w:hAnsi="Calibri" w:cs="Calibri"/>
                <w:color w:val="000000"/>
              </w:rPr>
            </w:pPr>
            <w:r w:rsidRPr="00B01850">
              <w:rPr>
                <w:rFonts w:ascii="Calibri" w:eastAsia="Times New Roman" w:hAnsi="Calibri" w:cs="Calibri"/>
                <w:color w:val="000000"/>
              </w:rPr>
              <w:t>BOKÉ</w:t>
            </w:r>
          </w:p>
        </w:tc>
        <w:tc>
          <w:tcPr>
            <w:tcW w:w="606" w:type="pct"/>
            <w:shd w:val="clear" w:color="auto" w:fill="auto"/>
            <w:noWrap/>
            <w:vAlign w:val="bottom"/>
            <w:hideMark/>
          </w:tcPr>
          <w:p w14:paraId="1109247A"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99.3%</w:t>
            </w:r>
          </w:p>
        </w:tc>
        <w:tc>
          <w:tcPr>
            <w:tcW w:w="606" w:type="pct"/>
            <w:shd w:val="clear" w:color="auto" w:fill="auto"/>
            <w:noWrap/>
            <w:vAlign w:val="bottom"/>
            <w:hideMark/>
          </w:tcPr>
          <w:p w14:paraId="26C90562"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99.8%</w:t>
            </w:r>
          </w:p>
        </w:tc>
        <w:tc>
          <w:tcPr>
            <w:tcW w:w="606" w:type="pct"/>
            <w:shd w:val="clear" w:color="auto" w:fill="auto"/>
            <w:noWrap/>
            <w:vAlign w:val="bottom"/>
            <w:hideMark/>
          </w:tcPr>
          <w:p w14:paraId="08E048C3"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97.8%</w:t>
            </w:r>
          </w:p>
        </w:tc>
        <w:tc>
          <w:tcPr>
            <w:tcW w:w="606" w:type="pct"/>
            <w:shd w:val="clear" w:color="auto" w:fill="auto"/>
            <w:noWrap/>
            <w:vAlign w:val="bottom"/>
            <w:hideMark/>
          </w:tcPr>
          <w:p w14:paraId="1F54113F"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98.9%</w:t>
            </w:r>
          </w:p>
        </w:tc>
        <w:tc>
          <w:tcPr>
            <w:tcW w:w="606" w:type="pct"/>
            <w:shd w:val="clear" w:color="auto" w:fill="auto"/>
            <w:noWrap/>
            <w:vAlign w:val="bottom"/>
            <w:hideMark/>
          </w:tcPr>
          <w:p w14:paraId="77265E66"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100.8%</w:t>
            </w:r>
          </w:p>
        </w:tc>
        <w:tc>
          <w:tcPr>
            <w:tcW w:w="770" w:type="pct"/>
            <w:shd w:val="clear" w:color="auto" w:fill="auto"/>
            <w:noWrap/>
            <w:vAlign w:val="bottom"/>
            <w:hideMark/>
          </w:tcPr>
          <w:p w14:paraId="160057F5"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99.3%</w:t>
            </w:r>
          </w:p>
        </w:tc>
      </w:tr>
      <w:tr w:rsidR="00BA4938" w:rsidRPr="00B01850" w14:paraId="7B472A24" w14:textId="77777777" w:rsidTr="00144714">
        <w:trPr>
          <w:trHeight w:val="285"/>
        </w:trPr>
        <w:tc>
          <w:tcPr>
            <w:tcW w:w="1202" w:type="pct"/>
            <w:shd w:val="clear" w:color="auto" w:fill="auto"/>
            <w:noWrap/>
            <w:vAlign w:val="bottom"/>
            <w:hideMark/>
          </w:tcPr>
          <w:p w14:paraId="4302FDB3" w14:textId="77777777" w:rsidR="00BA4938" w:rsidRPr="00B01850" w:rsidRDefault="00BA4938" w:rsidP="00144714">
            <w:pPr>
              <w:spacing w:after="0" w:line="240" w:lineRule="auto"/>
              <w:rPr>
                <w:rFonts w:ascii="Calibri" w:eastAsia="Times New Roman" w:hAnsi="Calibri" w:cs="Calibri"/>
                <w:color w:val="000000"/>
              </w:rPr>
            </w:pPr>
            <w:r w:rsidRPr="00B01850">
              <w:rPr>
                <w:rFonts w:ascii="Calibri" w:eastAsia="Times New Roman" w:hAnsi="Calibri" w:cs="Calibri"/>
                <w:color w:val="000000"/>
              </w:rPr>
              <w:t>CONAKRY</w:t>
            </w:r>
          </w:p>
        </w:tc>
        <w:tc>
          <w:tcPr>
            <w:tcW w:w="606" w:type="pct"/>
            <w:shd w:val="clear" w:color="auto" w:fill="auto"/>
            <w:noWrap/>
            <w:vAlign w:val="bottom"/>
            <w:hideMark/>
          </w:tcPr>
          <w:p w14:paraId="64CB88D4"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147.0%</w:t>
            </w:r>
          </w:p>
        </w:tc>
        <w:tc>
          <w:tcPr>
            <w:tcW w:w="606" w:type="pct"/>
            <w:shd w:val="clear" w:color="auto" w:fill="auto"/>
            <w:noWrap/>
            <w:vAlign w:val="bottom"/>
            <w:hideMark/>
          </w:tcPr>
          <w:p w14:paraId="6F4D0DD2"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154.3%</w:t>
            </w:r>
          </w:p>
        </w:tc>
        <w:tc>
          <w:tcPr>
            <w:tcW w:w="606" w:type="pct"/>
            <w:shd w:val="clear" w:color="auto" w:fill="auto"/>
            <w:noWrap/>
            <w:vAlign w:val="bottom"/>
            <w:hideMark/>
          </w:tcPr>
          <w:p w14:paraId="7A182533"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138.2%</w:t>
            </w:r>
          </w:p>
        </w:tc>
        <w:tc>
          <w:tcPr>
            <w:tcW w:w="606" w:type="pct"/>
            <w:shd w:val="clear" w:color="auto" w:fill="auto"/>
            <w:noWrap/>
            <w:vAlign w:val="bottom"/>
            <w:hideMark/>
          </w:tcPr>
          <w:p w14:paraId="0B5815BC"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145.3%</w:t>
            </w:r>
          </w:p>
        </w:tc>
        <w:tc>
          <w:tcPr>
            <w:tcW w:w="606" w:type="pct"/>
            <w:shd w:val="clear" w:color="auto" w:fill="auto"/>
            <w:noWrap/>
            <w:vAlign w:val="bottom"/>
            <w:hideMark/>
          </w:tcPr>
          <w:p w14:paraId="4D4678AE"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144.0%</w:t>
            </w:r>
          </w:p>
        </w:tc>
        <w:tc>
          <w:tcPr>
            <w:tcW w:w="770" w:type="pct"/>
            <w:shd w:val="clear" w:color="auto" w:fill="auto"/>
            <w:noWrap/>
            <w:vAlign w:val="bottom"/>
            <w:hideMark/>
          </w:tcPr>
          <w:p w14:paraId="23908B92"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145.7%</w:t>
            </w:r>
          </w:p>
        </w:tc>
      </w:tr>
      <w:tr w:rsidR="00BA4938" w:rsidRPr="00B01850" w14:paraId="3FAF64C5" w14:textId="77777777" w:rsidTr="00144714">
        <w:trPr>
          <w:trHeight w:val="285"/>
        </w:trPr>
        <w:tc>
          <w:tcPr>
            <w:tcW w:w="1202" w:type="pct"/>
            <w:shd w:val="clear" w:color="auto" w:fill="auto"/>
            <w:noWrap/>
            <w:vAlign w:val="bottom"/>
            <w:hideMark/>
          </w:tcPr>
          <w:p w14:paraId="74289991" w14:textId="77777777" w:rsidR="00BA4938" w:rsidRPr="00B01850" w:rsidRDefault="00BA4938" w:rsidP="00144714">
            <w:pPr>
              <w:spacing w:after="0" w:line="240" w:lineRule="auto"/>
              <w:rPr>
                <w:rFonts w:ascii="Calibri" w:eastAsia="Times New Roman" w:hAnsi="Calibri" w:cs="Calibri"/>
                <w:color w:val="000000"/>
              </w:rPr>
            </w:pPr>
            <w:r w:rsidRPr="00B01850">
              <w:rPr>
                <w:rFonts w:ascii="Calibri" w:eastAsia="Times New Roman" w:hAnsi="Calibri" w:cs="Calibri"/>
                <w:color w:val="000000"/>
              </w:rPr>
              <w:t>FARANAH</w:t>
            </w:r>
          </w:p>
        </w:tc>
        <w:tc>
          <w:tcPr>
            <w:tcW w:w="606" w:type="pct"/>
            <w:shd w:val="clear" w:color="auto" w:fill="auto"/>
            <w:noWrap/>
            <w:vAlign w:val="bottom"/>
            <w:hideMark/>
          </w:tcPr>
          <w:p w14:paraId="54983E7E"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87.8%</w:t>
            </w:r>
          </w:p>
        </w:tc>
        <w:tc>
          <w:tcPr>
            <w:tcW w:w="606" w:type="pct"/>
            <w:shd w:val="clear" w:color="auto" w:fill="auto"/>
            <w:noWrap/>
            <w:vAlign w:val="bottom"/>
            <w:hideMark/>
          </w:tcPr>
          <w:p w14:paraId="6FA25A7C"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88.5%</w:t>
            </w:r>
          </w:p>
        </w:tc>
        <w:tc>
          <w:tcPr>
            <w:tcW w:w="606" w:type="pct"/>
            <w:shd w:val="clear" w:color="auto" w:fill="auto"/>
            <w:noWrap/>
            <w:vAlign w:val="bottom"/>
            <w:hideMark/>
          </w:tcPr>
          <w:p w14:paraId="42764AC5"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86.8%</w:t>
            </w:r>
          </w:p>
        </w:tc>
        <w:tc>
          <w:tcPr>
            <w:tcW w:w="606" w:type="pct"/>
            <w:shd w:val="clear" w:color="auto" w:fill="auto"/>
            <w:noWrap/>
            <w:vAlign w:val="bottom"/>
            <w:hideMark/>
          </w:tcPr>
          <w:p w14:paraId="4F1F4DFE"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87.2%</w:t>
            </w:r>
          </w:p>
        </w:tc>
        <w:tc>
          <w:tcPr>
            <w:tcW w:w="606" w:type="pct"/>
            <w:shd w:val="clear" w:color="auto" w:fill="auto"/>
            <w:noWrap/>
            <w:vAlign w:val="bottom"/>
            <w:hideMark/>
          </w:tcPr>
          <w:p w14:paraId="7EFFEEB9"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92.2%</w:t>
            </w:r>
          </w:p>
        </w:tc>
        <w:tc>
          <w:tcPr>
            <w:tcW w:w="770" w:type="pct"/>
            <w:shd w:val="clear" w:color="auto" w:fill="auto"/>
            <w:noWrap/>
            <w:vAlign w:val="bottom"/>
            <w:hideMark/>
          </w:tcPr>
          <w:p w14:paraId="3B762D29"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88.6%</w:t>
            </w:r>
          </w:p>
        </w:tc>
      </w:tr>
      <w:tr w:rsidR="00BA4938" w:rsidRPr="00B01850" w14:paraId="442412AF" w14:textId="77777777" w:rsidTr="00144714">
        <w:trPr>
          <w:trHeight w:val="285"/>
        </w:trPr>
        <w:tc>
          <w:tcPr>
            <w:tcW w:w="1202" w:type="pct"/>
            <w:shd w:val="clear" w:color="auto" w:fill="auto"/>
            <w:noWrap/>
            <w:vAlign w:val="bottom"/>
            <w:hideMark/>
          </w:tcPr>
          <w:p w14:paraId="46B9C277" w14:textId="77777777" w:rsidR="00BA4938" w:rsidRPr="00B01850" w:rsidRDefault="00BA4938" w:rsidP="00144714">
            <w:pPr>
              <w:spacing w:after="0" w:line="240" w:lineRule="auto"/>
              <w:rPr>
                <w:rFonts w:ascii="Calibri" w:eastAsia="Times New Roman" w:hAnsi="Calibri" w:cs="Calibri"/>
                <w:color w:val="000000"/>
              </w:rPr>
            </w:pPr>
            <w:r w:rsidRPr="00B01850">
              <w:rPr>
                <w:rFonts w:ascii="Calibri" w:eastAsia="Times New Roman" w:hAnsi="Calibri" w:cs="Calibri"/>
                <w:color w:val="000000"/>
              </w:rPr>
              <w:t>KANKAN</w:t>
            </w:r>
          </w:p>
        </w:tc>
        <w:tc>
          <w:tcPr>
            <w:tcW w:w="606" w:type="pct"/>
            <w:shd w:val="clear" w:color="auto" w:fill="auto"/>
            <w:noWrap/>
            <w:vAlign w:val="bottom"/>
            <w:hideMark/>
          </w:tcPr>
          <w:p w14:paraId="5F663475"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75.2%</w:t>
            </w:r>
          </w:p>
        </w:tc>
        <w:tc>
          <w:tcPr>
            <w:tcW w:w="606" w:type="pct"/>
            <w:shd w:val="clear" w:color="auto" w:fill="auto"/>
            <w:noWrap/>
            <w:vAlign w:val="bottom"/>
            <w:hideMark/>
          </w:tcPr>
          <w:p w14:paraId="6EF7558D"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75.8%</w:t>
            </w:r>
          </w:p>
        </w:tc>
        <w:tc>
          <w:tcPr>
            <w:tcW w:w="606" w:type="pct"/>
            <w:shd w:val="clear" w:color="auto" w:fill="auto"/>
            <w:noWrap/>
            <w:vAlign w:val="bottom"/>
            <w:hideMark/>
          </w:tcPr>
          <w:p w14:paraId="2199F564"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73.9%</w:t>
            </w:r>
          </w:p>
        </w:tc>
        <w:tc>
          <w:tcPr>
            <w:tcW w:w="606" w:type="pct"/>
            <w:shd w:val="clear" w:color="auto" w:fill="auto"/>
            <w:noWrap/>
            <w:vAlign w:val="bottom"/>
            <w:hideMark/>
          </w:tcPr>
          <w:p w14:paraId="2A67B7D9"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78.6%</w:t>
            </w:r>
          </w:p>
        </w:tc>
        <w:tc>
          <w:tcPr>
            <w:tcW w:w="606" w:type="pct"/>
            <w:shd w:val="clear" w:color="auto" w:fill="auto"/>
            <w:noWrap/>
            <w:vAlign w:val="bottom"/>
            <w:hideMark/>
          </w:tcPr>
          <w:p w14:paraId="6804D459"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80.6%</w:t>
            </w:r>
          </w:p>
        </w:tc>
        <w:tc>
          <w:tcPr>
            <w:tcW w:w="770" w:type="pct"/>
            <w:shd w:val="clear" w:color="auto" w:fill="auto"/>
            <w:noWrap/>
            <w:vAlign w:val="bottom"/>
            <w:hideMark/>
          </w:tcPr>
          <w:p w14:paraId="1C535657"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76.9%</w:t>
            </w:r>
          </w:p>
        </w:tc>
      </w:tr>
      <w:tr w:rsidR="00BA4938" w:rsidRPr="00B01850" w14:paraId="742126F2" w14:textId="77777777" w:rsidTr="00144714">
        <w:trPr>
          <w:trHeight w:val="285"/>
        </w:trPr>
        <w:tc>
          <w:tcPr>
            <w:tcW w:w="1202" w:type="pct"/>
            <w:shd w:val="clear" w:color="auto" w:fill="auto"/>
            <w:noWrap/>
            <w:vAlign w:val="bottom"/>
            <w:hideMark/>
          </w:tcPr>
          <w:p w14:paraId="36ED9D90" w14:textId="77777777" w:rsidR="00BA4938" w:rsidRPr="00B01850" w:rsidRDefault="00BA4938" w:rsidP="00144714">
            <w:pPr>
              <w:spacing w:after="0" w:line="240" w:lineRule="auto"/>
              <w:rPr>
                <w:rFonts w:ascii="Calibri" w:eastAsia="Times New Roman" w:hAnsi="Calibri" w:cs="Calibri"/>
                <w:color w:val="000000"/>
              </w:rPr>
            </w:pPr>
            <w:r w:rsidRPr="00B01850">
              <w:rPr>
                <w:rFonts w:ascii="Calibri" w:eastAsia="Times New Roman" w:hAnsi="Calibri" w:cs="Calibri"/>
                <w:color w:val="000000"/>
              </w:rPr>
              <w:t>KINDIA</w:t>
            </w:r>
          </w:p>
        </w:tc>
        <w:tc>
          <w:tcPr>
            <w:tcW w:w="606" w:type="pct"/>
            <w:shd w:val="clear" w:color="auto" w:fill="auto"/>
            <w:noWrap/>
            <w:vAlign w:val="bottom"/>
            <w:hideMark/>
          </w:tcPr>
          <w:p w14:paraId="54C27CEC"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110.1%</w:t>
            </w:r>
          </w:p>
        </w:tc>
        <w:tc>
          <w:tcPr>
            <w:tcW w:w="606" w:type="pct"/>
            <w:shd w:val="clear" w:color="auto" w:fill="auto"/>
            <w:noWrap/>
            <w:vAlign w:val="bottom"/>
            <w:hideMark/>
          </w:tcPr>
          <w:p w14:paraId="443F3AE2"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118.7%</w:t>
            </w:r>
          </w:p>
        </w:tc>
        <w:tc>
          <w:tcPr>
            <w:tcW w:w="606" w:type="pct"/>
            <w:shd w:val="clear" w:color="auto" w:fill="auto"/>
            <w:noWrap/>
            <w:vAlign w:val="bottom"/>
            <w:hideMark/>
          </w:tcPr>
          <w:p w14:paraId="48C2BF13"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119.8%</w:t>
            </w:r>
          </w:p>
        </w:tc>
        <w:tc>
          <w:tcPr>
            <w:tcW w:w="606" w:type="pct"/>
            <w:shd w:val="clear" w:color="auto" w:fill="auto"/>
            <w:noWrap/>
            <w:vAlign w:val="bottom"/>
            <w:hideMark/>
          </w:tcPr>
          <w:p w14:paraId="722926F9"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127.1%</w:t>
            </w:r>
          </w:p>
        </w:tc>
        <w:tc>
          <w:tcPr>
            <w:tcW w:w="606" w:type="pct"/>
            <w:shd w:val="clear" w:color="auto" w:fill="auto"/>
            <w:noWrap/>
            <w:vAlign w:val="bottom"/>
            <w:hideMark/>
          </w:tcPr>
          <w:p w14:paraId="2FC90DF4"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132.5%</w:t>
            </w:r>
          </w:p>
        </w:tc>
        <w:tc>
          <w:tcPr>
            <w:tcW w:w="770" w:type="pct"/>
            <w:shd w:val="clear" w:color="auto" w:fill="auto"/>
            <w:noWrap/>
            <w:vAlign w:val="bottom"/>
            <w:hideMark/>
          </w:tcPr>
          <w:p w14:paraId="4F2907E8"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121.9%</w:t>
            </w:r>
          </w:p>
        </w:tc>
      </w:tr>
      <w:tr w:rsidR="00BA4938" w:rsidRPr="00B01850" w14:paraId="3A39D124" w14:textId="77777777" w:rsidTr="00144714">
        <w:trPr>
          <w:trHeight w:val="285"/>
        </w:trPr>
        <w:tc>
          <w:tcPr>
            <w:tcW w:w="1202" w:type="pct"/>
            <w:shd w:val="clear" w:color="auto" w:fill="auto"/>
            <w:noWrap/>
            <w:vAlign w:val="bottom"/>
            <w:hideMark/>
          </w:tcPr>
          <w:p w14:paraId="36DFFFAF" w14:textId="77777777" w:rsidR="00BA4938" w:rsidRPr="00B01850" w:rsidRDefault="00BA4938" w:rsidP="00144714">
            <w:pPr>
              <w:spacing w:after="0" w:line="240" w:lineRule="auto"/>
              <w:rPr>
                <w:rFonts w:ascii="Calibri" w:eastAsia="Times New Roman" w:hAnsi="Calibri" w:cs="Calibri"/>
                <w:color w:val="000000"/>
              </w:rPr>
            </w:pPr>
            <w:r w:rsidRPr="00B01850">
              <w:rPr>
                <w:rFonts w:ascii="Calibri" w:eastAsia="Times New Roman" w:hAnsi="Calibri" w:cs="Calibri"/>
                <w:color w:val="000000"/>
              </w:rPr>
              <w:t>LABÉ</w:t>
            </w:r>
          </w:p>
        </w:tc>
        <w:tc>
          <w:tcPr>
            <w:tcW w:w="606" w:type="pct"/>
            <w:shd w:val="clear" w:color="auto" w:fill="auto"/>
            <w:noWrap/>
            <w:vAlign w:val="bottom"/>
            <w:hideMark/>
          </w:tcPr>
          <w:p w14:paraId="4A60BA76"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93.0%</w:t>
            </w:r>
          </w:p>
        </w:tc>
        <w:tc>
          <w:tcPr>
            <w:tcW w:w="606" w:type="pct"/>
            <w:shd w:val="clear" w:color="auto" w:fill="auto"/>
            <w:noWrap/>
            <w:vAlign w:val="bottom"/>
            <w:hideMark/>
          </w:tcPr>
          <w:p w14:paraId="7BDE0B31"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97.1%</w:t>
            </w:r>
          </w:p>
        </w:tc>
        <w:tc>
          <w:tcPr>
            <w:tcW w:w="606" w:type="pct"/>
            <w:shd w:val="clear" w:color="auto" w:fill="auto"/>
            <w:noWrap/>
            <w:vAlign w:val="bottom"/>
            <w:hideMark/>
          </w:tcPr>
          <w:p w14:paraId="10605E33"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94.4%</w:t>
            </w:r>
          </w:p>
        </w:tc>
        <w:tc>
          <w:tcPr>
            <w:tcW w:w="606" w:type="pct"/>
            <w:shd w:val="clear" w:color="auto" w:fill="auto"/>
            <w:noWrap/>
            <w:vAlign w:val="bottom"/>
            <w:hideMark/>
          </w:tcPr>
          <w:p w14:paraId="5C0A86B2"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94.7%</w:t>
            </w:r>
          </w:p>
        </w:tc>
        <w:tc>
          <w:tcPr>
            <w:tcW w:w="606" w:type="pct"/>
            <w:shd w:val="clear" w:color="auto" w:fill="auto"/>
            <w:noWrap/>
            <w:vAlign w:val="bottom"/>
            <w:hideMark/>
          </w:tcPr>
          <w:p w14:paraId="1ADE2F09"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97.3%</w:t>
            </w:r>
          </w:p>
        </w:tc>
        <w:tc>
          <w:tcPr>
            <w:tcW w:w="770" w:type="pct"/>
            <w:shd w:val="clear" w:color="auto" w:fill="auto"/>
            <w:noWrap/>
            <w:vAlign w:val="bottom"/>
            <w:hideMark/>
          </w:tcPr>
          <w:p w14:paraId="58BF33FA"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95.3%</w:t>
            </w:r>
          </w:p>
        </w:tc>
      </w:tr>
      <w:tr w:rsidR="00BA4938" w:rsidRPr="00B01850" w14:paraId="0A31BCAC" w14:textId="77777777" w:rsidTr="00144714">
        <w:trPr>
          <w:trHeight w:val="285"/>
        </w:trPr>
        <w:tc>
          <w:tcPr>
            <w:tcW w:w="1202" w:type="pct"/>
            <w:shd w:val="clear" w:color="auto" w:fill="auto"/>
            <w:noWrap/>
            <w:vAlign w:val="bottom"/>
            <w:hideMark/>
          </w:tcPr>
          <w:p w14:paraId="57192B51" w14:textId="77777777" w:rsidR="00BA4938" w:rsidRPr="00B01850" w:rsidRDefault="00BA4938" w:rsidP="00144714">
            <w:pPr>
              <w:spacing w:after="0" w:line="240" w:lineRule="auto"/>
              <w:rPr>
                <w:rFonts w:ascii="Calibri" w:eastAsia="Times New Roman" w:hAnsi="Calibri" w:cs="Calibri"/>
                <w:color w:val="000000"/>
              </w:rPr>
            </w:pPr>
            <w:r w:rsidRPr="00B01850">
              <w:rPr>
                <w:rFonts w:ascii="Calibri" w:eastAsia="Times New Roman" w:hAnsi="Calibri" w:cs="Calibri"/>
                <w:color w:val="000000"/>
              </w:rPr>
              <w:t>MAMOU</w:t>
            </w:r>
          </w:p>
        </w:tc>
        <w:tc>
          <w:tcPr>
            <w:tcW w:w="606" w:type="pct"/>
            <w:shd w:val="clear" w:color="auto" w:fill="auto"/>
            <w:noWrap/>
            <w:vAlign w:val="bottom"/>
            <w:hideMark/>
          </w:tcPr>
          <w:p w14:paraId="7B9FA913"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106.2%</w:t>
            </w:r>
          </w:p>
        </w:tc>
        <w:tc>
          <w:tcPr>
            <w:tcW w:w="606" w:type="pct"/>
            <w:shd w:val="clear" w:color="auto" w:fill="auto"/>
            <w:noWrap/>
            <w:vAlign w:val="bottom"/>
            <w:hideMark/>
          </w:tcPr>
          <w:p w14:paraId="37263843"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109.7%</w:t>
            </w:r>
          </w:p>
        </w:tc>
        <w:tc>
          <w:tcPr>
            <w:tcW w:w="606" w:type="pct"/>
            <w:shd w:val="clear" w:color="auto" w:fill="auto"/>
            <w:noWrap/>
            <w:vAlign w:val="bottom"/>
            <w:hideMark/>
          </w:tcPr>
          <w:p w14:paraId="50492DA4"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106.1%</w:t>
            </w:r>
          </w:p>
        </w:tc>
        <w:tc>
          <w:tcPr>
            <w:tcW w:w="606" w:type="pct"/>
            <w:shd w:val="clear" w:color="auto" w:fill="auto"/>
            <w:noWrap/>
            <w:vAlign w:val="bottom"/>
            <w:hideMark/>
          </w:tcPr>
          <w:p w14:paraId="2268DB79"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106.5%</w:t>
            </w:r>
          </w:p>
        </w:tc>
        <w:tc>
          <w:tcPr>
            <w:tcW w:w="606" w:type="pct"/>
            <w:shd w:val="clear" w:color="auto" w:fill="auto"/>
            <w:noWrap/>
            <w:vAlign w:val="bottom"/>
            <w:hideMark/>
          </w:tcPr>
          <w:p w14:paraId="2BB88434"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110.0%</w:t>
            </w:r>
          </w:p>
        </w:tc>
        <w:tc>
          <w:tcPr>
            <w:tcW w:w="770" w:type="pct"/>
            <w:shd w:val="clear" w:color="auto" w:fill="auto"/>
            <w:noWrap/>
            <w:vAlign w:val="bottom"/>
            <w:hideMark/>
          </w:tcPr>
          <w:p w14:paraId="60B49129"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107.7%</w:t>
            </w:r>
          </w:p>
        </w:tc>
      </w:tr>
      <w:tr w:rsidR="00BA4938" w:rsidRPr="00B01850" w14:paraId="3A8D43F8" w14:textId="77777777" w:rsidTr="00144714">
        <w:trPr>
          <w:trHeight w:val="285"/>
        </w:trPr>
        <w:tc>
          <w:tcPr>
            <w:tcW w:w="1202" w:type="pct"/>
            <w:shd w:val="clear" w:color="auto" w:fill="auto"/>
            <w:noWrap/>
            <w:vAlign w:val="bottom"/>
            <w:hideMark/>
          </w:tcPr>
          <w:p w14:paraId="311FBFBE" w14:textId="77777777" w:rsidR="00BA4938" w:rsidRPr="00B01850" w:rsidRDefault="00BA4938" w:rsidP="00144714">
            <w:pPr>
              <w:spacing w:after="0" w:line="240" w:lineRule="auto"/>
              <w:rPr>
                <w:rFonts w:ascii="Calibri" w:eastAsia="Times New Roman" w:hAnsi="Calibri" w:cs="Calibri"/>
                <w:color w:val="000000"/>
              </w:rPr>
            </w:pPr>
            <w:r w:rsidRPr="00B01850">
              <w:rPr>
                <w:rFonts w:ascii="Calibri" w:eastAsia="Times New Roman" w:hAnsi="Calibri" w:cs="Calibri"/>
                <w:color w:val="000000"/>
              </w:rPr>
              <w:t>NZÉRÉKORÉ</w:t>
            </w:r>
          </w:p>
        </w:tc>
        <w:tc>
          <w:tcPr>
            <w:tcW w:w="606" w:type="pct"/>
            <w:shd w:val="clear" w:color="auto" w:fill="auto"/>
            <w:noWrap/>
            <w:vAlign w:val="bottom"/>
            <w:hideMark/>
          </w:tcPr>
          <w:p w14:paraId="2A0BAAC6"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97.9%</w:t>
            </w:r>
          </w:p>
        </w:tc>
        <w:tc>
          <w:tcPr>
            <w:tcW w:w="606" w:type="pct"/>
            <w:shd w:val="clear" w:color="auto" w:fill="auto"/>
            <w:noWrap/>
            <w:vAlign w:val="bottom"/>
            <w:hideMark/>
          </w:tcPr>
          <w:p w14:paraId="1CA3441A"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98.4%</w:t>
            </w:r>
          </w:p>
        </w:tc>
        <w:tc>
          <w:tcPr>
            <w:tcW w:w="606" w:type="pct"/>
            <w:shd w:val="clear" w:color="auto" w:fill="auto"/>
            <w:noWrap/>
            <w:vAlign w:val="bottom"/>
            <w:hideMark/>
          </w:tcPr>
          <w:p w14:paraId="3E784893"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90.6%</w:t>
            </w:r>
          </w:p>
        </w:tc>
        <w:tc>
          <w:tcPr>
            <w:tcW w:w="606" w:type="pct"/>
            <w:shd w:val="clear" w:color="auto" w:fill="auto"/>
            <w:noWrap/>
            <w:vAlign w:val="bottom"/>
            <w:hideMark/>
          </w:tcPr>
          <w:p w14:paraId="278512E9"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93.8%</w:t>
            </w:r>
          </w:p>
        </w:tc>
        <w:tc>
          <w:tcPr>
            <w:tcW w:w="606" w:type="pct"/>
            <w:shd w:val="clear" w:color="auto" w:fill="auto"/>
            <w:noWrap/>
            <w:vAlign w:val="bottom"/>
            <w:hideMark/>
          </w:tcPr>
          <w:p w14:paraId="37333083"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92.8%</w:t>
            </w:r>
          </w:p>
        </w:tc>
        <w:tc>
          <w:tcPr>
            <w:tcW w:w="770" w:type="pct"/>
            <w:shd w:val="clear" w:color="auto" w:fill="auto"/>
            <w:noWrap/>
            <w:vAlign w:val="bottom"/>
            <w:hideMark/>
          </w:tcPr>
          <w:p w14:paraId="41D8F073" w14:textId="77777777" w:rsidR="00BA4938" w:rsidRPr="00B01850" w:rsidRDefault="00BA4938" w:rsidP="00144714">
            <w:pPr>
              <w:spacing w:after="0" w:line="240" w:lineRule="auto"/>
              <w:jc w:val="center"/>
              <w:rPr>
                <w:rFonts w:ascii="Calibri" w:eastAsia="Times New Roman" w:hAnsi="Calibri" w:cs="Calibri"/>
                <w:color w:val="000000"/>
              </w:rPr>
            </w:pPr>
            <w:r w:rsidRPr="00B01850">
              <w:rPr>
                <w:rFonts w:ascii="Calibri" w:eastAsia="Times New Roman" w:hAnsi="Calibri" w:cs="Calibri"/>
                <w:color w:val="000000"/>
              </w:rPr>
              <w:t>94.6%</w:t>
            </w:r>
          </w:p>
        </w:tc>
      </w:tr>
      <w:tr w:rsidR="00BA4938" w:rsidRPr="00B01850" w14:paraId="31931D3E" w14:textId="77777777" w:rsidTr="00F95D7D">
        <w:trPr>
          <w:trHeight w:val="285"/>
        </w:trPr>
        <w:tc>
          <w:tcPr>
            <w:tcW w:w="1202" w:type="pct"/>
            <w:shd w:val="clear" w:color="auto" w:fill="FDE9D9" w:themeFill="accent6" w:themeFillTint="33"/>
            <w:noWrap/>
            <w:vAlign w:val="bottom"/>
            <w:hideMark/>
          </w:tcPr>
          <w:p w14:paraId="587552EA" w14:textId="77777777" w:rsidR="00BA4938" w:rsidRPr="00B01850" w:rsidRDefault="00BA4938" w:rsidP="00144714">
            <w:pPr>
              <w:spacing w:after="0" w:line="240" w:lineRule="auto"/>
              <w:rPr>
                <w:rFonts w:ascii="Calibri" w:eastAsia="Times New Roman" w:hAnsi="Calibri" w:cs="Calibri"/>
                <w:i/>
                <w:iCs/>
                <w:color w:val="000000"/>
              </w:rPr>
            </w:pPr>
            <w:r w:rsidRPr="00B01850">
              <w:rPr>
                <w:rFonts w:ascii="Calibri" w:eastAsia="Times New Roman" w:hAnsi="Calibri" w:cs="Calibri"/>
                <w:i/>
                <w:iCs/>
                <w:color w:val="000000"/>
              </w:rPr>
              <w:t>Total général</w:t>
            </w:r>
          </w:p>
        </w:tc>
        <w:tc>
          <w:tcPr>
            <w:tcW w:w="606" w:type="pct"/>
            <w:shd w:val="clear" w:color="auto" w:fill="FDE9D9" w:themeFill="accent6" w:themeFillTint="33"/>
            <w:noWrap/>
            <w:vAlign w:val="bottom"/>
            <w:hideMark/>
          </w:tcPr>
          <w:p w14:paraId="27FAC256" w14:textId="77777777" w:rsidR="00BA4938" w:rsidRPr="00B01850" w:rsidRDefault="00BA4938" w:rsidP="00144714">
            <w:pPr>
              <w:spacing w:after="0" w:line="240" w:lineRule="auto"/>
              <w:jc w:val="center"/>
              <w:rPr>
                <w:rFonts w:ascii="Calibri" w:eastAsia="Times New Roman" w:hAnsi="Calibri" w:cs="Calibri"/>
                <w:i/>
                <w:iCs/>
                <w:color w:val="000000"/>
              </w:rPr>
            </w:pPr>
            <w:r w:rsidRPr="00B01850">
              <w:rPr>
                <w:rFonts w:ascii="Calibri" w:eastAsia="Times New Roman" w:hAnsi="Calibri" w:cs="Calibri"/>
                <w:i/>
                <w:iCs/>
                <w:color w:val="000000"/>
              </w:rPr>
              <w:t>101.5%</w:t>
            </w:r>
          </w:p>
        </w:tc>
        <w:tc>
          <w:tcPr>
            <w:tcW w:w="606" w:type="pct"/>
            <w:shd w:val="clear" w:color="auto" w:fill="FDE9D9" w:themeFill="accent6" w:themeFillTint="33"/>
            <w:noWrap/>
            <w:vAlign w:val="bottom"/>
            <w:hideMark/>
          </w:tcPr>
          <w:p w14:paraId="59FE2339" w14:textId="77777777" w:rsidR="00BA4938" w:rsidRPr="00B01850" w:rsidRDefault="00BA4938" w:rsidP="00144714">
            <w:pPr>
              <w:spacing w:after="0" w:line="240" w:lineRule="auto"/>
              <w:jc w:val="center"/>
              <w:rPr>
                <w:rFonts w:ascii="Calibri" w:eastAsia="Times New Roman" w:hAnsi="Calibri" w:cs="Calibri"/>
                <w:i/>
                <w:iCs/>
                <w:color w:val="000000"/>
              </w:rPr>
            </w:pPr>
            <w:r w:rsidRPr="00B01850">
              <w:rPr>
                <w:rFonts w:ascii="Calibri" w:eastAsia="Times New Roman" w:hAnsi="Calibri" w:cs="Calibri"/>
                <w:i/>
                <w:iCs/>
                <w:color w:val="000000"/>
              </w:rPr>
              <w:t>104.8%</w:t>
            </w:r>
          </w:p>
        </w:tc>
        <w:tc>
          <w:tcPr>
            <w:tcW w:w="606" w:type="pct"/>
            <w:shd w:val="clear" w:color="auto" w:fill="FDE9D9" w:themeFill="accent6" w:themeFillTint="33"/>
            <w:noWrap/>
            <w:vAlign w:val="bottom"/>
            <w:hideMark/>
          </w:tcPr>
          <w:p w14:paraId="059A3493" w14:textId="77777777" w:rsidR="00BA4938" w:rsidRPr="00B01850" w:rsidRDefault="00BA4938" w:rsidP="00144714">
            <w:pPr>
              <w:spacing w:after="0" w:line="240" w:lineRule="auto"/>
              <w:jc w:val="center"/>
              <w:rPr>
                <w:rFonts w:ascii="Calibri" w:eastAsia="Times New Roman" w:hAnsi="Calibri" w:cs="Calibri"/>
                <w:i/>
                <w:iCs/>
                <w:color w:val="000000"/>
              </w:rPr>
            </w:pPr>
            <w:r w:rsidRPr="00B01850">
              <w:rPr>
                <w:rFonts w:ascii="Calibri" w:eastAsia="Times New Roman" w:hAnsi="Calibri" w:cs="Calibri"/>
                <w:i/>
                <w:iCs/>
                <w:color w:val="000000"/>
              </w:rPr>
              <w:t>100.2%</w:t>
            </w:r>
          </w:p>
        </w:tc>
        <w:tc>
          <w:tcPr>
            <w:tcW w:w="606" w:type="pct"/>
            <w:shd w:val="clear" w:color="auto" w:fill="FDE9D9" w:themeFill="accent6" w:themeFillTint="33"/>
            <w:noWrap/>
            <w:vAlign w:val="bottom"/>
            <w:hideMark/>
          </w:tcPr>
          <w:p w14:paraId="07DFB057" w14:textId="77777777" w:rsidR="00BA4938" w:rsidRPr="00B01850" w:rsidRDefault="00BA4938" w:rsidP="00144714">
            <w:pPr>
              <w:spacing w:after="0" w:line="240" w:lineRule="auto"/>
              <w:jc w:val="center"/>
              <w:rPr>
                <w:rFonts w:ascii="Calibri" w:eastAsia="Times New Roman" w:hAnsi="Calibri" w:cs="Calibri"/>
                <w:i/>
                <w:iCs/>
                <w:color w:val="000000"/>
              </w:rPr>
            </w:pPr>
            <w:r w:rsidRPr="00B01850">
              <w:rPr>
                <w:rFonts w:ascii="Calibri" w:eastAsia="Times New Roman" w:hAnsi="Calibri" w:cs="Calibri"/>
                <w:i/>
                <w:iCs/>
                <w:color w:val="000000"/>
              </w:rPr>
              <w:t>104.0%</w:t>
            </w:r>
          </w:p>
        </w:tc>
        <w:tc>
          <w:tcPr>
            <w:tcW w:w="606" w:type="pct"/>
            <w:shd w:val="clear" w:color="auto" w:fill="FDE9D9" w:themeFill="accent6" w:themeFillTint="33"/>
            <w:noWrap/>
            <w:vAlign w:val="bottom"/>
            <w:hideMark/>
          </w:tcPr>
          <w:p w14:paraId="2B7CB147" w14:textId="77777777" w:rsidR="00BA4938" w:rsidRPr="00B01850" w:rsidRDefault="00BA4938" w:rsidP="00144714">
            <w:pPr>
              <w:spacing w:after="0" w:line="240" w:lineRule="auto"/>
              <w:jc w:val="center"/>
              <w:rPr>
                <w:rFonts w:ascii="Calibri" w:eastAsia="Times New Roman" w:hAnsi="Calibri" w:cs="Calibri"/>
                <w:i/>
                <w:iCs/>
                <w:color w:val="000000"/>
              </w:rPr>
            </w:pPr>
            <w:r w:rsidRPr="00B01850">
              <w:rPr>
                <w:rFonts w:ascii="Calibri" w:eastAsia="Times New Roman" w:hAnsi="Calibri" w:cs="Calibri"/>
                <w:i/>
                <w:iCs/>
                <w:color w:val="000000"/>
              </w:rPr>
              <w:t>106.0%</w:t>
            </w:r>
          </w:p>
        </w:tc>
        <w:tc>
          <w:tcPr>
            <w:tcW w:w="770" w:type="pct"/>
            <w:shd w:val="clear" w:color="auto" w:fill="FDE9D9" w:themeFill="accent6" w:themeFillTint="33"/>
            <w:noWrap/>
            <w:vAlign w:val="bottom"/>
            <w:hideMark/>
          </w:tcPr>
          <w:p w14:paraId="69A9C90E" w14:textId="77777777" w:rsidR="00BA4938" w:rsidRPr="00B01850" w:rsidRDefault="00BA4938" w:rsidP="00144714">
            <w:pPr>
              <w:spacing w:after="0" w:line="240" w:lineRule="auto"/>
              <w:jc w:val="center"/>
              <w:rPr>
                <w:rFonts w:ascii="Calibri" w:eastAsia="Times New Roman" w:hAnsi="Calibri" w:cs="Calibri"/>
                <w:i/>
                <w:iCs/>
                <w:color w:val="000000"/>
              </w:rPr>
            </w:pPr>
            <w:r w:rsidRPr="00B01850">
              <w:rPr>
                <w:rFonts w:ascii="Calibri" w:eastAsia="Times New Roman" w:hAnsi="Calibri" w:cs="Calibri"/>
                <w:i/>
                <w:iCs/>
                <w:color w:val="000000"/>
              </w:rPr>
              <w:t>103.4%</w:t>
            </w:r>
          </w:p>
        </w:tc>
      </w:tr>
    </w:tbl>
    <w:p w14:paraId="7F6BA7BF" w14:textId="05D69A76" w:rsidR="00F07CFE" w:rsidRPr="00B01850" w:rsidRDefault="004E13C6" w:rsidP="00F07CFE">
      <w:pPr>
        <w:spacing w:after="0" w:line="240" w:lineRule="auto"/>
        <w:ind w:right="12"/>
        <w:rPr>
          <w:rFonts w:ascii="Arial" w:eastAsia="Calibri" w:hAnsi="Arial" w:cs="Arial"/>
        </w:rPr>
      </w:pPr>
      <w:r w:rsidRPr="00B01850">
        <w:rPr>
          <w:rFonts w:ascii="Arial" w:eastAsia="Calibri" w:hAnsi="Arial" w:cs="Arial"/>
        </w:rPr>
        <w:t xml:space="preserve">Source : </w:t>
      </w:r>
      <w:r w:rsidR="00BA4938" w:rsidRPr="00B01850">
        <w:rPr>
          <w:rFonts w:ascii="Arial" w:eastAsia="Calibri" w:hAnsi="Arial" w:cs="Arial"/>
        </w:rPr>
        <w:t>MEPU-A, 2025.</w:t>
      </w:r>
    </w:p>
    <w:p w14:paraId="600F5899" w14:textId="61E64C53" w:rsidR="00F07CFE" w:rsidRPr="00B01850" w:rsidRDefault="00F07CFE" w:rsidP="00214DCC">
      <w:pPr>
        <w:pStyle w:val="ListParagraph"/>
        <w:numPr>
          <w:ilvl w:val="0"/>
          <w:numId w:val="35"/>
        </w:numPr>
        <w:spacing w:before="120" w:after="120" w:line="240" w:lineRule="auto"/>
        <w:contextualSpacing w:val="0"/>
        <w:rPr>
          <w:rFonts w:ascii="Arial" w:eastAsia="Calibri" w:hAnsi="Arial" w:cs="Arial"/>
        </w:rPr>
      </w:pPr>
      <w:bookmarkStart w:id="74" w:name="_Toc524844163"/>
      <w:bookmarkStart w:id="75" w:name="_Toc528754372"/>
      <w:bookmarkStart w:id="76" w:name="_Toc17813337"/>
      <w:bookmarkEnd w:id="71"/>
      <w:bookmarkEnd w:id="72"/>
      <w:bookmarkEnd w:id="73"/>
      <w:r w:rsidRPr="00B01850">
        <w:rPr>
          <w:rFonts w:ascii="Arial" w:eastAsia="Calibri" w:hAnsi="Arial" w:cs="Arial"/>
        </w:rPr>
        <w:t xml:space="preserve">Tableau </w:t>
      </w:r>
      <w:r w:rsidR="003F0AAE" w:rsidRPr="00B01850">
        <w:rPr>
          <w:rFonts w:ascii="Arial" w:eastAsia="Calibri" w:hAnsi="Arial" w:cs="Arial"/>
        </w:rPr>
        <w:t>2</w:t>
      </w:r>
      <w:r w:rsidRPr="00B01850">
        <w:rPr>
          <w:rFonts w:ascii="Arial" w:eastAsia="Calibri" w:hAnsi="Arial" w:cs="Arial"/>
        </w:rPr>
        <w:t> : Évolution du nombre d'écoles du primaire par région administrative</w:t>
      </w:r>
      <w:bookmarkEnd w:id="74"/>
      <w:bookmarkEnd w:id="75"/>
      <w:bookmarkEnd w:id="7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2"/>
        <w:gridCol w:w="1173"/>
        <w:gridCol w:w="1173"/>
        <w:gridCol w:w="1173"/>
        <w:gridCol w:w="1312"/>
        <w:gridCol w:w="1173"/>
        <w:gridCol w:w="1384"/>
      </w:tblGrid>
      <w:tr w:rsidR="00E64CDB" w:rsidRPr="00B01850" w14:paraId="2C466F06" w14:textId="77777777" w:rsidTr="00F95D7D">
        <w:trPr>
          <w:trHeight w:val="432"/>
        </w:trPr>
        <w:tc>
          <w:tcPr>
            <w:tcW w:w="1049" w:type="pct"/>
            <w:shd w:val="clear" w:color="auto" w:fill="FDE9D9" w:themeFill="accent6" w:themeFillTint="33"/>
            <w:noWrap/>
            <w:vAlign w:val="center"/>
            <w:hideMark/>
          </w:tcPr>
          <w:p w14:paraId="577A1B01" w14:textId="77777777" w:rsidR="00990F60" w:rsidRPr="00B01850" w:rsidRDefault="00990F60" w:rsidP="00144714">
            <w:pPr>
              <w:spacing w:after="0" w:line="240" w:lineRule="auto"/>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Étiquettes de lignes</w:t>
            </w:r>
          </w:p>
        </w:tc>
        <w:tc>
          <w:tcPr>
            <w:tcW w:w="627" w:type="pct"/>
            <w:shd w:val="clear" w:color="auto" w:fill="FDE9D9" w:themeFill="accent6" w:themeFillTint="33"/>
            <w:noWrap/>
            <w:vAlign w:val="center"/>
            <w:hideMark/>
          </w:tcPr>
          <w:p w14:paraId="026ACD7C" w14:textId="77777777" w:rsidR="00990F60" w:rsidRPr="00B01850" w:rsidRDefault="00990F60" w:rsidP="00144714">
            <w:pPr>
              <w:spacing w:after="0" w:line="240" w:lineRule="auto"/>
              <w:jc w:val="center"/>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2018-2019</w:t>
            </w:r>
          </w:p>
        </w:tc>
        <w:tc>
          <w:tcPr>
            <w:tcW w:w="627" w:type="pct"/>
            <w:shd w:val="clear" w:color="auto" w:fill="FDE9D9" w:themeFill="accent6" w:themeFillTint="33"/>
            <w:noWrap/>
            <w:vAlign w:val="center"/>
            <w:hideMark/>
          </w:tcPr>
          <w:p w14:paraId="5659B289" w14:textId="77777777" w:rsidR="00990F60" w:rsidRPr="00B01850" w:rsidRDefault="00990F60" w:rsidP="00144714">
            <w:pPr>
              <w:spacing w:after="0" w:line="240" w:lineRule="auto"/>
              <w:jc w:val="center"/>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2019-2020</w:t>
            </w:r>
          </w:p>
        </w:tc>
        <w:tc>
          <w:tcPr>
            <w:tcW w:w="627" w:type="pct"/>
            <w:shd w:val="clear" w:color="auto" w:fill="FDE9D9" w:themeFill="accent6" w:themeFillTint="33"/>
            <w:noWrap/>
            <w:vAlign w:val="center"/>
            <w:hideMark/>
          </w:tcPr>
          <w:p w14:paraId="4A231D38" w14:textId="77777777" w:rsidR="00990F60" w:rsidRPr="00B01850" w:rsidRDefault="00990F60" w:rsidP="00144714">
            <w:pPr>
              <w:spacing w:after="0" w:line="240" w:lineRule="auto"/>
              <w:jc w:val="center"/>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2020-2021</w:t>
            </w:r>
          </w:p>
        </w:tc>
        <w:tc>
          <w:tcPr>
            <w:tcW w:w="702" w:type="pct"/>
            <w:shd w:val="clear" w:color="auto" w:fill="FDE9D9" w:themeFill="accent6" w:themeFillTint="33"/>
            <w:noWrap/>
            <w:vAlign w:val="center"/>
            <w:hideMark/>
          </w:tcPr>
          <w:p w14:paraId="4024C9F5" w14:textId="77777777" w:rsidR="00990F60" w:rsidRPr="00B01850" w:rsidRDefault="00990F60" w:rsidP="00144714">
            <w:pPr>
              <w:spacing w:after="0" w:line="240" w:lineRule="auto"/>
              <w:jc w:val="center"/>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2021-2022</w:t>
            </w:r>
          </w:p>
        </w:tc>
        <w:tc>
          <w:tcPr>
            <w:tcW w:w="627" w:type="pct"/>
            <w:shd w:val="clear" w:color="auto" w:fill="FDE9D9" w:themeFill="accent6" w:themeFillTint="33"/>
            <w:noWrap/>
            <w:vAlign w:val="center"/>
            <w:hideMark/>
          </w:tcPr>
          <w:p w14:paraId="5E6482F6" w14:textId="77777777" w:rsidR="00990F60" w:rsidRPr="00B01850" w:rsidRDefault="00990F60" w:rsidP="00144714">
            <w:pPr>
              <w:spacing w:after="0" w:line="240" w:lineRule="auto"/>
              <w:jc w:val="center"/>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2022-2023</w:t>
            </w:r>
          </w:p>
        </w:tc>
        <w:tc>
          <w:tcPr>
            <w:tcW w:w="740" w:type="pct"/>
            <w:shd w:val="clear" w:color="auto" w:fill="FDE9D9" w:themeFill="accent6" w:themeFillTint="33"/>
            <w:noWrap/>
            <w:vAlign w:val="center"/>
            <w:hideMark/>
          </w:tcPr>
          <w:p w14:paraId="5100F1BB" w14:textId="77777777" w:rsidR="00990F60" w:rsidRPr="00B01850" w:rsidRDefault="00990F60" w:rsidP="00144714">
            <w:pPr>
              <w:spacing w:after="0" w:line="240" w:lineRule="auto"/>
              <w:jc w:val="center"/>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Total général</w:t>
            </w:r>
          </w:p>
        </w:tc>
      </w:tr>
      <w:tr w:rsidR="00990F60" w:rsidRPr="00B01850" w14:paraId="57D52B08" w14:textId="77777777" w:rsidTr="00E64CDB">
        <w:trPr>
          <w:trHeight w:val="285"/>
        </w:trPr>
        <w:tc>
          <w:tcPr>
            <w:tcW w:w="1049" w:type="pct"/>
            <w:shd w:val="clear" w:color="auto" w:fill="auto"/>
            <w:noWrap/>
            <w:vAlign w:val="bottom"/>
            <w:hideMark/>
          </w:tcPr>
          <w:p w14:paraId="251DF5B9" w14:textId="77777777" w:rsidR="00990F60" w:rsidRPr="00B01850" w:rsidRDefault="00990F60" w:rsidP="00144714">
            <w:pPr>
              <w:spacing w:after="0" w:line="240" w:lineRule="auto"/>
              <w:rPr>
                <w:rFonts w:ascii="Arial" w:eastAsia="Times New Roman" w:hAnsi="Arial" w:cs="Arial"/>
                <w:color w:val="000000"/>
                <w:sz w:val="20"/>
                <w:szCs w:val="20"/>
              </w:rPr>
            </w:pPr>
            <w:r w:rsidRPr="00B01850">
              <w:rPr>
                <w:rFonts w:ascii="Arial" w:eastAsia="Times New Roman" w:hAnsi="Arial" w:cs="Arial"/>
                <w:color w:val="000000"/>
                <w:sz w:val="20"/>
                <w:szCs w:val="20"/>
              </w:rPr>
              <w:t>BOKÉ</w:t>
            </w:r>
          </w:p>
        </w:tc>
        <w:tc>
          <w:tcPr>
            <w:tcW w:w="627" w:type="pct"/>
            <w:shd w:val="clear" w:color="auto" w:fill="auto"/>
            <w:noWrap/>
            <w:vAlign w:val="bottom"/>
            <w:hideMark/>
          </w:tcPr>
          <w:p w14:paraId="09688B0F" w14:textId="32613CDF"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093</w:t>
            </w:r>
          </w:p>
        </w:tc>
        <w:tc>
          <w:tcPr>
            <w:tcW w:w="627" w:type="pct"/>
            <w:shd w:val="clear" w:color="auto" w:fill="auto"/>
            <w:noWrap/>
            <w:vAlign w:val="bottom"/>
            <w:hideMark/>
          </w:tcPr>
          <w:p w14:paraId="0AAB718E" w14:textId="2CBD5ED2"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079</w:t>
            </w:r>
          </w:p>
        </w:tc>
        <w:tc>
          <w:tcPr>
            <w:tcW w:w="627" w:type="pct"/>
            <w:shd w:val="clear" w:color="auto" w:fill="auto"/>
            <w:noWrap/>
            <w:vAlign w:val="bottom"/>
            <w:hideMark/>
          </w:tcPr>
          <w:p w14:paraId="6E30036A" w14:textId="53AF504F"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128</w:t>
            </w:r>
          </w:p>
        </w:tc>
        <w:tc>
          <w:tcPr>
            <w:tcW w:w="702" w:type="pct"/>
            <w:shd w:val="clear" w:color="auto" w:fill="auto"/>
            <w:noWrap/>
            <w:vAlign w:val="bottom"/>
            <w:hideMark/>
          </w:tcPr>
          <w:p w14:paraId="42FFE781" w14:textId="022BDB2E"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160</w:t>
            </w:r>
          </w:p>
        </w:tc>
        <w:tc>
          <w:tcPr>
            <w:tcW w:w="627" w:type="pct"/>
            <w:shd w:val="clear" w:color="auto" w:fill="auto"/>
            <w:noWrap/>
            <w:vAlign w:val="bottom"/>
            <w:hideMark/>
          </w:tcPr>
          <w:p w14:paraId="6E610C36" w14:textId="3BCF9C50"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173</w:t>
            </w:r>
          </w:p>
        </w:tc>
        <w:tc>
          <w:tcPr>
            <w:tcW w:w="740" w:type="pct"/>
            <w:shd w:val="clear" w:color="auto" w:fill="auto"/>
            <w:noWrap/>
            <w:vAlign w:val="bottom"/>
            <w:hideMark/>
          </w:tcPr>
          <w:p w14:paraId="1C1E7758" w14:textId="41374F3F"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5</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633</w:t>
            </w:r>
          </w:p>
        </w:tc>
      </w:tr>
      <w:tr w:rsidR="00990F60" w:rsidRPr="00B01850" w14:paraId="5D5BE827" w14:textId="77777777" w:rsidTr="00E64CDB">
        <w:trPr>
          <w:trHeight w:val="285"/>
        </w:trPr>
        <w:tc>
          <w:tcPr>
            <w:tcW w:w="1049" w:type="pct"/>
            <w:shd w:val="clear" w:color="auto" w:fill="auto"/>
            <w:noWrap/>
            <w:vAlign w:val="bottom"/>
            <w:hideMark/>
          </w:tcPr>
          <w:p w14:paraId="27E0B75C" w14:textId="77777777" w:rsidR="00990F60" w:rsidRPr="00B01850" w:rsidRDefault="00990F60" w:rsidP="00144714">
            <w:pPr>
              <w:spacing w:after="0" w:line="240" w:lineRule="auto"/>
              <w:rPr>
                <w:rFonts w:ascii="Arial" w:eastAsia="Times New Roman" w:hAnsi="Arial" w:cs="Arial"/>
                <w:color w:val="000000"/>
                <w:sz w:val="20"/>
                <w:szCs w:val="20"/>
              </w:rPr>
            </w:pPr>
            <w:r w:rsidRPr="00B01850">
              <w:rPr>
                <w:rFonts w:ascii="Arial" w:eastAsia="Times New Roman" w:hAnsi="Arial" w:cs="Arial"/>
                <w:color w:val="000000"/>
                <w:sz w:val="20"/>
                <w:szCs w:val="20"/>
              </w:rPr>
              <w:t>CONAKRY</w:t>
            </w:r>
          </w:p>
        </w:tc>
        <w:tc>
          <w:tcPr>
            <w:tcW w:w="627" w:type="pct"/>
            <w:shd w:val="clear" w:color="auto" w:fill="auto"/>
            <w:noWrap/>
            <w:vAlign w:val="bottom"/>
            <w:hideMark/>
          </w:tcPr>
          <w:p w14:paraId="72E71C03" w14:textId="1CCE99CC"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428</w:t>
            </w:r>
          </w:p>
        </w:tc>
        <w:tc>
          <w:tcPr>
            <w:tcW w:w="627" w:type="pct"/>
            <w:shd w:val="clear" w:color="auto" w:fill="auto"/>
            <w:noWrap/>
            <w:vAlign w:val="bottom"/>
            <w:hideMark/>
          </w:tcPr>
          <w:p w14:paraId="272A85E5" w14:textId="37D5395C"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341</w:t>
            </w:r>
          </w:p>
        </w:tc>
        <w:tc>
          <w:tcPr>
            <w:tcW w:w="627" w:type="pct"/>
            <w:shd w:val="clear" w:color="auto" w:fill="auto"/>
            <w:noWrap/>
            <w:vAlign w:val="bottom"/>
            <w:hideMark/>
          </w:tcPr>
          <w:p w14:paraId="255F5DC3" w14:textId="7250A463"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321</w:t>
            </w:r>
          </w:p>
        </w:tc>
        <w:tc>
          <w:tcPr>
            <w:tcW w:w="702" w:type="pct"/>
            <w:shd w:val="clear" w:color="auto" w:fill="auto"/>
            <w:noWrap/>
            <w:vAlign w:val="bottom"/>
            <w:hideMark/>
          </w:tcPr>
          <w:p w14:paraId="569CC4D3" w14:textId="65EF4021"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450</w:t>
            </w:r>
          </w:p>
        </w:tc>
        <w:tc>
          <w:tcPr>
            <w:tcW w:w="627" w:type="pct"/>
            <w:shd w:val="clear" w:color="auto" w:fill="auto"/>
            <w:noWrap/>
            <w:vAlign w:val="bottom"/>
            <w:hideMark/>
          </w:tcPr>
          <w:p w14:paraId="5737BB53" w14:textId="417793FE"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527</w:t>
            </w:r>
          </w:p>
        </w:tc>
        <w:tc>
          <w:tcPr>
            <w:tcW w:w="740" w:type="pct"/>
            <w:shd w:val="clear" w:color="auto" w:fill="auto"/>
            <w:noWrap/>
            <w:vAlign w:val="bottom"/>
            <w:hideMark/>
          </w:tcPr>
          <w:p w14:paraId="101A55D8" w14:textId="2191421A"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7</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067</w:t>
            </w:r>
          </w:p>
        </w:tc>
      </w:tr>
      <w:tr w:rsidR="00990F60" w:rsidRPr="00B01850" w14:paraId="49BB7BBB" w14:textId="77777777" w:rsidTr="00E64CDB">
        <w:trPr>
          <w:trHeight w:val="285"/>
        </w:trPr>
        <w:tc>
          <w:tcPr>
            <w:tcW w:w="1049" w:type="pct"/>
            <w:shd w:val="clear" w:color="auto" w:fill="auto"/>
            <w:noWrap/>
            <w:vAlign w:val="bottom"/>
            <w:hideMark/>
          </w:tcPr>
          <w:p w14:paraId="29E61236" w14:textId="77777777" w:rsidR="00990F60" w:rsidRPr="00B01850" w:rsidRDefault="00990F60" w:rsidP="00144714">
            <w:pPr>
              <w:spacing w:after="0" w:line="240" w:lineRule="auto"/>
              <w:rPr>
                <w:rFonts w:ascii="Arial" w:eastAsia="Times New Roman" w:hAnsi="Arial" w:cs="Arial"/>
                <w:color w:val="000000"/>
                <w:sz w:val="20"/>
                <w:szCs w:val="20"/>
              </w:rPr>
            </w:pPr>
            <w:r w:rsidRPr="00B01850">
              <w:rPr>
                <w:rFonts w:ascii="Arial" w:eastAsia="Times New Roman" w:hAnsi="Arial" w:cs="Arial"/>
                <w:color w:val="000000"/>
                <w:sz w:val="20"/>
                <w:szCs w:val="20"/>
              </w:rPr>
              <w:t>FARANAH</w:t>
            </w:r>
          </w:p>
        </w:tc>
        <w:tc>
          <w:tcPr>
            <w:tcW w:w="627" w:type="pct"/>
            <w:shd w:val="clear" w:color="auto" w:fill="auto"/>
            <w:noWrap/>
            <w:vAlign w:val="bottom"/>
            <w:hideMark/>
          </w:tcPr>
          <w:p w14:paraId="7A55669F" w14:textId="6414D3A5"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016</w:t>
            </w:r>
          </w:p>
        </w:tc>
        <w:tc>
          <w:tcPr>
            <w:tcW w:w="627" w:type="pct"/>
            <w:shd w:val="clear" w:color="auto" w:fill="auto"/>
            <w:noWrap/>
            <w:vAlign w:val="bottom"/>
            <w:hideMark/>
          </w:tcPr>
          <w:p w14:paraId="394EED21" w14:textId="6FC079ED"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020</w:t>
            </w:r>
          </w:p>
        </w:tc>
        <w:tc>
          <w:tcPr>
            <w:tcW w:w="627" w:type="pct"/>
            <w:shd w:val="clear" w:color="auto" w:fill="auto"/>
            <w:noWrap/>
            <w:vAlign w:val="bottom"/>
            <w:hideMark/>
          </w:tcPr>
          <w:p w14:paraId="23EBDF23" w14:textId="4A65F784"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062</w:t>
            </w:r>
          </w:p>
        </w:tc>
        <w:tc>
          <w:tcPr>
            <w:tcW w:w="702" w:type="pct"/>
            <w:shd w:val="clear" w:color="auto" w:fill="auto"/>
            <w:noWrap/>
            <w:vAlign w:val="bottom"/>
            <w:hideMark/>
          </w:tcPr>
          <w:p w14:paraId="2ADBF485" w14:textId="4A9D2F2A"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069</w:t>
            </w:r>
          </w:p>
        </w:tc>
        <w:tc>
          <w:tcPr>
            <w:tcW w:w="627" w:type="pct"/>
            <w:shd w:val="clear" w:color="auto" w:fill="auto"/>
            <w:noWrap/>
            <w:vAlign w:val="bottom"/>
            <w:hideMark/>
          </w:tcPr>
          <w:p w14:paraId="53404BA3" w14:textId="7BAB3CB9"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138</w:t>
            </w:r>
          </w:p>
        </w:tc>
        <w:tc>
          <w:tcPr>
            <w:tcW w:w="740" w:type="pct"/>
            <w:shd w:val="clear" w:color="auto" w:fill="auto"/>
            <w:noWrap/>
            <w:vAlign w:val="bottom"/>
            <w:hideMark/>
          </w:tcPr>
          <w:p w14:paraId="64A28454" w14:textId="4D18FF18"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5</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305</w:t>
            </w:r>
          </w:p>
        </w:tc>
      </w:tr>
      <w:tr w:rsidR="00990F60" w:rsidRPr="00B01850" w14:paraId="036CBA95" w14:textId="77777777" w:rsidTr="00E64CDB">
        <w:trPr>
          <w:trHeight w:val="285"/>
        </w:trPr>
        <w:tc>
          <w:tcPr>
            <w:tcW w:w="1049" w:type="pct"/>
            <w:shd w:val="clear" w:color="auto" w:fill="auto"/>
            <w:noWrap/>
            <w:vAlign w:val="bottom"/>
            <w:hideMark/>
          </w:tcPr>
          <w:p w14:paraId="3886A062" w14:textId="77777777" w:rsidR="00990F60" w:rsidRPr="00B01850" w:rsidRDefault="00990F60" w:rsidP="00144714">
            <w:pPr>
              <w:spacing w:after="0" w:line="240" w:lineRule="auto"/>
              <w:rPr>
                <w:rFonts w:ascii="Arial" w:eastAsia="Times New Roman" w:hAnsi="Arial" w:cs="Arial"/>
                <w:color w:val="000000"/>
                <w:sz w:val="20"/>
                <w:szCs w:val="20"/>
              </w:rPr>
            </w:pPr>
            <w:r w:rsidRPr="00B01850">
              <w:rPr>
                <w:rFonts w:ascii="Arial" w:eastAsia="Times New Roman" w:hAnsi="Arial" w:cs="Arial"/>
                <w:color w:val="000000"/>
                <w:sz w:val="20"/>
                <w:szCs w:val="20"/>
              </w:rPr>
              <w:t>KANKAN</w:t>
            </w:r>
          </w:p>
        </w:tc>
        <w:tc>
          <w:tcPr>
            <w:tcW w:w="627" w:type="pct"/>
            <w:shd w:val="clear" w:color="auto" w:fill="auto"/>
            <w:noWrap/>
            <w:vAlign w:val="bottom"/>
            <w:hideMark/>
          </w:tcPr>
          <w:p w14:paraId="1FC39536" w14:textId="1F147291"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869</w:t>
            </w:r>
          </w:p>
        </w:tc>
        <w:tc>
          <w:tcPr>
            <w:tcW w:w="627" w:type="pct"/>
            <w:shd w:val="clear" w:color="auto" w:fill="auto"/>
            <w:noWrap/>
            <w:vAlign w:val="bottom"/>
            <w:hideMark/>
          </w:tcPr>
          <w:p w14:paraId="2D4008A4" w14:textId="218D316B"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835</w:t>
            </w:r>
          </w:p>
        </w:tc>
        <w:tc>
          <w:tcPr>
            <w:tcW w:w="627" w:type="pct"/>
            <w:shd w:val="clear" w:color="auto" w:fill="auto"/>
            <w:noWrap/>
            <w:vAlign w:val="bottom"/>
            <w:hideMark/>
          </w:tcPr>
          <w:p w14:paraId="0C98551F" w14:textId="5E7A95FB"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872</w:t>
            </w:r>
          </w:p>
        </w:tc>
        <w:tc>
          <w:tcPr>
            <w:tcW w:w="702" w:type="pct"/>
            <w:shd w:val="clear" w:color="auto" w:fill="auto"/>
            <w:noWrap/>
            <w:vAlign w:val="bottom"/>
            <w:hideMark/>
          </w:tcPr>
          <w:p w14:paraId="4B063C0F" w14:textId="5849366E"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924</w:t>
            </w:r>
          </w:p>
        </w:tc>
        <w:tc>
          <w:tcPr>
            <w:tcW w:w="627" w:type="pct"/>
            <w:shd w:val="clear" w:color="auto" w:fill="auto"/>
            <w:noWrap/>
            <w:vAlign w:val="bottom"/>
            <w:hideMark/>
          </w:tcPr>
          <w:p w14:paraId="493AF553" w14:textId="7979FDBE"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2</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025</w:t>
            </w:r>
          </w:p>
        </w:tc>
        <w:tc>
          <w:tcPr>
            <w:tcW w:w="740" w:type="pct"/>
            <w:shd w:val="clear" w:color="auto" w:fill="auto"/>
            <w:noWrap/>
            <w:vAlign w:val="bottom"/>
            <w:hideMark/>
          </w:tcPr>
          <w:p w14:paraId="75E23DE0" w14:textId="53F52518"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9</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525</w:t>
            </w:r>
          </w:p>
        </w:tc>
      </w:tr>
      <w:tr w:rsidR="00990F60" w:rsidRPr="00B01850" w14:paraId="7EC1CEA4" w14:textId="77777777" w:rsidTr="00E64CDB">
        <w:trPr>
          <w:trHeight w:val="285"/>
        </w:trPr>
        <w:tc>
          <w:tcPr>
            <w:tcW w:w="1049" w:type="pct"/>
            <w:shd w:val="clear" w:color="auto" w:fill="auto"/>
            <w:noWrap/>
            <w:vAlign w:val="bottom"/>
            <w:hideMark/>
          </w:tcPr>
          <w:p w14:paraId="7D3E9182" w14:textId="77777777" w:rsidR="00990F60" w:rsidRPr="00B01850" w:rsidRDefault="00990F60" w:rsidP="00144714">
            <w:pPr>
              <w:spacing w:after="0" w:line="240" w:lineRule="auto"/>
              <w:rPr>
                <w:rFonts w:ascii="Arial" w:eastAsia="Times New Roman" w:hAnsi="Arial" w:cs="Arial"/>
                <w:color w:val="000000"/>
                <w:sz w:val="20"/>
                <w:szCs w:val="20"/>
              </w:rPr>
            </w:pPr>
            <w:r w:rsidRPr="00B01850">
              <w:rPr>
                <w:rFonts w:ascii="Arial" w:eastAsia="Times New Roman" w:hAnsi="Arial" w:cs="Arial"/>
                <w:color w:val="000000"/>
                <w:sz w:val="20"/>
                <w:szCs w:val="20"/>
              </w:rPr>
              <w:t>KINDIA</w:t>
            </w:r>
          </w:p>
        </w:tc>
        <w:tc>
          <w:tcPr>
            <w:tcW w:w="627" w:type="pct"/>
            <w:shd w:val="clear" w:color="auto" w:fill="auto"/>
            <w:noWrap/>
            <w:vAlign w:val="bottom"/>
            <w:hideMark/>
          </w:tcPr>
          <w:p w14:paraId="64612EF2" w14:textId="3621B5DE"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764</w:t>
            </w:r>
          </w:p>
        </w:tc>
        <w:tc>
          <w:tcPr>
            <w:tcW w:w="627" w:type="pct"/>
            <w:shd w:val="clear" w:color="auto" w:fill="auto"/>
            <w:noWrap/>
            <w:vAlign w:val="bottom"/>
            <w:hideMark/>
          </w:tcPr>
          <w:p w14:paraId="7F52EA87" w14:textId="3E2255FA"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724</w:t>
            </w:r>
          </w:p>
        </w:tc>
        <w:tc>
          <w:tcPr>
            <w:tcW w:w="627" w:type="pct"/>
            <w:shd w:val="clear" w:color="auto" w:fill="auto"/>
            <w:noWrap/>
            <w:vAlign w:val="bottom"/>
            <w:hideMark/>
          </w:tcPr>
          <w:p w14:paraId="2AFC3D79" w14:textId="7DEC75A1"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839</w:t>
            </w:r>
          </w:p>
        </w:tc>
        <w:tc>
          <w:tcPr>
            <w:tcW w:w="702" w:type="pct"/>
            <w:shd w:val="clear" w:color="auto" w:fill="auto"/>
            <w:noWrap/>
            <w:vAlign w:val="bottom"/>
            <w:hideMark/>
          </w:tcPr>
          <w:p w14:paraId="29CF0B52" w14:textId="33B8144B"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914</w:t>
            </w:r>
          </w:p>
        </w:tc>
        <w:tc>
          <w:tcPr>
            <w:tcW w:w="627" w:type="pct"/>
            <w:shd w:val="clear" w:color="auto" w:fill="auto"/>
            <w:noWrap/>
            <w:vAlign w:val="bottom"/>
            <w:hideMark/>
          </w:tcPr>
          <w:p w14:paraId="06F223C1" w14:textId="702ADED7"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2</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005</w:t>
            </w:r>
          </w:p>
        </w:tc>
        <w:tc>
          <w:tcPr>
            <w:tcW w:w="740" w:type="pct"/>
            <w:shd w:val="clear" w:color="auto" w:fill="auto"/>
            <w:noWrap/>
            <w:vAlign w:val="bottom"/>
            <w:hideMark/>
          </w:tcPr>
          <w:p w14:paraId="12526A39" w14:textId="087BA46F"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9</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246</w:t>
            </w:r>
          </w:p>
        </w:tc>
      </w:tr>
      <w:tr w:rsidR="00990F60" w:rsidRPr="00B01850" w14:paraId="42E78C06" w14:textId="77777777" w:rsidTr="00E64CDB">
        <w:trPr>
          <w:trHeight w:val="285"/>
        </w:trPr>
        <w:tc>
          <w:tcPr>
            <w:tcW w:w="1049" w:type="pct"/>
            <w:shd w:val="clear" w:color="auto" w:fill="auto"/>
            <w:noWrap/>
            <w:vAlign w:val="bottom"/>
            <w:hideMark/>
          </w:tcPr>
          <w:p w14:paraId="6C2163C9" w14:textId="77777777" w:rsidR="00990F60" w:rsidRPr="00B01850" w:rsidRDefault="00990F60" w:rsidP="00144714">
            <w:pPr>
              <w:spacing w:after="0" w:line="240" w:lineRule="auto"/>
              <w:rPr>
                <w:rFonts w:ascii="Arial" w:eastAsia="Times New Roman" w:hAnsi="Arial" w:cs="Arial"/>
                <w:color w:val="000000"/>
                <w:sz w:val="20"/>
                <w:szCs w:val="20"/>
              </w:rPr>
            </w:pPr>
            <w:r w:rsidRPr="00B01850">
              <w:rPr>
                <w:rFonts w:ascii="Arial" w:eastAsia="Times New Roman" w:hAnsi="Arial" w:cs="Arial"/>
                <w:color w:val="000000"/>
                <w:sz w:val="20"/>
                <w:szCs w:val="20"/>
              </w:rPr>
              <w:t>LABÉ</w:t>
            </w:r>
          </w:p>
        </w:tc>
        <w:tc>
          <w:tcPr>
            <w:tcW w:w="627" w:type="pct"/>
            <w:shd w:val="clear" w:color="auto" w:fill="auto"/>
            <w:noWrap/>
            <w:vAlign w:val="bottom"/>
            <w:hideMark/>
          </w:tcPr>
          <w:p w14:paraId="57FDF9BF" w14:textId="3C537446"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1 183</w:t>
            </w:r>
          </w:p>
        </w:tc>
        <w:tc>
          <w:tcPr>
            <w:tcW w:w="627" w:type="pct"/>
            <w:shd w:val="clear" w:color="auto" w:fill="auto"/>
            <w:noWrap/>
            <w:vAlign w:val="bottom"/>
            <w:hideMark/>
          </w:tcPr>
          <w:p w14:paraId="45630B99" w14:textId="6D195518"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1 164</w:t>
            </w:r>
          </w:p>
        </w:tc>
        <w:tc>
          <w:tcPr>
            <w:tcW w:w="627" w:type="pct"/>
            <w:shd w:val="clear" w:color="auto" w:fill="auto"/>
            <w:noWrap/>
            <w:vAlign w:val="bottom"/>
            <w:hideMark/>
          </w:tcPr>
          <w:p w14:paraId="03C0C60D" w14:textId="2AD16E12"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1 195</w:t>
            </w:r>
          </w:p>
        </w:tc>
        <w:tc>
          <w:tcPr>
            <w:tcW w:w="702" w:type="pct"/>
            <w:shd w:val="clear" w:color="auto" w:fill="auto"/>
            <w:noWrap/>
            <w:vAlign w:val="bottom"/>
            <w:hideMark/>
          </w:tcPr>
          <w:p w14:paraId="157A8F8E" w14:textId="180C34AF"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217</w:t>
            </w:r>
          </w:p>
        </w:tc>
        <w:tc>
          <w:tcPr>
            <w:tcW w:w="627" w:type="pct"/>
            <w:shd w:val="clear" w:color="auto" w:fill="auto"/>
            <w:noWrap/>
            <w:vAlign w:val="bottom"/>
            <w:hideMark/>
          </w:tcPr>
          <w:p w14:paraId="19E20238" w14:textId="72CC29B0"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263</w:t>
            </w:r>
          </w:p>
        </w:tc>
        <w:tc>
          <w:tcPr>
            <w:tcW w:w="740" w:type="pct"/>
            <w:shd w:val="clear" w:color="auto" w:fill="auto"/>
            <w:noWrap/>
            <w:vAlign w:val="bottom"/>
            <w:hideMark/>
          </w:tcPr>
          <w:p w14:paraId="0E7BEAB3" w14:textId="443FA71A"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6</w:t>
            </w:r>
            <w:r w:rsidR="00C54B94" w:rsidRPr="00B01850">
              <w:rPr>
                <w:rFonts w:ascii="Arial" w:eastAsia="Times New Roman" w:hAnsi="Arial" w:cs="Arial"/>
                <w:color w:val="000000"/>
                <w:sz w:val="20"/>
                <w:szCs w:val="20"/>
              </w:rPr>
              <w:t xml:space="preserve"> </w:t>
            </w:r>
            <w:r w:rsidRPr="00B01850">
              <w:rPr>
                <w:rFonts w:ascii="Arial" w:eastAsia="Times New Roman" w:hAnsi="Arial" w:cs="Arial"/>
                <w:color w:val="000000"/>
                <w:sz w:val="20"/>
                <w:szCs w:val="20"/>
              </w:rPr>
              <w:t>022</w:t>
            </w:r>
          </w:p>
        </w:tc>
      </w:tr>
      <w:tr w:rsidR="00990F60" w:rsidRPr="00B01850" w14:paraId="69BBA60D" w14:textId="77777777" w:rsidTr="00E64CDB">
        <w:trPr>
          <w:trHeight w:val="285"/>
        </w:trPr>
        <w:tc>
          <w:tcPr>
            <w:tcW w:w="1049" w:type="pct"/>
            <w:shd w:val="clear" w:color="auto" w:fill="auto"/>
            <w:noWrap/>
            <w:vAlign w:val="bottom"/>
            <w:hideMark/>
          </w:tcPr>
          <w:p w14:paraId="47F3A875" w14:textId="77777777" w:rsidR="00990F60" w:rsidRPr="00B01850" w:rsidRDefault="00990F60" w:rsidP="00144714">
            <w:pPr>
              <w:spacing w:after="0" w:line="240" w:lineRule="auto"/>
              <w:rPr>
                <w:rFonts w:ascii="Arial" w:eastAsia="Times New Roman" w:hAnsi="Arial" w:cs="Arial"/>
                <w:color w:val="000000"/>
                <w:sz w:val="20"/>
                <w:szCs w:val="20"/>
              </w:rPr>
            </w:pPr>
            <w:r w:rsidRPr="00B01850">
              <w:rPr>
                <w:rFonts w:ascii="Arial" w:eastAsia="Times New Roman" w:hAnsi="Arial" w:cs="Arial"/>
                <w:color w:val="000000"/>
                <w:sz w:val="20"/>
                <w:szCs w:val="20"/>
              </w:rPr>
              <w:t>MAMOU</w:t>
            </w:r>
          </w:p>
        </w:tc>
        <w:tc>
          <w:tcPr>
            <w:tcW w:w="627" w:type="pct"/>
            <w:shd w:val="clear" w:color="auto" w:fill="auto"/>
            <w:noWrap/>
            <w:vAlign w:val="bottom"/>
            <w:hideMark/>
          </w:tcPr>
          <w:p w14:paraId="69926805" w14:textId="77777777"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931</w:t>
            </w:r>
          </w:p>
        </w:tc>
        <w:tc>
          <w:tcPr>
            <w:tcW w:w="627" w:type="pct"/>
            <w:shd w:val="clear" w:color="auto" w:fill="auto"/>
            <w:noWrap/>
            <w:vAlign w:val="bottom"/>
            <w:hideMark/>
          </w:tcPr>
          <w:p w14:paraId="30AD67A7" w14:textId="77777777"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921</w:t>
            </w:r>
          </w:p>
        </w:tc>
        <w:tc>
          <w:tcPr>
            <w:tcW w:w="627" w:type="pct"/>
            <w:shd w:val="clear" w:color="auto" w:fill="auto"/>
            <w:noWrap/>
            <w:vAlign w:val="bottom"/>
            <w:hideMark/>
          </w:tcPr>
          <w:p w14:paraId="076E315C" w14:textId="77777777"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951</w:t>
            </w:r>
          </w:p>
        </w:tc>
        <w:tc>
          <w:tcPr>
            <w:tcW w:w="702" w:type="pct"/>
            <w:shd w:val="clear" w:color="auto" w:fill="auto"/>
            <w:noWrap/>
            <w:vAlign w:val="bottom"/>
            <w:hideMark/>
          </w:tcPr>
          <w:p w14:paraId="29685909" w14:textId="77777777"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949</w:t>
            </w:r>
          </w:p>
        </w:tc>
        <w:tc>
          <w:tcPr>
            <w:tcW w:w="627" w:type="pct"/>
            <w:shd w:val="clear" w:color="auto" w:fill="auto"/>
            <w:noWrap/>
            <w:vAlign w:val="bottom"/>
            <w:hideMark/>
          </w:tcPr>
          <w:p w14:paraId="232C741B" w14:textId="77777777"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961</w:t>
            </w:r>
          </w:p>
        </w:tc>
        <w:tc>
          <w:tcPr>
            <w:tcW w:w="740" w:type="pct"/>
            <w:shd w:val="clear" w:color="auto" w:fill="auto"/>
            <w:noWrap/>
            <w:vAlign w:val="bottom"/>
            <w:hideMark/>
          </w:tcPr>
          <w:p w14:paraId="7B6EEE5F" w14:textId="5DA99DF4"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4 713</w:t>
            </w:r>
          </w:p>
        </w:tc>
      </w:tr>
      <w:tr w:rsidR="00990F60" w:rsidRPr="00B01850" w14:paraId="0591A192" w14:textId="77777777" w:rsidTr="00E64CDB">
        <w:trPr>
          <w:trHeight w:val="285"/>
        </w:trPr>
        <w:tc>
          <w:tcPr>
            <w:tcW w:w="1049" w:type="pct"/>
            <w:shd w:val="clear" w:color="auto" w:fill="auto"/>
            <w:noWrap/>
            <w:vAlign w:val="bottom"/>
            <w:hideMark/>
          </w:tcPr>
          <w:p w14:paraId="5EDE1E28" w14:textId="77777777" w:rsidR="00990F60" w:rsidRPr="00B01850" w:rsidRDefault="00990F60" w:rsidP="00144714">
            <w:pPr>
              <w:spacing w:after="0" w:line="240" w:lineRule="auto"/>
              <w:rPr>
                <w:rFonts w:ascii="Arial" w:eastAsia="Times New Roman" w:hAnsi="Arial" w:cs="Arial"/>
                <w:color w:val="000000"/>
                <w:sz w:val="20"/>
                <w:szCs w:val="20"/>
              </w:rPr>
            </w:pPr>
            <w:r w:rsidRPr="00B01850">
              <w:rPr>
                <w:rFonts w:ascii="Arial" w:eastAsia="Times New Roman" w:hAnsi="Arial" w:cs="Arial"/>
                <w:color w:val="000000"/>
                <w:sz w:val="20"/>
                <w:szCs w:val="20"/>
              </w:rPr>
              <w:t>NZÉRÉKORÉ</w:t>
            </w:r>
          </w:p>
        </w:tc>
        <w:tc>
          <w:tcPr>
            <w:tcW w:w="627" w:type="pct"/>
            <w:shd w:val="clear" w:color="auto" w:fill="auto"/>
            <w:noWrap/>
            <w:vAlign w:val="bottom"/>
            <w:hideMark/>
          </w:tcPr>
          <w:p w14:paraId="0A37D1C8" w14:textId="623A77C9"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1 597</w:t>
            </w:r>
          </w:p>
        </w:tc>
        <w:tc>
          <w:tcPr>
            <w:tcW w:w="627" w:type="pct"/>
            <w:shd w:val="clear" w:color="auto" w:fill="auto"/>
            <w:noWrap/>
            <w:vAlign w:val="bottom"/>
            <w:hideMark/>
          </w:tcPr>
          <w:p w14:paraId="1A7792B1" w14:textId="723618B9"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1 601</w:t>
            </w:r>
          </w:p>
        </w:tc>
        <w:tc>
          <w:tcPr>
            <w:tcW w:w="627" w:type="pct"/>
            <w:shd w:val="clear" w:color="auto" w:fill="auto"/>
            <w:noWrap/>
            <w:vAlign w:val="bottom"/>
            <w:hideMark/>
          </w:tcPr>
          <w:p w14:paraId="78434A24" w14:textId="062D3650"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1 601</w:t>
            </w:r>
          </w:p>
        </w:tc>
        <w:tc>
          <w:tcPr>
            <w:tcW w:w="702" w:type="pct"/>
            <w:shd w:val="clear" w:color="auto" w:fill="auto"/>
            <w:noWrap/>
            <w:vAlign w:val="bottom"/>
            <w:hideMark/>
          </w:tcPr>
          <w:p w14:paraId="48804FF9" w14:textId="2143798F"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1 628</w:t>
            </w:r>
          </w:p>
        </w:tc>
        <w:tc>
          <w:tcPr>
            <w:tcW w:w="627" w:type="pct"/>
            <w:shd w:val="clear" w:color="auto" w:fill="auto"/>
            <w:noWrap/>
            <w:vAlign w:val="bottom"/>
            <w:hideMark/>
          </w:tcPr>
          <w:p w14:paraId="7D88D7E6" w14:textId="3D507E6A"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1 640</w:t>
            </w:r>
          </w:p>
        </w:tc>
        <w:tc>
          <w:tcPr>
            <w:tcW w:w="740" w:type="pct"/>
            <w:shd w:val="clear" w:color="auto" w:fill="auto"/>
            <w:noWrap/>
            <w:vAlign w:val="bottom"/>
            <w:hideMark/>
          </w:tcPr>
          <w:p w14:paraId="05CF8799" w14:textId="4D5D6E7A" w:rsidR="00990F60" w:rsidRPr="00B01850" w:rsidRDefault="00990F60" w:rsidP="00144714">
            <w:pPr>
              <w:spacing w:after="0" w:line="240" w:lineRule="auto"/>
              <w:jc w:val="center"/>
              <w:rPr>
                <w:rFonts w:ascii="Arial" w:eastAsia="Times New Roman" w:hAnsi="Arial" w:cs="Arial"/>
                <w:color w:val="000000"/>
                <w:sz w:val="20"/>
                <w:szCs w:val="20"/>
              </w:rPr>
            </w:pPr>
            <w:r w:rsidRPr="00B01850">
              <w:rPr>
                <w:rFonts w:ascii="Arial" w:eastAsia="Times New Roman" w:hAnsi="Arial" w:cs="Arial"/>
                <w:color w:val="000000"/>
                <w:sz w:val="20"/>
                <w:szCs w:val="20"/>
              </w:rPr>
              <w:t>8 067</w:t>
            </w:r>
          </w:p>
        </w:tc>
      </w:tr>
      <w:tr w:rsidR="00990F60" w:rsidRPr="00B01850" w14:paraId="2A8A465E" w14:textId="77777777" w:rsidTr="00F95D7D">
        <w:trPr>
          <w:trHeight w:val="432"/>
        </w:trPr>
        <w:tc>
          <w:tcPr>
            <w:tcW w:w="1049" w:type="pct"/>
            <w:shd w:val="clear" w:color="auto" w:fill="FDE9D9" w:themeFill="accent6" w:themeFillTint="33"/>
            <w:noWrap/>
            <w:vAlign w:val="center"/>
            <w:hideMark/>
          </w:tcPr>
          <w:p w14:paraId="3EF01F3A" w14:textId="77777777" w:rsidR="00990F60" w:rsidRPr="00B01850" w:rsidRDefault="00990F60" w:rsidP="00144714">
            <w:pPr>
              <w:spacing w:after="0" w:line="240" w:lineRule="auto"/>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Total général</w:t>
            </w:r>
          </w:p>
        </w:tc>
        <w:tc>
          <w:tcPr>
            <w:tcW w:w="627" w:type="pct"/>
            <w:shd w:val="clear" w:color="auto" w:fill="FDE9D9" w:themeFill="accent6" w:themeFillTint="33"/>
            <w:noWrap/>
            <w:vAlign w:val="center"/>
            <w:hideMark/>
          </w:tcPr>
          <w:p w14:paraId="1CEACEF6" w14:textId="517E160D" w:rsidR="00990F60" w:rsidRPr="00B01850" w:rsidRDefault="00990F60" w:rsidP="00144714">
            <w:pPr>
              <w:spacing w:after="0" w:line="240" w:lineRule="auto"/>
              <w:jc w:val="center"/>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10 881</w:t>
            </w:r>
          </w:p>
        </w:tc>
        <w:tc>
          <w:tcPr>
            <w:tcW w:w="627" w:type="pct"/>
            <w:shd w:val="clear" w:color="auto" w:fill="FDE9D9" w:themeFill="accent6" w:themeFillTint="33"/>
            <w:noWrap/>
            <w:vAlign w:val="center"/>
            <w:hideMark/>
          </w:tcPr>
          <w:p w14:paraId="77127381" w14:textId="1F211F4D" w:rsidR="00990F60" w:rsidRPr="00B01850" w:rsidRDefault="00990F60" w:rsidP="00144714">
            <w:pPr>
              <w:spacing w:after="0" w:line="240" w:lineRule="auto"/>
              <w:jc w:val="center"/>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10 685</w:t>
            </w:r>
          </w:p>
        </w:tc>
        <w:tc>
          <w:tcPr>
            <w:tcW w:w="627" w:type="pct"/>
            <w:shd w:val="clear" w:color="auto" w:fill="FDE9D9" w:themeFill="accent6" w:themeFillTint="33"/>
            <w:noWrap/>
            <w:vAlign w:val="center"/>
            <w:hideMark/>
          </w:tcPr>
          <w:p w14:paraId="19E6084A" w14:textId="1434728D" w:rsidR="00990F60" w:rsidRPr="00B01850" w:rsidRDefault="00990F60" w:rsidP="00144714">
            <w:pPr>
              <w:spacing w:after="0" w:line="240" w:lineRule="auto"/>
              <w:jc w:val="center"/>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10 969</w:t>
            </w:r>
          </w:p>
        </w:tc>
        <w:tc>
          <w:tcPr>
            <w:tcW w:w="702" w:type="pct"/>
            <w:shd w:val="clear" w:color="auto" w:fill="FDE9D9" w:themeFill="accent6" w:themeFillTint="33"/>
            <w:noWrap/>
            <w:vAlign w:val="center"/>
            <w:hideMark/>
          </w:tcPr>
          <w:p w14:paraId="28D8AC11" w14:textId="22F5C006" w:rsidR="00990F60" w:rsidRPr="00B01850" w:rsidRDefault="00990F60" w:rsidP="00144714">
            <w:pPr>
              <w:spacing w:after="0" w:line="240" w:lineRule="auto"/>
              <w:jc w:val="center"/>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11 311</w:t>
            </w:r>
          </w:p>
        </w:tc>
        <w:tc>
          <w:tcPr>
            <w:tcW w:w="627" w:type="pct"/>
            <w:shd w:val="clear" w:color="auto" w:fill="FDE9D9" w:themeFill="accent6" w:themeFillTint="33"/>
            <w:noWrap/>
            <w:vAlign w:val="center"/>
            <w:hideMark/>
          </w:tcPr>
          <w:p w14:paraId="1B4DCFF6" w14:textId="1899B003" w:rsidR="00990F60" w:rsidRPr="00B01850" w:rsidRDefault="00990F60" w:rsidP="00144714">
            <w:pPr>
              <w:spacing w:after="0" w:line="240" w:lineRule="auto"/>
              <w:jc w:val="center"/>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11 732</w:t>
            </w:r>
          </w:p>
        </w:tc>
        <w:tc>
          <w:tcPr>
            <w:tcW w:w="740" w:type="pct"/>
            <w:shd w:val="clear" w:color="auto" w:fill="FDE9D9" w:themeFill="accent6" w:themeFillTint="33"/>
            <w:noWrap/>
            <w:vAlign w:val="center"/>
            <w:hideMark/>
          </w:tcPr>
          <w:p w14:paraId="132FC44C" w14:textId="7C1CB3D7" w:rsidR="00990F60" w:rsidRPr="00B01850" w:rsidRDefault="00990F60" w:rsidP="00144714">
            <w:pPr>
              <w:spacing w:after="0" w:line="240" w:lineRule="auto"/>
              <w:jc w:val="center"/>
              <w:rPr>
                <w:rFonts w:ascii="Arial" w:eastAsia="Times New Roman" w:hAnsi="Arial" w:cs="Arial"/>
                <w:i/>
                <w:iCs/>
                <w:color w:val="000000"/>
                <w:sz w:val="20"/>
                <w:szCs w:val="20"/>
              </w:rPr>
            </w:pPr>
            <w:r w:rsidRPr="00B01850">
              <w:rPr>
                <w:rFonts w:ascii="Arial" w:eastAsia="Times New Roman" w:hAnsi="Arial" w:cs="Arial"/>
                <w:i/>
                <w:iCs/>
                <w:color w:val="000000"/>
                <w:sz w:val="20"/>
                <w:szCs w:val="20"/>
              </w:rPr>
              <w:t>55 578</w:t>
            </w:r>
          </w:p>
        </w:tc>
      </w:tr>
    </w:tbl>
    <w:p w14:paraId="15BA44D1" w14:textId="77777777" w:rsidR="00990F60" w:rsidRPr="00B01850" w:rsidRDefault="00990F60" w:rsidP="00990F60">
      <w:pPr>
        <w:spacing w:after="0"/>
        <w:jc w:val="both"/>
        <w:rPr>
          <w:rFonts w:ascii="Arial" w:hAnsi="Arial" w:cs="Arial"/>
        </w:rPr>
      </w:pPr>
      <w:r w:rsidRPr="00B01850">
        <w:rPr>
          <w:rFonts w:ascii="Arial" w:hAnsi="Arial" w:cs="Arial"/>
        </w:rPr>
        <w:t>Source : MEPU-A, 2025.</w:t>
      </w:r>
    </w:p>
    <w:p w14:paraId="0609F5AC" w14:textId="6EF9C5FD" w:rsidR="004C68E8" w:rsidRPr="00B01850" w:rsidRDefault="008C7CA2" w:rsidP="003A3693">
      <w:pPr>
        <w:spacing w:before="120" w:after="0"/>
        <w:jc w:val="both"/>
        <w:rPr>
          <w:rFonts w:ascii="Arial" w:hAnsi="Arial" w:cs="Arial"/>
        </w:rPr>
      </w:pPr>
      <w:r w:rsidRPr="00B01850">
        <w:rPr>
          <w:rFonts w:ascii="Arial" w:hAnsi="Arial" w:cs="Arial"/>
        </w:rPr>
        <w:t xml:space="preserve">En 2023, </w:t>
      </w:r>
      <w:r w:rsidR="005D2495" w:rsidRPr="00B01850">
        <w:rPr>
          <w:rFonts w:ascii="Arial" w:hAnsi="Arial" w:cs="Arial"/>
        </w:rPr>
        <w:t>le P</w:t>
      </w:r>
      <w:r w:rsidRPr="00B01850">
        <w:rPr>
          <w:rFonts w:ascii="Arial" w:hAnsi="Arial" w:cs="Arial"/>
        </w:rPr>
        <w:t xml:space="preserve">rojet pour les </w:t>
      </w:r>
      <w:r w:rsidR="005D2495" w:rsidRPr="00B01850">
        <w:rPr>
          <w:rFonts w:ascii="Arial" w:hAnsi="Arial" w:cs="Arial"/>
        </w:rPr>
        <w:t>R</w:t>
      </w:r>
      <w:r w:rsidRPr="00B01850">
        <w:rPr>
          <w:rFonts w:ascii="Arial" w:hAnsi="Arial" w:cs="Arial"/>
        </w:rPr>
        <w:t xml:space="preserve">ésultats au </w:t>
      </w:r>
      <w:r w:rsidR="005D2495" w:rsidRPr="00B01850">
        <w:rPr>
          <w:rFonts w:ascii="Arial" w:hAnsi="Arial" w:cs="Arial"/>
        </w:rPr>
        <w:t>P</w:t>
      </w:r>
      <w:r w:rsidRPr="00B01850">
        <w:rPr>
          <w:rFonts w:ascii="Arial" w:hAnsi="Arial" w:cs="Arial"/>
        </w:rPr>
        <w:t>réscolaire et à l’</w:t>
      </w:r>
      <w:r w:rsidR="005D2495" w:rsidRPr="00B01850">
        <w:rPr>
          <w:rFonts w:ascii="Arial" w:hAnsi="Arial" w:cs="Arial"/>
        </w:rPr>
        <w:t>E</w:t>
      </w:r>
      <w:r w:rsidRPr="00B01850">
        <w:rPr>
          <w:rFonts w:ascii="Arial" w:hAnsi="Arial" w:cs="Arial"/>
        </w:rPr>
        <w:t xml:space="preserve">nseignement </w:t>
      </w:r>
      <w:r w:rsidR="005D2495" w:rsidRPr="00B01850">
        <w:rPr>
          <w:rFonts w:ascii="Arial" w:hAnsi="Arial" w:cs="Arial"/>
        </w:rPr>
        <w:t>F</w:t>
      </w:r>
      <w:r w:rsidRPr="00B01850">
        <w:rPr>
          <w:rFonts w:ascii="Arial" w:hAnsi="Arial" w:cs="Arial"/>
        </w:rPr>
        <w:t>ondamental (</w:t>
      </w:r>
      <w:proofErr w:type="spellStart"/>
      <w:r w:rsidRPr="00B01850">
        <w:rPr>
          <w:rFonts w:ascii="Arial" w:hAnsi="Arial" w:cs="Arial"/>
        </w:rPr>
        <w:t>PRePEF</w:t>
      </w:r>
      <w:proofErr w:type="spellEnd"/>
      <w:r w:rsidRPr="00B01850">
        <w:rPr>
          <w:rFonts w:ascii="Arial" w:hAnsi="Arial" w:cs="Arial"/>
        </w:rPr>
        <w:t>)</w:t>
      </w:r>
      <w:r w:rsidR="005D2495" w:rsidRPr="00B01850">
        <w:rPr>
          <w:rFonts w:ascii="Arial" w:hAnsi="Arial" w:cs="Arial"/>
        </w:rPr>
        <w:t xml:space="preserve"> </w:t>
      </w:r>
      <w:r w:rsidRPr="00B01850">
        <w:rPr>
          <w:rFonts w:ascii="Arial" w:hAnsi="Arial" w:cs="Arial"/>
        </w:rPr>
        <w:t xml:space="preserve">a réalisé avec le </w:t>
      </w:r>
      <w:r w:rsidR="005D2495" w:rsidRPr="00B01850">
        <w:rPr>
          <w:rFonts w:ascii="Arial" w:hAnsi="Arial" w:cs="Arial"/>
        </w:rPr>
        <w:t>financ</w:t>
      </w:r>
      <w:r w:rsidRPr="00B01850">
        <w:rPr>
          <w:rFonts w:ascii="Arial" w:hAnsi="Arial" w:cs="Arial"/>
        </w:rPr>
        <w:t xml:space="preserve">ement de </w:t>
      </w:r>
      <w:r w:rsidR="005D2495" w:rsidRPr="00B01850">
        <w:rPr>
          <w:rFonts w:ascii="Arial" w:hAnsi="Arial" w:cs="Arial"/>
        </w:rPr>
        <w:t>la Banque mondiale</w:t>
      </w:r>
      <w:r w:rsidRPr="00B01850">
        <w:rPr>
          <w:rFonts w:ascii="Arial" w:hAnsi="Arial" w:cs="Arial"/>
        </w:rPr>
        <w:t>,</w:t>
      </w:r>
      <w:r w:rsidR="005D2495" w:rsidRPr="00B01850">
        <w:rPr>
          <w:rFonts w:ascii="Arial" w:hAnsi="Arial" w:cs="Arial"/>
        </w:rPr>
        <w:t xml:space="preserve"> les premières classes pré primaire en milieu </w:t>
      </w:r>
      <w:proofErr w:type="spellStart"/>
      <w:r w:rsidR="005D2495" w:rsidRPr="00B01850">
        <w:rPr>
          <w:rFonts w:ascii="Arial" w:hAnsi="Arial" w:cs="Arial"/>
        </w:rPr>
        <w:t>peri</w:t>
      </w:r>
      <w:proofErr w:type="spellEnd"/>
      <w:r w:rsidR="005D2495" w:rsidRPr="00B01850">
        <w:rPr>
          <w:rFonts w:ascii="Arial" w:hAnsi="Arial" w:cs="Arial"/>
        </w:rPr>
        <w:t xml:space="preserve"> urbain et rural</w:t>
      </w:r>
      <w:r w:rsidRPr="00B01850">
        <w:rPr>
          <w:rFonts w:ascii="Arial" w:hAnsi="Arial" w:cs="Arial"/>
        </w:rPr>
        <w:t xml:space="preserve"> en Guinée</w:t>
      </w:r>
      <w:r w:rsidR="005D2495" w:rsidRPr="00B01850">
        <w:rPr>
          <w:rFonts w:ascii="Arial" w:hAnsi="Arial" w:cs="Arial"/>
        </w:rPr>
        <w:t xml:space="preserve">. </w:t>
      </w:r>
      <w:r w:rsidRPr="00B01850">
        <w:rPr>
          <w:rFonts w:ascii="Arial" w:hAnsi="Arial" w:cs="Arial"/>
        </w:rPr>
        <w:t xml:space="preserve">Avant cette date, </w:t>
      </w:r>
      <w:r w:rsidR="004C68E8" w:rsidRPr="00B01850">
        <w:rPr>
          <w:rFonts w:ascii="Arial" w:hAnsi="Arial" w:cs="Arial"/>
        </w:rPr>
        <w:t>l’enseignement public n’offr</w:t>
      </w:r>
      <w:r w:rsidRPr="00B01850">
        <w:rPr>
          <w:rFonts w:ascii="Arial" w:hAnsi="Arial" w:cs="Arial"/>
        </w:rPr>
        <w:t xml:space="preserve">ait </w:t>
      </w:r>
      <w:r w:rsidR="004C68E8" w:rsidRPr="00B01850">
        <w:rPr>
          <w:rFonts w:ascii="Arial" w:hAnsi="Arial" w:cs="Arial"/>
        </w:rPr>
        <w:t xml:space="preserve">presque pas de service à l’éducation de la petite enfance au niveau préscolaire. Ces services </w:t>
      </w:r>
      <w:r w:rsidRPr="00B01850">
        <w:rPr>
          <w:rFonts w:ascii="Arial" w:hAnsi="Arial" w:cs="Arial"/>
        </w:rPr>
        <w:t xml:space="preserve">étaient </w:t>
      </w:r>
      <w:r w:rsidR="004C68E8" w:rsidRPr="00B01850">
        <w:rPr>
          <w:rFonts w:ascii="Arial" w:hAnsi="Arial" w:cs="Arial"/>
        </w:rPr>
        <w:t>offerts par le secteur privé, mais dans la majeure partie des cas en zone urbaine.</w:t>
      </w:r>
    </w:p>
    <w:p w14:paraId="5BFAD7E8" w14:textId="79506360" w:rsidR="004C68E8" w:rsidRPr="00B01850" w:rsidRDefault="000B0064" w:rsidP="004C68E8">
      <w:pPr>
        <w:spacing w:after="0"/>
        <w:jc w:val="both"/>
        <w:rPr>
          <w:rFonts w:ascii="Arial" w:hAnsi="Arial" w:cs="Arial"/>
        </w:rPr>
      </w:pPr>
      <w:r w:rsidRPr="00B01850">
        <w:rPr>
          <w:rFonts w:ascii="Arial" w:hAnsi="Arial" w:cs="Arial"/>
        </w:rPr>
        <w:lastRenderedPageBreak/>
        <w:t>Par ailleurs, le secteur est confronté à l</w:t>
      </w:r>
      <w:r w:rsidR="004C68E8" w:rsidRPr="00B01850">
        <w:rPr>
          <w:rFonts w:ascii="Arial" w:hAnsi="Arial" w:cs="Arial"/>
        </w:rPr>
        <w:t>’absentéisme chez les enseignants du secteur publique dans certaines régions éloignées de la Guinée constitue un véritable problème pour l’éducation des enfants.</w:t>
      </w:r>
    </w:p>
    <w:p w14:paraId="5848E762" w14:textId="35B88E0D" w:rsidR="00F07CFE" w:rsidRPr="00B01850" w:rsidRDefault="00F07CFE" w:rsidP="00214DCC">
      <w:pPr>
        <w:pStyle w:val="ListParagraph"/>
        <w:numPr>
          <w:ilvl w:val="0"/>
          <w:numId w:val="45"/>
        </w:numPr>
        <w:spacing w:before="120" w:after="120" w:line="240" w:lineRule="auto"/>
        <w:outlineLvl w:val="2"/>
        <w:rPr>
          <w:rFonts w:ascii="Arial" w:eastAsia="Calibri" w:hAnsi="Arial" w:cs="Arial"/>
          <w:i/>
          <w:iCs/>
        </w:rPr>
      </w:pPr>
      <w:bookmarkStart w:id="77" w:name="_Toc528854487"/>
      <w:bookmarkStart w:id="78" w:name="_Toc34754446"/>
      <w:bookmarkStart w:id="79" w:name="_Toc197382150"/>
      <w:r w:rsidRPr="00B01850">
        <w:rPr>
          <w:rFonts w:ascii="Arial" w:eastAsia="Calibri" w:hAnsi="Arial" w:cs="Arial"/>
          <w:i/>
          <w:iCs/>
        </w:rPr>
        <w:t>Santé</w:t>
      </w:r>
      <w:bookmarkEnd w:id="77"/>
      <w:bookmarkEnd w:id="78"/>
      <w:r w:rsidR="005B70D2" w:rsidRPr="00B01850">
        <w:rPr>
          <w:rFonts w:ascii="Arial" w:eastAsia="Calibri" w:hAnsi="Arial" w:cs="Arial"/>
          <w:i/>
          <w:iCs/>
        </w:rPr>
        <w:t xml:space="preserve"> et accès aux services de santé</w:t>
      </w:r>
      <w:bookmarkEnd w:id="79"/>
    </w:p>
    <w:p w14:paraId="7FE17509" w14:textId="77777777" w:rsidR="00F07CFE" w:rsidRPr="00B01850" w:rsidRDefault="00F07CFE" w:rsidP="00F07CFE">
      <w:pPr>
        <w:spacing w:after="0" w:line="240" w:lineRule="auto"/>
        <w:ind w:right="6"/>
        <w:jc w:val="both"/>
        <w:rPr>
          <w:rFonts w:ascii="Arial" w:eastAsia="Calibri" w:hAnsi="Arial" w:cs="Arial"/>
        </w:rPr>
      </w:pPr>
      <w:r w:rsidRPr="00B01850">
        <w:rPr>
          <w:rFonts w:ascii="Arial" w:eastAsia="Calibri" w:hAnsi="Arial" w:cs="Arial"/>
        </w:rPr>
        <w:t xml:space="preserve">En Guinée, les services de santé sont dans un état de grave dégradation en raison du faible budget accordé au secteur et à l’insuffisance des ressources humaines. Le paludisme reste la première cause de morbidité et de mortalité chez les enfants. Le taux de mortalité infantile était de 101 pour mille en 2004 et le taux de mortalité maternelle est l'un des plus élevés en Afrique (740 pour 100.000) (PNIE, 2013). C’est pour cette raison que la gratuité de la césarienne et les premiers soins pour les nouveau-nés ont été accordés aux mères et enfants. Toutefois, cette décision est rarement appliquée sur le terrain. Le taux de prévalence du VIH, estimée à 1,6 %, est l’un des plus faibles de la région (PNIE, 2013). Le gouvernement poursuit une politique de libre accès aux médicaments antirétroviraux, qui reste limité par le manque de ressources. </w:t>
      </w:r>
    </w:p>
    <w:p w14:paraId="0753E3B1" w14:textId="3C5DA994" w:rsidR="00F07CFE" w:rsidRPr="00B01850" w:rsidRDefault="00F07CFE" w:rsidP="00F07CFE">
      <w:pPr>
        <w:spacing w:after="0" w:line="240" w:lineRule="auto"/>
        <w:ind w:right="6"/>
        <w:jc w:val="both"/>
        <w:rPr>
          <w:rFonts w:ascii="Arial" w:eastAsia="Calibri" w:hAnsi="Arial" w:cs="Arial"/>
        </w:rPr>
      </w:pPr>
      <w:r w:rsidRPr="00B01850">
        <w:rPr>
          <w:rFonts w:ascii="Arial" w:eastAsia="Calibri" w:hAnsi="Arial" w:cs="Arial"/>
        </w:rPr>
        <w:t xml:space="preserve">L’épidémie d’Ebola a mis en relief la vulnérabilité du système national de santé en Guinée. </w:t>
      </w:r>
      <w:r w:rsidR="00C24ADC" w:rsidRPr="00B01850">
        <w:rPr>
          <w:rFonts w:ascii="Arial" w:eastAsia="Calibri" w:hAnsi="Arial" w:cs="Arial"/>
        </w:rPr>
        <w:t>À la suite de</w:t>
      </w:r>
      <w:r w:rsidRPr="00B01850">
        <w:rPr>
          <w:rFonts w:ascii="Arial" w:eastAsia="Calibri" w:hAnsi="Arial" w:cs="Arial"/>
        </w:rPr>
        <w:t xml:space="preserve"> cette épidémie et pour contribuer au renforcement du système national de santé publique, la Banque Mondiale appui le gouvernement de la Guinée pour réhabiliter certains centres de santé et mettre à disposition des équipements et faire des reformes dans le secteur. Trois projets sont actuellement financés par le Banque Mondiale dans ce cadre.</w:t>
      </w:r>
    </w:p>
    <w:p w14:paraId="3852B5DF" w14:textId="77777777" w:rsidR="00F07CFE" w:rsidRPr="00B01850" w:rsidRDefault="00F07CFE" w:rsidP="00F07CFE">
      <w:pPr>
        <w:spacing w:after="0" w:line="240" w:lineRule="auto"/>
        <w:ind w:right="6"/>
        <w:jc w:val="both"/>
        <w:rPr>
          <w:rFonts w:ascii="Arial" w:eastAsia="Calibri" w:hAnsi="Arial" w:cs="Arial"/>
        </w:rPr>
      </w:pPr>
      <w:r w:rsidRPr="00B01850">
        <w:rPr>
          <w:rFonts w:ascii="Arial" w:eastAsia="Calibri" w:hAnsi="Arial" w:cs="Arial"/>
        </w:rPr>
        <w:t>L’appui du PAPN aux communes rurales et aux ménages pauvres et vulnérables pourrait contribuer à l’amélioration de l’état de santé des populations. Cet appui pourrait se faire à travers la construction de postes ou de centres de santé.</w:t>
      </w:r>
    </w:p>
    <w:p w14:paraId="58180B2B" w14:textId="34745A7C" w:rsidR="00F07CFE" w:rsidRPr="00B01850" w:rsidRDefault="00F07CFE" w:rsidP="00214DCC">
      <w:pPr>
        <w:pStyle w:val="ListParagraph"/>
        <w:numPr>
          <w:ilvl w:val="0"/>
          <w:numId w:val="45"/>
        </w:numPr>
        <w:spacing w:before="120" w:after="120" w:line="240" w:lineRule="auto"/>
        <w:outlineLvl w:val="2"/>
        <w:rPr>
          <w:rFonts w:ascii="Arial" w:eastAsia="Calibri" w:hAnsi="Arial" w:cs="Arial"/>
          <w:i/>
          <w:iCs/>
        </w:rPr>
      </w:pPr>
      <w:bookmarkStart w:id="80" w:name="_Toc528854488"/>
      <w:bookmarkStart w:id="81" w:name="_Toc34754447"/>
      <w:bookmarkStart w:id="82" w:name="_Toc197382151"/>
      <w:r w:rsidRPr="00B01850">
        <w:rPr>
          <w:rFonts w:ascii="Arial" w:eastAsia="Calibri" w:hAnsi="Arial" w:cs="Arial"/>
          <w:i/>
          <w:iCs/>
        </w:rPr>
        <w:t xml:space="preserve">Eau potable, </w:t>
      </w:r>
      <w:r w:rsidR="00844D10" w:rsidRPr="00B01850">
        <w:rPr>
          <w:rFonts w:ascii="Arial" w:eastAsia="Calibri" w:hAnsi="Arial" w:cs="Arial"/>
          <w:i/>
          <w:iCs/>
        </w:rPr>
        <w:t xml:space="preserve">adduction d’eau et </w:t>
      </w:r>
      <w:r w:rsidRPr="00B01850">
        <w:rPr>
          <w:rFonts w:ascii="Arial" w:eastAsia="Calibri" w:hAnsi="Arial" w:cs="Arial"/>
          <w:i/>
          <w:iCs/>
        </w:rPr>
        <w:t>hygiène assainissement</w:t>
      </w:r>
      <w:bookmarkEnd w:id="80"/>
      <w:bookmarkEnd w:id="81"/>
      <w:bookmarkEnd w:id="82"/>
    </w:p>
    <w:p w14:paraId="2D7164B0" w14:textId="30E93A08"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Avec la Société des eaux de Guinée (SEG</w:t>
      </w:r>
      <w:r w:rsidRPr="00B01850">
        <w:rPr>
          <w:rFonts w:ascii="Arial" w:eastAsia="Calibri" w:hAnsi="Arial" w:cs="Arial"/>
        </w:rPr>
        <w:fldChar w:fldCharType="begin"/>
      </w:r>
      <w:r w:rsidRPr="00B01850">
        <w:rPr>
          <w:rFonts w:ascii="Arial" w:eastAsia="Calibri" w:hAnsi="Arial" w:cs="Arial"/>
        </w:rPr>
        <w:instrText xml:space="preserve"> TC "</w:instrText>
      </w:r>
      <w:bookmarkStart w:id="83" w:name="_Toc343673530"/>
      <w:bookmarkStart w:id="84" w:name="_Toc343689618"/>
      <w:bookmarkStart w:id="85" w:name="_Toc343692849"/>
      <w:bookmarkStart w:id="86" w:name="_Toc343693606"/>
      <w:bookmarkStart w:id="87" w:name="_Toc343697294"/>
      <w:bookmarkStart w:id="88" w:name="_Toc361125271"/>
      <w:bookmarkStart w:id="89" w:name="_Toc361125763"/>
      <w:bookmarkStart w:id="90" w:name="_Toc361126312"/>
      <w:bookmarkStart w:id="91" w:name="_Toc361239208"/>
      <w:bookmarkStart w:id="92" w:name="_Toc361917300"/>
      <w:bookmarkStart w:id="93" w:name="_Toc361917407"/>
      <w:bookmarkStart w:id="94" w:name="_Toc361917514"/>
      <w:bookmarkStart w:id="95" w:name="_Toc362015220"/>
      <w:bookmarkStart w:id="96" w:name="_Toc364085209"/>
      <w:r w:rsidRPr="00B01850">
        <w:rPr>
          <w:rFonts w:ascii="Arial" w:eastAsia="Calibri" w:hAnsi="Arial" w:cs="Arial"/>
        </w:rPr>
        <w:instrText>SEEG</w:instrText>
      </w:r>
      <w:r w:rsidRPr="00B01850">
        <w:rPr>
          <w:rFonts w:ascii="Arial" w:eastAsia="Calibri" w:hAnsi="Arial" w:cs="Arial"/>
        </w:rPr>
        <w:tab/>
        <w:instrText>Société des eaux de Guinée</w:instrText>
      </w:r>
      <w:bookmarkEnd w:id="83"/>
      <w:bookmarkEnd w:id="84"/>
      <w:bookmarkEnd w:id="85"/>
      <w:bookmarkEnd w:id="86"/>
      <w:bookmarkEnd w:id="87"/>
      <w:bookmarkEnd w:id="88"/>
      <w:bookmarkEnd w:id="89"/>
      <w:bookmarkEnd w:id="90"/>
      <w:bookmarkEnd w:id="91"/>
      <w:bookmarkEnd w:id="92"/>
      <w:bookmarkEnd w:id="93"/>
      <w:bookmarkEnd w:id="94"/>
      <w:bookmarkEnd w:id="95"/>
      <w:bookmarkEnd w:id="96"/>
      <w:r w:rsidRPr="00B01850">
        <w:rPr>
          <w:rFonts w:ascii="Arial" w:eastAsia="Calibri" w:hAnsi="Arial" w:cs="Arial"/>
        </w:rPr>
        <w:instrText xml:space="preserve">" \f A \l "1" </w:instrText>
      </w:r>
      <w:r w:rsidRPr="00B01850">
        <w:rPr>
          <w:rFonts w:ascii="Arial" w:eastAsia="Calibri" w:hAnsi="Arial" w:cs="Arial"/>
        </w:rPr>
        <w:fldChar w:fldCharType="end"/>
      </w:r>
      <w:r w:rsidRPr="00B01850">
        <w:rPr>
          <w:rFonts w:ascii="Arial" w:eastAsia="Calibri" w:hAnsi="Arial" w:cs="Arial"/>
        </w:rPr>
        <w:t xml:space="preserve"> ), le taux d’accès à l’eau potable en zone urbaine est 70 %. Le nombre de points d’eau moderne réalisés par le SNAPE en 2016 était de 447 forages (INS, 2016). En milieu urbain, 86 % de l’eau produite par la SEG est distribuée à Conakry. Toutefois, la dotation en eau dans les milieux urbains s’est fortement dégradée à cause de (i) l’expansion des villes (ii) l’insuffisance des équipements (iii) la faible productivité et (iv) la mauvaise gestion interne de la SEG. Ainsi, la qualité de l’eau s’est détériorée et la dotation journalière par habitant s’est abaissée (PNIE, 2013). En général, les ménages pauvres et vulnérables vivent des eaux des nappes superficielles (souvent contaminées) et des gouttières en hivernage. </w:t>
      </w:r>
    </w:p>
    <w:p w14:paraId="72307546" w14:textId="7E640B1C" w:rsidR="00F07CFE" w:rsidRPr="00B01850" w:rsidRDefault="00F07CFE" w:rsidP="007176AE">
      <w:pPr>
        <w:spacing w:before="120" w:after="0" w:line="240" w:lineRule="auto"/>
        <w:jc w:val="both"/>
        <w:rPr>
          <w:rFonts w:ascii="Arial" w:eastAsia="Calibri" w:hAnsi="Arial" w:cs="Arial"/>
        </w:rPr>
      </w:pPr>
      <w:r w:rsidRPr="00B01850">
        <w:rPr>
          <w:rFonts w:ascii="Arial" w:eastAsia="Calibri" w:hAnsi="Arial" w:cs="Arial"/>
        </w:rPr>
        <w:t>En dépit des améliorations dans la couverture, le secteur reste confronté aux problèmes suivants : risque de pollution (notamment dans les agglomérations pauvres), capacité de production et de traitement de l’eau limitée par rapport à la demande, faible extension du réseau de distribution, pertes techniques et fraudes commerciales élevées, indisponibilité des capacités installées pour faute de maintenance ou de disponibilité de l’électricité et cadres institutionnel et juridique du secteur inadaptés. Cette situation pourrait être améliorée par le projet Eau et Assainissement financé par la Banque Mondiale en faveur de la SEG. Le PAPN pourrait contribuer à l’amélioration de l’accès à l’eau potable dans plusieurs communes rurales en construisant des puits améliorés/forages au niveau des postes de santé et des écoles notamment.</w:t>
      </w:r>
    </w:p>
    <w:p w14:paraId="252786F3" w14:textId="77777777"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 xml:space="preserve">En Guinée, faute de système d’évacuation hygiénique approprié, la presque totalité des eaux usées ménagères produites est rejetée dans les cours des concessions, dans les rues et rarement dans les puisards très rudimentaires, quelquefois mal conçus et non couverts. Le constat général qui se dégage est que la majorité de ces rejets d’eaux usées s’effectuent en milieu naturel sans aucun traitement, favorisant ainsi la pollution du sol, des puits et des eaux de surface. La forte densification actuelle, ainsi que l’explosion démographique liée à une urbanisation non structurée de l’habitat, aggrave aussi la situation. L’absence d’ouvrages d’assainissement est particulièrement manifeste partout en Guinée. </w:t>
      </w:r>
    </w:p>
    <w:p w14:paraId="1E366F65" w14:textId="77777777" w:rsidR="00F07CFE" w:rsidRPr="00B01850" w:rsidRDefault="00F07CFE" w:rsidP="007176AE">
      <w:pPr>
        <w:spacing w:before="120" w:after="0" w:line="240" w:lineRule="auto"/>
        <w:jc w:val="both"/>
        <w:rPr>
          <w:rFonts w:ascii="Arial" w:eastAsia="Calibri" w:hAnsi="Arial" w:cs="Arial"/>
        </w:rPr>
      </w:pPr>
      <w:r w:rsidRPr="00B01850">
        <w:rPr>
          <w:rFonts w:ascii="Arial" w:eastAsia="Calibri" w:hAnsi="Arial" w:cs="Arial"/>
        </w:rPr>
        <w:lastRenderedPageBreak/>
        <w:t xml:space="preserve">Dans les zones rurales, chez les ménages les plus pauvres et vulnérables, le manque de latrines et autres infrastructures d’assainissement entraine la pollution des cours d’eau et contribue à la recrudescence des maladies liées à l’eau. Le système d’évacuation des eaux de ruissellement existe dans quelques grands centres urbains et est presque inexistant en zone péri urbaine et rurale. Cependant, l’assainissement total piloté par la communauté (ATPC) a été initié depuis un certain temps par les populations avec l’appui de l’UNICEF et a permis de certifier certaines localités en termes de zéro défécation à l’air libre. En 2015, 399 villages ont été certifiés pour l’ensemble du pays et 737 villages certifiés pour 2016. En 2017, 1067 villages ont été certifiés pour une population de 271 527 habitants et en 2018, ce sont 1562 villages qui ont été certifiés pour une populations 370 386 habitants </w:t>
      </w:r>
    </w:p>
    <w:p w14:paraId="5147D569" w14:textId="77777777"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Le pays se trouve confronté à un problème d’élimination des déchets solides tant en milieu urbain que rural. La Capitale Conakry, ainsi que de nombreuses villes de la Guinée sont inondées par des déchets solides. Le service public de ramassage des ordures ménagères et déchets assimilés est quasi inexistant partout dans les zones d’intervention du PAPN. Les décharges contrôlées ou Centres d’enfouissement technique</w:t>
      </w:r>
      <w:r w:rsidRPr="00B01850">
        <w:rPr>
          <w:rFonts w:ascii="Arial" w:eastAsia="Calibri" w:hAnsi="Arial" w:cs="Arial"/>
        </w:rPr>
        <w:fldChar w:fldCharType="begin"/>
      </w:r>
      <w:r w:rsidRPr="00B01850">
        <w:rPr>
          <w:rFonts w:ascii="Arial" w:eastAsia="Calibri" w:hAnsi="Arial" w:cs="Arial"/>
        </w:rPr>
        <w:instrText xml:space="preserve"> TC "CET</w:instrText>
      </w:r>
      <w:r w:rsidRPr="00B01850">
        <w:rPr>
          <w:rFonts w:ascii="Arial" w:eastAsia="Calibri" w:hAnsi="Arial" w:cs="Arial"/>
        </w:rPr>
        <w:tab/>
        <w:instrText xml:space="preserve">Centre d’enfouissement technique" \f A \l "1" </w:instrText>
      </w:r>
      <w:r w:rsidRPr="00B01850">
        <w:rPr>
          <w:rFonts w:ascii="Arial" w:eastAsia="Calibri" w:hAnsi="Arial" w:cs="Arial"/>
        </w:rPr>
        <w:fldChar w:fldCharType="end"/>
      </w:r>
      <w:r w:rsidRPr="00B01850">
        <w:rPr>
          <w:rFonts w:ascii="Arial" w:eastAsia="Calibri" w:hAnsi="Arial" w:cs="Arial"/>
        </w:rPr>
        <w:t xml:space="preserve"> sont inexistants. </w:t>
      </w:r>
    </w:p>
    <w:p w14:paraId="4BD302AC" w14:textId="77777777" w:rsidR="00F07CFE" w:rsidRPr="00B01850" w:rsidRDefault="00F07CFE" w:rsidP="00F07CFE">
      <w:pPr>
        <w:spacing w:after="0" w:line="240" w:lineRule="auto"/>
        <w:jc w:val="both"/>
        <w:rPr>
          <w:rFonts w:ascii="Arial" w:eastAsia="Calibri" w:hAnsi="Arial" w:cs="Arial"/>
        </w:rPr>
      </w:pPr>
      <w:r w:rsidRPr="00B01850">
        <w:rPr>
          <w:rFonts w:ascii="Arial" w:eastAsia="Calibri" w:hAnsi="Arial" w:cs="Arial"/>
        </w:rPr>
        <w:t xml:space="preserve">La plupart des hôpitaux et des cliniques privées ne sont pas dotés d’incinérateurs appropriés, et même quand ils existent, les équipements sont soit inadaptés, soit non opérationnels à cause du manque d’électricité. </w:t>
      </w:r>
    </w:p>
    <w:p w14:paraId="7E2BAAC0" w14:textId="1FC4E8DF" w:rsidR="008B31A2" w:rsidRPr="00B01850" w:rsidRDefault="00066016" w:rsidP="00B233BC">
      <w:pPr>
        <w:pStyle w:val="Heading1"/>
        <w:rPr>
          <w:rFonts w:ascii="Arial" w:hAnsi="Arial" w:cs="Arial"/>
          <w:b/>
          <w:bCs/>
          <w:color w:val="auto"/>
          <w:sz w:val="22"/>
          <w:szCs w:val="22"/>
        </w:rPr>
      </w:pPr>
      <w:bookmarkStart w:id="97" w:name="_Toc1519688706"/>
      <w:bookmarkStart w:id="98" w:name="_Toc197382152"/>
      <w:r w:rsidRPr="00B01850">
        <w:rPr>
          <w:rFonts w:ascii="Arial" w:hAnsi="Arial" w:cs="Arial"/>
          <w:b/>
          <w:bCs/>
          <w:color w:val="auto"/>
          <w:sz w:val="22"/>
          <w:szCs w:val="22"/>
        </w:rPr>
        <w:t xml:space="preserve">SECTION 3 </w:t>
      </w:r>
      <w:r w:rsidRPr="00B01850">
        <w:rPr>
          <w:rFonts w:ascii="Arial" w:hAnsi="Arial" w:cs="Arial"/>
          <w:color w:val="auto"/>
          <w:sz w:val="22"/>
          <w:szCs w:val="22"/>
        </w:rPr>
        <w:t>: ACTIVITÉS DU PROJET</w:t>
      </w:r>
      <w:bookmarkEnd w:id="97"/>
      <w:bookmarkEnd w:id="98"/>
    </w:p>
    <w:p w14:paraId="382869D8" w14:textId="6C1853D8" w:rsidR="00D53E84" w:rsidRPr="00B01850" w:rsidRDefault="00D53E84" w:rsidP="00214DCC">
      <w:pPr>
        <w:pStyle w:val="ListParagraph"/>
        <w:numPr>
          <w:ilvl w:val="0"/>
          <w:numId w:val="27"/>
        </w:numPr>
        <w:spacing w:before="120" w:after="120" w:line="240" w:lineRule="auto"/>
        <w:contextualSpacing w:val="0"/>
        <w:jc w:val="both"/>
        <w:textAlignment w:val="baseline"/>
        <w:rPr>
          <w:rFonts w:ascii="Arial" w:hAnsi="Arial" w:cs="Arial"/>
          <w:i/>
          <w:iCs/>
        </w:rPr>
      </w:pPr>
      <w:r w:rsidRPr="00B01850">
        <w:rPr>
          <w:rFonts w:ascii="Arial" w:hAnsi="Arial" w:cs="Arial"/>
          <w:i/>
          <w:iCs/>
        </w:rPr>
        <w:t>Objectifs de développement du projet :</w:t>
      </w:r>
    </w:p>
    <w:p w14:paraId="4C07CA2A" w14:textId="47238169" w:rsidR="00F5361A" w:rsidRPr="00B01850" w:rsidRDefault="00FD4800" w:rsidP="00FD4800">
      <w:pPr>
        <w:pStyle w:val="ListParagraph"/>
        <w:spacing w:after="0" w:line="240" w:lineRule="auto"/>
        <w:ind w:left="0"/>
        <w:jc w:val="both"/>
        <w:textAlignment w:val="baseline"/>
        <w:rPr>
          <w:rFonts w:ascii="Arial" w:hAnsi="Arial" w:cs="Arial"/>
        </w:rPr>
      </w:pPr>
      <w:r w:rsidRPr="00B01850">
        <w:rPr>
          <w:rFonts w:ascii="Arial" w:hAnsi="Arial" w:cs="Arial"/>
          <w:b/>
          <w:bCs/>
        </w:rPr>
        <w:t>L'objectif de développement du projet</w:t>
      </w:r>
      <w:r w:rsidRPr="00B01850">
        <w:rPr>
          <w:rFonts w:ascii="Arial" w:hAnsi="Arial" w:cs="Arial"/>
        </w:rPr>
        <w:t xml:space="preserve"> est </w:t>
      </w:r>
      <w:r w:rsidR="00B739EF" w:rsidRPr="00B01850">
        <w:rPr>
          <w:rFonts w:ascii="Arial" w:hAnsi="Arial" w:cs="Arial"/>
        </w:rPr>
        <w:t>de répondre rapidement et efficacement en cas de crise ou d'urgence éligible en Guinée.</w:t>
      </w:r>
    </w:p>
    <w:p w14:paraId="7BEC7115" w14:textId="3ED57EB3" w:rsidR="00F5361A" w:rsidRPr="00B01850" w:rsidRDefault="00D53E84" w:rsidP="00214DCC">
      <w:pPr>
        <w:pStyle w:val="ListParagraph"/>
        <w:numPr>
          <w:ilvl w:val="0"/>
          <w:numId w:val="28"/>
        </w:numPr>
        <w:spacing w:before="120" w:after="120" w:line="240" w:lineRule="auto"/>
        <w:contextualSpacing w:val="0"/>
        <w:jc w:val="both"/>
        <w:textAlignment w:val="baseline"/>
        <w:rPr>
          <w:rFonts w:ascii="Arial" w:hAnsi="Arial" w:cs="Arial"/>
          <w:i/>
        </w:rPr>
      </w:pPr>
      <w:r w:rsidRPr="00B01850">
        <w:rPr>
          <w:rFonts w:ascii="Arial" w:hAnsi="Arial" w:cs="Arial"/>
          <w:i/>
        </w:rPr>
        <w:t>A</w:t>
      </w:r>
      <w:r w:rsidR="00F5361A" w:rsidRPr="00B01850">
        <w:rPr>
          <w:rFonts w:ascii="Arial" w:hAnsi="Arial" w:cs="Arial"/>
          <w:i/>
        </w:rPr>
        <w:t xml:space="preserve">ctivités </w:t>
      </w:r>
      <w:r w:rsidRPr="00B01850">
        <w:rPr>
          <w:rFonts w:ascii="Arial" w:hAnsi="Arial" w:cs="Arial"/>
          <w:i/>
        </w:rPr>
        <w:t>admissibles au CERP :</w:t>
      </w:r>
    </w:p>
    <w:p w14:paraId="5053889C" w14:textId="133DAA18" w:rsidR="00FD4800" w:rsidRPr="00B01850" w:rsidRDefault="00D53E84" w:rsidP="00DE3C6D">
      <w:pPr>
        <w:pStyle w:val="Body"/>
        <w:spacing w:after="0"/>
        <w:jc w:val="both"/>
        <w:rPr>
          <w:rFonts w:ascii="Arial" w:hAnsi="Arial" w:cs="Arial"/>
          <w:lang w:val="fr-FR"/>
        </w:rPr>
      </w:pPr>
      <w:r w:rsidRPr="00B01850">
        <w:rPr>
          <w:rFonts w:ascii="Arial" w:hAnsi="Arial" w:cs="Arial"/>
          <w:lang w:val="fr-FR"/>
        </w:rPr>
        <w:t>En cas de crise éligible et si le CERP est activé, plusieurs besoins de réponse immédiate seraient soutenus par l'opération, selon la nature de la crise. Cela vise à atténuer les impacts immédiats des crises sur les populations vulnérables en facilitant l'accès à des intrants critiques et une assistance technique supplémentaire pour garantir l'utilisation efficace et efficiente des ressources, optimiser le processus de récupération et renforcer la résilience des personnes affectées. Ces activités incluent :</w:t>
      </w:r>
    </w:p>
    <w:p w14:paraId="0AD79B1D" w14:textId="77777777" w:rsidR="00D53E84" w:rsidRPr="00B01850" w:rsidRDefault="00D53E84" w:rsidP="00214DCC">
      <w:pPr>
        <w:numPr>
          <w:ilvl w:val="0"/>
          <w:numId w:val="29"/>
        </w:numPr>
        <w:spacing w:before="120" w:after="0" w:line="278" w:lineRule="auto"/>
        <w:jc w:val="both"/>
        <w:rPr>
          <w:rFonts w:ascii="Arial" w:eastAsia="Aptos" w:hAnsi="Arial" w:cs="Arial"/>
          <w:kern w:val="2"/>
          <w14:ligatures w14:val="standardContextual"/>
        </w:rPr>
      </w:pPr>
      <w:r w:rsidRPr="00B01850">
        <w:rPr>
          <w:rFonts w:ascii="Arial" w:eastAsia="Aptos" w:hAnsi="Arial" w:cs="Arial"/>
          <w:b/>
          <w:bCs/>
          <w:kern w:val="2"/>
          <w14:ligatures w14:val="standardContextual"/>
        </w:rPr>
        <w:t>Soutien aux moyens de subsistance d'urgence pour les ménages</w:t>
      </w:r>
      <w:r w:rsidRPr="00B01850">
        <w:rPr>
          <w:rFonts w:ascii="Arial" w:eastAsia="Aptos" w:hAnsi="Arial" w:cs="Arial"/>
          <w:kern w:val="2"/>
          <w14:ligatures w14:val="standardContextual"/>
        </w:rPr>
        <w:t xml:space="preserve"> : Le CERP fournira un soutien direct en revenus d'urgence aux personnes/ménages affectés par des catastrophes en augmentant les transferts monétaires et les programmes de travail rémunéré. Cela aidera à stabiliser leurs moyens de subsistance, à lisser la consommation et à améliorer leur capacité à se procurer de la nourriture et des articles de première nécessité. Les transferts monétaires seront distribués en utilisant les mécanismes existants, pour garantir une livraison rapide et efficace. Cela peut inclure un complément monétaire limité dans le temps aux ménages bénéficiaires de transferts sociaux dans les zones prioritaires touchées, et/ou permettre à de nouveaux ménages éligibles dans les districts touchés déjà identifiés (par le registre social ou le registre national des bénéficiaires vulnérables) de recevoir une aide monétaire d'urgence sur une base limitée dans le temps. Ces activités seront mises en œuvre par les mécanismes existants établis dans le cadre du Projet </w:t>
      </w:r>
      <w:bookmarkStart w:id="99" w:name="_Hlk196604821"/>
      <w:r w:rsidRPr="00B01850">
        <w:rPr>
          <w:rFonts w:ascii="Arial" w:eastAsia="Aptos" w:hAnsi="Arial" w:cs="Arial"/>
          <w:kern w:val="2"/>
          <w14:ligatures w14:val="standardContextual"/>
        </w:rPr>
        <w:t xml:space="preserve">de Soutien au Programme de Réponse d'Urgence et </w:t>
      </w:r>
      <w:bookmarkEnd w:id="99"/>
      <w:proofErr w:type="spellStart"/>
      <w:r w:rsidRPr="00B01850">
        <w:rPr>
          <w:rFonts w:ascii="Arial" w:eastAsia="Aptos" w:hAnsi="Arial" w:cs="Arial"/>
          <w:kern w:val="2"/>
          <w14:ligatures w14:val="standardContextual"/>
        </w:rPr>
        <w:t>Nafa</w:t>
      </w:r>
      <w:proofErr w:type="spellEnd"/>
      <w:r w:rsidRPr="00B01850">
        <w:rPr>
          <w:rFonts w:ascii="Arial" w:eastAsia="Aptos" w:hAnsi="Arial" w:cs="Arial"/>
          <w:kern w:val="2"/>
          <w14:ligatures w14:val="standardContextual"/>
        </w:rPr>
        <w:t xml:space="preserve"> (PRU-APN NAFA-P168777).</w:t>
      </w:r>
    </w:p>
    <w:p w14:paraId="519DEE2C" w14:textId="77777777" w:rsidR="00DE3C6D" w:rsidRPr="00B01850" w:rsidRDefault="00D53E84" w:rsidP="00214DCC">
      <w:pPr>
        <w:numPr>
          <w:ilvl w:val="0"/>
          <w:numId w:val="29"/>
        </w:numPr>
        <w:spacing w:before="120" w:after="0" w:line="278" w:lineRule="auto"/>
        <w:jc w:val="both"/>
        <w:rPr>
          <w:rFonts w:ascii="Arial" w:eastAsia="Aptos" w:hAnsi="Arial" w:cs="Arial"/>
          <w:kern w:val="2"/>
          <w14:ligatures w14:val="standardContextual"/>
        </w:rPr>
      </w:pPr>
      <w:r w:rsidRPr="00B01850">
        <w:rPr>
          <w:rFonts w:ascii="Arial" w:eastAsia="Aptos" w:hAnsi="Arial" w:cs="Arial"/>
          <w:b/>
          <w:bCs/>
          <w:kern w:val="2"/>
          <w14:ligatures w14:val="standardContextual"/>
        </w:rPr>
        <w:lastRenderedPageBreak/>
        <w:t>Fourniture de services/approvisionnements essentiels</w:t>
      </w:r>
      <w:r w:rsidRPr="00B01850">
        <w:rPr>
          <w:rFonts w:ascii="Arial" w:eastAsia="Aptos" w:hAnsi="Arial" w:cs="Arial"/>
          <w:kern w:val="2"/>
          <w14:ligatures w14:val="standardContextual"/>
        </w:rPr>
        <w:t xml:space="preserve"> : Un soutien sera fourni pour maintenir la livraison de services critiques et l'accessibilité des approvisionnements pendant et après les urgences. Il financera l'achat et la distribution/livraison des approvisionnements et services nécessaires pour répondre aux besoins immédiats des personnes affectées, tels que la fourniture d'eau, les approvisionnements de réponse d'urgence, les médicaments et équipements médicaux critiques, et les médicaments et fournitures vétérinaires tels que les kits de premiers secours pour animaux. Les approvisionnements peuvent inclure ceux critiques pour la réponse d'urgence, qui peuvent dépendre de la nature de la crise ; ils peuvent être obtenus auprès de fournisseurs locaux et internationaux pour garantir une livraison rapide aux zones les plus touchées.</w:t>
      </w:r>
    </w:p>
    <w:p w14:paraId="159111B5" w14:textId="32646C5D" w:rsidR="00A45080" w:rsidRPr="00B01850" w:rsidRDefault="00D53E84" w:rsidP="00214DCC">
      <w:pPr>
        <w:numPr>
          <w:ilvl w:val="0"/>
          <w:numId w:val="29"/>
        </w:numPr>
        <w:spacing w:before="120" w:after="0" w:line="278" w:lineRule="auto"/>
        <w:jc w:val="both"/>
        <w:rPr>
          <w:rFonts w:ascii="Arial" w:eastAsia="Aptos" w:hAnsi="Arial" w:cs="Arial"/>
          <w:kern w:val="2"/>
          <w14:ligatures w14:val="standardContextual"/>
        </w:rPr>
      </w:pPr>
      <w:r w:rsidRPr="00B01850">
        <w:rPr>
          <w:rFonts w:ascii="Arial" w:eastAsia="Aptos" w:hAnsi="Arial" w:cs="Arial"/>
          <w:b/>
          <w:bCs/>
          <w:kern w:val="2"/>
          <w14:ligatures w14:val="standardContextual"/>
        </w:rPr>
        <w:t>Coordination et gestion de la réponse d'urgence</w:t>
      </w:r>
      <w:r w:rsidRPr="00B01850">
        <w:rPr>
          <w:rFonts w:ascii="Arial" w:eastAsia="Aptos" w:hAnsi="Arial" w:cs="Arial"/>
          <w:kern w:val="2"/>
          <w14:ligatures w14:val="standardContextual"/>
        </w:rPr>
        <w:t xml:space="preserve"> : Un soutien sera fourni pour les dépenses opérationnelles supplémentaires encourues par le gouvernement pour les efforts de réponse et de récupération précoce, y compris, entre autres, les procédures d'évacuation, l'administration des abris, les coûts de transport supplémentaires (c'est-à-dire, l'essence et l'utilisation d'autres moyens de transport), les factures d'électricité accrues pour le secteur public, les heures supplémentaires du personnel et la location de machines légères et critiques (c'est-à-dire, les générateurs pour les opérations d'urgence et d'abri, l'équipement pour l'enlèvement des débris, etc.). Il est également prévu que l'assistance technique puisse devenir nécessaire, y compris la recherche d'expertise spécialisée internationale et locale (consultance) pour soutenir la récupération, fournir une assistance technique juste-à-temps, et/ou soutenir la préparation de documents techniques pour les achats. Une liste positive des dépenses éligibles est incluse dans le Manuel du CERP. La liste sera mise à jour selon les besoins et sera soumise à la révision de la Banque Mondiale.</w:t>
      </w:r>
    </w:p>
    <w:p w14:paraId="22BF8FA1" w14:textId="69EBE71C" w:rsidR="00FD4800" w:rsidRPr="00B01850" w:rsidRDefault="00FD4800" w:rsidP="00214DCC">
      <w:pPr>
        <w:pStyle w:val="ListParagraph"/>
        <w:numPr>
          <w:ilvl w:val="0"/>
          <w:numId w:val="30"/>
        </w:numPr>
        <w:spacing w:before="120" w:after="120"/>
        <w:contextualSpacing w:val="0"/>
        <w:rPr>
          <w:rFonts w:ascii="Arial" w:hAnsi="Arial" w:cs="Arial"/>
          <w:i/>
          <w:iCs/>
        </w:rPr>
      </w:pPr>
      <w:r w:rsidRPr="00B01850">
        <w:rPr>
          <w:rFonts w:ascii="Arial" w:hAnsi="Arial" w:cs="Arial"/>
          <w:i/>
          <w:iCs/>
        </w:rPr>
        <w:t>Bénéficiaires du projet</w:t>
      </w:r>
    </w:p>
    <w:p w14:paraId="6D8645C7" w14:textId="77777777" w:rsidR="00DE3C6D" w:rsidRPr="00B01850" w:rsidRDefault="00DE3C6D" w:rsidP="00DE3C6D">
      <w:pPr>
        <w:shd w:val="clear" w:color="auto" w:fill="FAFAFA"/>
        <w:spacing w:after="0" w:line="240" w:lineRule="auto"/>
        <w:jc w:val="both"/>
        <w:rPr>
          <w:rFonts w:ascii="Arial" w:eastAsia="Times New Roman" w:hAnsi="Arial" w:cs="Arial"/>
          <w:color w:val="424242"/>
        </w:rPr>
      </w:pPr>
      <w:r w:rsidRPr="00B01850">
        <w:rPr>
          <w:rFonts w:ascii="Arial" w:eastAsia="Times New Roman" w:hAnsi="Arial" w:cs="Arial"/>
          <w:color w:val="424242"/>
        </w:rPr>
        <w:t>Le projet a une portée nationale, avec des bénéficiaires déterminés par le Plan de Réponse aux Crises en fonction de la nature de chaque urgence et de l'étendue géographique de ses impacts. Les bénéficiaires incluront les citoyens guinéens affectés, en mettant l'accent sur les groupes vulnérables tels que les femmes, les enfants, les personnes âgées et les personnes handicapées. Ces groupes recevront un soutien ciblé pour améliorer leur sécurité, leur résilience et leur rétablissement pendant et après les crises.</w:t>
      </w:r>
    </w:p>
    <w:p w14:paraId="69A5CA4D" w14:textId="4923234F" w:rsidR="00A41A0D" w:rsidRPr="00E152C6" w:rsidRDefault="008B31A2" w:rsidP="00E152C6">
      <w:pPr>
        <w:pStyle w:val="Heading1"/>
        <w:jc w:val="both"/>
        <w:rPr>
          <w:rFonts w:ascii="Arial" w:hAnsi="Arial" w:cs="Arial"/>
          <w:color w:val="auto"/>
          <w:sz w:val="22"/>
          <w:szCs w:val="22"/>
        </w:rPr>
      </w:pPr>
      <w:bookmarkStart w:id="100" w:name="_Toc1012323662"/>
      <w:bookmarkStart w:id="101" w:name="_Toc197382153"/>
      <w:r w:rsidRPr="00E152C6">
        <w:rPr>
          <w:rFonts w:ascii="Arial" w:hAnsi="Arial" w:cs="Arial"/>
          <w:b/>
          <w:bCs/>
          <w:color w:val="auto"/>
          <w:sz w:val="22"/>
          <w:szCs w:val="22"/>
        </w:rPr>
        <w:t>SECTION 4</w:t>
      </w:r>
      <w:r w:rsidRPr="00E152C6">
        <w:rPr>
          <w:rFonts w:ascii="Arial" w:hAnsi="Arial" w:cs="Arial"/>
          <w:color w:val="auto"/>
          <w:sz w:val="22"/>
          <w:szCs w:val="22"/>
        </w:rPr>
        <w:t xml:space="preserve"> : </w:t>
      </w:r>
      <w:r w:rsidR="003C36B6" w:rsidRPr="00E152C6">
        <w:rPr>
          <w:rFonts w:ascii="Arial" w:hAnsi="Arial" w:cs="Arial"/>
          <w:color w:val="auto"/>
          <w:sz w:val="22"/>
          <w:szCs w:val="22"/>
        </w:rPr>
        <w:t>ANALYSE DU CADRE POLITIQUE, JURIDIQUE ET INSTITUTIONNEL NATIONAL</w:t>
      </w:r>
      <w:r w:rsidRPr="00E152C6">
        <w:rPr>
          <w:rFonts w:ascii="Arial" w:hAnsi="Arial" w:cs="Arial"/>
          <w:color w:val="auto"/>
          <w:sz w:val="22"/>
          <w:szCs w:val="22"/>
        </w:rPr>
        <w:t xml:space="preserve"> </w:t>
      </w:r>
      <w:r w:rsidR="003C36B6" w:rsidRPr="00E152C6">
        <w:rPr>
          <w:rFonts w:ascii="Arial" w:hAnsi="Arial" w:cs="Arial"/>
          <w:color w:val="auto"/>
          <w:sz w:val="22"/>
          <w:szCs w:val="22"/>
        </w:rPr>
        <w:t xml:space="preserve">EN MATIERE DE SAUVEGARDE </w:t>
      </w:r>
      <w:r w:rsidRPr="00E152C6">
        <w:rPr>
          <w:rFonts w:ascii="Arial" w:hAnsi="Arial" w:cs="Arial"/>
          <w:color w:val="auto"/>
          <w:sz w:val="22"/>
          <w:szCs w:val="22"/>
        </w:rPr>
        <w:t>ENVIRONNEMENTALE ET SOCIALE</w:t>
      </w:r>
      <w:bookmarkEnd w:id="100"/>
      <w:bookmarkEnd w:id="101"/>
    </w:p>
    <w:p w14:paraId="24ED137E" w14:textId="186A6203" w:rsidR="00B8680D" w:rsidRPr="00B01850" w:rsidRDefault="00B8680D" w:rsidP="413FC328">
      <w:pPr>
        <w:pBdr>
          <w:top w:val="nil"/>
          <w:left w:val="nil"/>
          <w:bottom w:val="nil"/>
          <w:right w:val="nil"/>
          <w:between w:val="nil"/>
        </w:pBdr>
        <w:spacing w:after="0" w:line="240" w:lineRule="auto"/>
        <w:jc w:val="both"/>
        <w:rPr>
          <w:rFonts w:ascii="Arial" w:hAnsi="Arial" w:cs="Arial"/>
          <w:color w:val="000000"/>
        </w:rPr>
      </w:pPr>
      <w:r w:rsidRPr="00B01850">
        <w:rPr>
          <w:rFonts w:ascii="Arial" w:hAnsi="Arial" w:cs="Arial"/>
          <w:color w:val="000000" w:themeColor="text1"/>
        </w:rPr>
        <w:t xml:space="preserve">Cette section examine le cadre politique et juridique des activités envisagées dans le cadre du CERP. </w:t>
      </w:r>
    </w:p>
    <w:p w14:paraId="3002DC2C" w14:textId="4A324243" w:rsidR="00F928B3" w:rsidRPr="00B01850" w:rsidRDefault="00F928B3" w:rsidP="00F928B3">
      <w:pPr>
        <w:pBdr>
          <w:top w:val="nil"/>
          <w:left w:val="nil"/>
          <w:bottom w:val="nil"/>
          <w:right w:val="nil"/>
          <w:between w:val="nil"/>
        </w:pBdr>
        <w:spacing w:after="0" w:line="240" w:lineRule="auto"/>
        <w:jc w:val="both"/>
        <w:rPr>
          <w:rFonts w:ascii="Arial" w:hAnsi="Arial" w:cs="Arial"/>
          <w:color w:val="000000"/>
        </w:rPr>
      </w:pPr>
      <w:r w:rsidRPr="00B01850">
        <w:rPr>
          <w:rFonts w:ascii="Arial" w:hAnsi="Arial" w:cs="Arial"/>
          <w:color w:val="000000"/>
        </w:rPr>
        <w:t>Deux types d’instruments juridiques doivent être pris en compte dans l’EIES des futurs sous projets du PAPN : les textes juridiques nationaux et les accords multilatéraux sur l’environnement et les ressources naturelles.</w:t>
      </w:r>
    </w:p>
    <w:p w14:paraId="307515CF" w14:textId="1ECDFC85" w:rsidR="004A4754" w:rsidRPr="00B01850" w:rsidRDefault="004A4754" w:rsidP="00214DCC">
      <w:pPr>
        <w:pStyle w:val="ListParagraph"/>
        <w:numPr>
          <w:ilvl w:val="0"/>
          <w:numId w:val="49"/>
        </w:numPr>
        <w:pBdr>
          <w:top w:val="nil"/>
          <w:left w:val="nil"/>
          <w:bottom w:val="nil"/>
          <w:right w:val="nil"/>
          <w:between w:val="nil"/>
        </w:pBdr>
        <w:spacing w:before="120" w:after="120" w:line="240" w:lineRule="auto"/>
        <w:contextualSpacing w:val="0"/>
        <w:jc w:val="both"/>
        <w:rPr>
          <w:rFonts w:ascii="Arial" w:hAnsi="Arial" w:cs="Arial"/>
          <w:b/>
          <w:bCs/>
          <w:color w:val="000000"/>
        </w:rPr>
      </w:pPr>
      <w:bookmarkStart w:id="102" w:name="_Hlk527248143"/>
      <w:r w:rsidRPr="00B01850">
        <w:rPr>
          <w:rFonts w:ascii="Arial" w:hAnsi="Arial" w:cs="Arial"/>
          <w:b/>
          <w:bCs/>
          <w:color w:val="000000"/>
        </w:rPr>
        <w:t xml:space="preserve">Cadre </w:t>
      </w:r>
      <w:r w:rsidR="00B136F8" w:rsidRPr="00B01850">
        <w:rPr>
          <w:rFonts w:ascii="Arial" w:hAnsi="Arial" w:cs="Arial"/>
          <w:b/>
          <w:bCs/>
          <w:color w:val="000000"/>
        </w:rPr>
        <w:t>P</w:t>
      </w:r>
      <w:r w:rsidRPr="00B01850">
        <w:rPr>
          <w:rFonts w:ascii="Arial" w:hAnsi="Arial" w:cs="Arial"/>
          <w:b/>
          <w:bCs/>
          <w:color w:val="000000"/>
        </w:rPr>
        <w:t>olitique</w:t>
      </w:r>
      <w:r w:rsidR="007708EF" w:rsidRPr="00B01850">
        <w:rPr>
          <w:rFonts w:ascii="Arial" w:hAnsi="Arial" w:cs="Arial"/>
          <w:b/>
          <w:bCs/>
          <w:color w:val="000000"/>
        </w:rPr>
        <w:t xml:space="preserve"> et stratégie</w:t>
      </w:r>
    </w:p>
    <w:p w14:paraId="0B6D7489" w14:textId="2561AFE0" w:rsidR="00087833" w:rsidRPr="00B01850" w:rsidRDefault="00087833" w:rsidP="00087833">
      <w:pPr>
        <w:pBdr>
          <w:top w:val="nil"/>
          <w:left w:val="nil"/>
          <w:bottom w:val="nil"/>
          <w:right w:val="nil"/>
          <w:between w:val="nil"/>
        </w:pBdr>
        <w:spacing w:after="0" w:line="240" w:lineRule="auto"/>
        <w:jc w:val="both"/>
        <w:rPr>
          <w:rFonts w:ascii="Arial" w:hAnsi="Arial" w:cs="Arial"/>
          <w:color w:val="000000"/>
        </w:rPr>
      </w:pPr>
      <w:r w:rsidRPr="00B01850">
        <w:rPr>
          <w:rFonts w:ascii="Arial" w:hAnsi="Arial" w:cs="Arial"/>
          <w:color w:val="000000"/>
        </w:rPr>
        <w:t xml:space="preserve">En Guinée, </w:t>
      </w:r>
      <w:r w:rsidR="007708EF" w:rsidRPr="00B01850">
        <w:rPr>
          <w:rFonts w:ascii="Arial" w:hAnsi="Arial" w:cs="Arial"/>
          <w:color w:val="000000"/>
        </w:rPr>
        <w:t xml:space="preserve">de nombreux documents de politique et stratégie pour prévenir </w:t>
      </w:r>
      <w:r w:rsidRPr="00B01850">
        <w:rPr>
          <w:rFonts w:ascii="Arial" w:hAnsi="Arial" w:cs="Arial"/>
          <w:color w:val="000000"/>
        </w:rPr>
        <w:t>et g</w:t>
      </w:r>
      <w:r w:rsidR="007708EF" w:rsidRPr="00B01850">
        <w:rPr>
          <w:rFonts w:ascii="Arial" w:hAnsi="Arial" w:cs="Arial"/>
          <w:color w:val="000000"/>
        </w:rPr>
        <w:t xml:space="preserve">érer </w:t>
      </w:r>
      <w:r w:rsidRPr="00B01850">
        <w:rPr>
          <w:rFonts w:ascii="Arial" w:hAnsi="Arial" w:cs="Arial"/>
          <w:color w:val="000000"/>
        </w:rPr>
        <w:t xml:space="preserve">des risques et </w:t>
      </w:r>
      <w:r w:rsidR="007708EF" w:rsidRPr="00B01850">
        <w:rPr>
          <w:rFonts w:ascii="Arial" w:hAnsi="Arial" w:cs="Arial"/>
          <w:color w:val="000000"/>
        </w:rPr>
        <w:t>catastrophes</w:t>
      </w:r>
      <w:r w:rsidRPr="00B01850">
        <w:rPr>
          <w:rFonts w:ascii="Arial" w:hAnsi="Arial" w:cs="Arial"/>
          <w:color w:val="000000"/>
        </w:rPr>
        <w:t xml:space="preserve"> environnementaux et sociaux s’appuient sur les textes indiqués ci-dessous : </w:t>
      </w:r>
    </w:p>
    <w:bookmarkEnd w:id="102"/>
    <w:p w14:paraId="265FC7D4" w14:textId="2BC5D538" w:rsidR="00555694" w:rsidRPr="00B01850" w:rsidRDefault="004A4754" w:rsidP="00214DCC">
      <w:pPr>
        <w:pStyle w:val="ListParagraph"/>
        <w:numPr>
          <w:ilvl w:val="0"/>
          <w:numId w:val="47"/>
        </w:numPr>
        <w:spacing w:after="0" w:line="240" w:lineRule="auto"/>
        <w:contextualSpacing w:val="0"/>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lastRenderedPageBreak/>
        <w:t xml:space="preserve">Lettre de politique nationale, de décentralisation et de développement local du 15 juin 2011, promulgué par le décret D/042/PRG/SGG du 28 mars </w:t>
      </w:r>
      <w:r w:rsidR="00555694" w:rsidRPr="00B01850">
        <w:rPr>
          <w:rFonts w:ascii="Arial" w:eastAsia="SimSun" w:hAnsi="Arial" w:cs="Arial"/>
          <w:color w:val="000000"/>
          <w:kern w:val="2"/>
          <w14:ligatures w14:val="standardContextual"/>
        </w:rPr>
        <w:t>2012 ;</w:t>
      </w:r>
    </w:p>
    <w:p w14:paraId="53679E58" w14:textId="77777777" w:rsidR="00555694" w:rsidRPr="00B01850" w:rsidRDefault="004A4754" w:rsidP="00214DCC">
      <w:pPr>
        <w:pStyle w:val="ListParagraph"/>
        <w:numPr>
          <w:ilvl w:val="0"/>
          <w:numId w:val="47"/>
        </w:numPr>
        <w:spacing w:after="0" w:line="240" w:lineRule="auto"/>
        <w:contextualSpacing w:val="0"/>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Politique National de l’Environnement de 201</w:t>
      </w:r>
      <w:r w:rsidR="00555694" w:rsidRPr="00B01850">
        <w:rPr>
          <w:rFonts w:ascii="Arial" w:eastAsia="SimSun" w:hAnsi="Arial" w:cs="Arial"/>
          <w:color w:val="000000"/>
          <w:kern w:val="2"/>
          <w14:ligatures w14:val="standardContextual"/>
        </w:rPr>
        <w:t>1 ;</w:t>
      </w:r>
    </w:p>
    <w:p w14:paraId="6BB3E651" w14:textId="4BCAC00F" w:rsidR="004A4754" w:rsidRPr="00B01850" w:rsidRDefault="004A4754" w:rsidP="00214DCC">
      <w:pPr>
        <w:pStyle w:val="ListParagraph"/>
        <w:numPr>
          <w:ilvl w:val="0"/>
          <w:numId w:val="47"/>
        </w:numPr>
        <w:spacing w:after="0" w:line="240" w:lineRule="auto"/>
        <w:contextualSpacing w:val="0"/>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Politique sanitaire de la Guinée</w:t>
      </w:r>
      <w:r w:rsidR="00555694" w:rsidRPr="00B01850">
        <w:rPr>
          <w:rFonts w:ascii="Arial" w:eastAsia="SimSun" w:hAnsi="Arial" w:cs="Arial"/>
          <w:color w:val="000000"/>
          <w:kern w:val="2"/>
          <w14:ligatures w14:val="standardContextual"/>
        </w:rPr>
        <w:t> ;</w:t>
      </w:r>
    </w:p>
    <w:p w14:paraId="6F7479DC" w14:textId="100C8556" w:rsidR="004A4754" w:rsidRPr="00B01850" w:rsidRDefault="004A4754" w:rsidP="00214DCC">
      <w:pPr>
        <w:pStyle w:val="ListParagraph"/>
        <w:numPr>
          <w:ilvl w:val="0"/>
          <w:numId w:val="48"/>
        </w:numPr>
        <w:spacing w:after="0" w:line="240" w:lineRule="auto"/>
        <w:contextualSpacing w:val="0"/>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Politique Nationale de l’Hygiène Publique</w:t>
      </w:r>
      <w:r w:rsidR="00555694" w:rsidRPr="00B01850">
        <w:rPr>
          <w:rFonts w:ascii="Arial" w:eastAsia="SimSun" w:hAnsi="Arial" w:cs="Arial"/>
          <w:color w:val="000000"/>
          <w:kern w:val="2"/>
          <w14:ligatures w14:val="standardContextual"/>
        </w:rPr>
        <w:t xml:space="preserve"> de</w:t>
      </w:r>
      <w:r w:rsidRPr="00B01850">
        <w:rPr>
          <w:rFonts w:ascii="Arial" w:eastAsia="SimSun" w:hAnsi="Arial" w:cs="Arial"/>
          <w:color w:val="000000"/>
          <w:kern w:val="2"/>
          <w14:ligatures w14:val="standardContextual"/>
        </w:rPr>
        <w:t xml:space="preserve"> 2010</w:t>
      </w:r>
      <w:r w:rsidR="00555694" w:rsidRPr="00B01850">
        <w:rPr>
          <w:rFonts w:ascii="Arial" w:eastAsia="SimSun" w:hAnsi="Arial" w:cs="Arial"/>
          <w:color w:val="000000"/>
          <w:kern w:val="2"/>
          <w14:ligatures w14:val="standardContextual"/>
        </w:rPr>
        <w:t> ;</w:t>
      </w:r>
    </w:p>
    <w:p w14:paraId="6273F30B" w14:textId="026EA81A" w:rsidR="004A4754" w:rsidRPr="00B01850" w:rsidRDefault="004A4754"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Politique Nationale de Sécurité et Santé au Travail</w:t>
      </w:r>
      <w:r w:rsidR="00555694" w:rsidRPr="00B01850">
        <w:rPr>
          <w:rFonts w:ascii="Arial" w:eastAsia="SimSun" w:hAnsi="Arial" w:cs="Arial"/>
          <w:color w:val="000000"/>
          <w:kern w:val="2"/>
          <w14:ligatures w14:val="standardContextual"/>
        </w:rPr>
        <w:t xml:space="preserve"> de </w:t>
      </w:r>
      <w:r w:rsidRPr="00B01850">
        <w:rPr>
          <w:rFonts w:ascii="Arial" w:eastAsia="SimSun" w:hAnsi="Arial" w:cs="Arial"/>
          <w:color w:val="000000"/>
          <w:kern w:val="2"/>
          <w14:ligatures w14:val="standardContextual"/>
        </w:rPr>
        <w:t>2024</w:t>
      </w:r>
      <w:r w:rsidR="00555694" w:rsidRPr="00B01850">
        <w:rPr>
          <w:rFonts w:ascii="Arial" w:eastAsia="SimSun" w:hAnsi="Arial" w:cs="Arial"/>
          <w:color w:val="000000"/>
          <w:kern w:val="2"/>
          <w14:ligatures w14:val="standardContextual"/>
        </w:rPr>
        <w:t> ;</w:t>
      </w:r>
      <w:r w:rsidRPr="00B01850">
        <w:rPr>
          <w:rFonts w:ascii="Arial" w:eastAsia="SimSun" w:hAnsi="Arial" w:cs="Arial"/>
          <w:color w:val="000000"/>
          <w:kern w:val="2"/>
          <w14:ligatures w14:val="standardContextual"/>
        </w:rPr>
        <w:t xml:space="preserve"> </w:t>
      </w:r>
    </w:p>
    <w:p w14:paraId="4B8AC81A" w14:textId="6AD1F6DF" w:rsidR="004A4754" w:rsidRPr="00B01850" w:rsidRDefault="004A4754"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bookmarkStart w:id="103" w:name="_3dy6vkm"/>
      <w:bookmarkEnd w:id="103"/>
      <w:r w:rsidRPr="00B01850">
        <w:rPr>
          <w:rFonts w:ascii="Arial" w:eastAsia="SimSun" w:hAnsi="Arial" w:cs="Arial"/>
          <w:color w:val="000000"/>
          <w:kern w:val="2"/>
          <w14:ligatures w14:val="standardContextual"/>
        </w:rPr>
        <w:t>Politique Nationale de Décentralisation</w:t>
      </w:r>
      <w:r w:rsidR="00555694" w:rsidRPr="00B01850">
        <w:rPr>
          <w:rFonts w:ascii="Arial" w:eastAsia="SimSun" w:hAnsi="Arial" w:cs="Arial"/>
          <w:color w:val="000000"/>
          <w:kern w:val="2"/>
          <w14:ligatures w14:val="standardContextual"/>
        </w:rPr>
        <w:t> ;</w:t>
      </w:r>
    </w:p>
    <w:p w14:paraId="11BF295F" w14:textId="746D663B" w:rsidR="00955BEE" w:rsidRPr="00B01850" w:rsidRDefault="00955BEE"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Politique Nationale de Gestion des Risques et des Catastrophes de 2016 par la DGPC ;</w:t>
      </w:r>
    </w:p>
    <w:p w14:paraId="55624FFA" w14:textId="178376C0" w:rsidR="004A4754" w:rsidRPr="00B01850" w:rsidRDefault="004A4754"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bookmarkStart w:id="104" w:name="_Hlk160550838"/>
      <w:r w:rsidRPr="00B01850">
        <w:rPr>
          <w:rFonts w:ascii="Arial" w:eastAsia="SimSun" w:hAnsi="Arial" w:cs="Arial"/>
          <w:color w:val="000000"/>
          <w:kern w:val="2"/>
          <w14:ligatures w14:val="standardContextual"/>
        </w:rPr>
        <w:t>Plan d’action national d’adaptation aux changements climatiques</w:t>
      </w:r>
      <w:bookmarkEnd w:id="104"/>
      <w:r w:rsidRPr="00B01850">
        <w:rPr>
          <w:rFonts w:ascii="Arial" w:eastAsia="SimSun" w:hAnsi="Arial" w:cs="Arial"/>
          <w:color w:val="000000"/>
          <w:kern w:val="2"/>
          <w14:ligatures w14:val="standardContextual"/>
        </w:rPr>
        <w:t xml:space="preserve"> (PANA 2007 - 2012)</w:t>
      </w:r>
    </w:p>
    <w:p w14:paraId="37A30276" w14:textId="39647BE6" w:rsidR="004A4754" w:rsidRPr="00B01850" w:rsidRDefault="004A4754"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Plan National de Conservation et d’Utilisation Durables de la Biodiversité</w:t>
      </w:r>
    </w:p>
    <w:p w14:paraId="02BE52A9" w14:textId="355C2990" w:rsidR="004A4754" w:rsidRPr="00B01850" w:rsidRDefault="00955BEE"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bookmarkStart w:id="105" w:name="_Hlk191817976"/>
      <w:r w:rsidRPr="00B01850">
        <w:rPr>
          <w:rFonts w:ascii="Arial" w:eastAsia="SimSun" w:hAnsi="Arial" w:cs="Arial"/>
          <w:color w:val="000000"/>
          <w:kern w:val="2"/>
          <w14:ligatures w14:val="standardContextual"/>
        </w:rPr>
        <w:t>P</w:t>
      </w:r>
      <w:r w:rsidR="004A4754" w:rsidRPr="00B01850">
        <w:rPr>
          <w:rFonts w:ascii="Arial" w:eastAsia="SimSun" w:hAnsi="Arial" w:cs="Arial"/>
          <w:color w:val="000000"/>
          <w:kern w:val="2"/>
          <w14:ligatures w14:val="standardContextual"/>
        </w:rPr>
        <w:t>lan National d’Action pour l’Environnement (PNAE</w:t>
      </w:r>
      <w:bookmarkEnd w:id="105"/>
      <w:r w:rsidR="004A4754" w:rsidRPr="00B01850">
        <w:rPr>
          <w:rFonts w:ascii="Arial" w:eastAsia="SimSun" w:hAnsi="Arial" w:cs="Arial"/>
          <w:color w:val="000000"/>
          <w:kern w:val="2"/>
          <w14:ligatures w14:val="standardContextual"/>
        </w:rPr>
        <w:t>)</w:t>
      </w:r>
      <w:r w:rsidR="00E916FD" w:rsidRPr="00B01850">
        <w:rPr>
          <w:rFonts w:ascii="Arial" w:eastAsia="SimSun" w:hAnsi="Arial" w:cs="Arial"/>
          <w:color w:val="000000"/>
          <w:kern w:val="2"/>
          <w14:ligatures w14:val="standardContextual"/>
        </w:rPr>
        <w:t xml:space="preserve"> adoption en septembre 1994</w:t>
      </w:r>
    </w:p>
    <w:p w14:paraId="78E9EA97" w14:textId="77777777" w:rsidR="00955BEE" w:rsidRPr="00B01850" w:rsidRDefault="00955BEE" w:rsidP="00214DCC">
      <w:pPr>
        <w:pStyle w:val="ListParagraph"/>
        <w:numPr>
          <w:ilvl w:val="0"/>
          <w:numId w:val="48"/>
        </w:numPr>
        <w:spacing w:after="0" w:line="278" w:lineRule="auto"/>
        <w:jc w:val="both"/>
        <w:rPr>
          <w:rFonts w:ascii="Arial" w:eastAsia="SimSun" w:hAnsi="Arial" w:cs="Arial"/>
          <w:color w:val="000000"/>
          <w:kern w:val="2"/>
          <w14:ligatures w14:val="standardContextual"/>
        </w:rPr>
      </w:pPr>
      <w:bookmarkStart w:id="106" w:name="_Hlk160551261"/>
      <w:r w:rsidRPr="00B01850">
        <w:rPr>
          <w:rFonts w:ascii="Arial" w:eastAsia="SimSun" w:hAnsi="Arial" w:cs="Arial"/>
          <w:color w:val="000000"/>
          <w:kern w:val="2"/>
          <w14:ligatures w14:val="standardContextual"/>
        </w:rPr>
        <w:t>Stratégie Nationale sur les Changements Climatiques</w:t>
      </w:r>
      <w:bookmarkEnd w:id="106"/>
      <w:r w:rsidRPr="00B01850">
        <w:rPr>
          <w:rFonts w:ascii="Arial" w:eastAsia="SimSun" w:hAnsi="Arial" w:cs="Arial"/>
          <w:color w:val="000000"/>
          <w:kern w:val="2"/>
          <w14:ligatures w14:val="standardContextual"/>
        </w:rPr>
        <w:t xml:space="preserve"> (2019 – 2030)</w:t>
      </w:r>
    </w:p>
    <w:p w14:paraId="40D99BCA" w14:textId="77777777" w:rsidR="00955BEE" w:rsidRPr="00B01850" w:rsidRDefault="00955BEE"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Stratégie Nationale du Développement Durable (SNDD-RG : 2019-2030)</w:t>
      </w:r>
    </w:p>
    <w:p w14:paraId="773A74D0" w14:textId="77777777" w:rsidR="00955BEE" w:rsidRPr="00B01850" w:rsidRDefault="00955BEE"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Stratégie Nationale de Réduction des risques de catastrophes 2024-2030</w:t>
      </w:r>
    </w:p>
    <w:p w14:paraId="75CA4BA2" w14:textId="78475F49" w:rsidR="00955BEE" w:rsidRPr="00B01850" w:rsidRDefault="00955BEE"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Stratégie Nationale de Réduction des Risques et Catastrophes, élaborés en 2018 par le SNGCUE ;</w:t>
      </w:r>
    </w:p>
    <w:p w14:paraId="5A75D4C5" w14:textId="77777777" w:rsidR="004A4754" w:rsidRPr="00B01850" w:rsidRDefault="004A4754"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Programme de référence intermédiaire de la transition (2022-2025) </w:t>
      </w:r>
    </w:p>
    <w:p w14:paraId="0BEA3682" w14:textId="31E2AE52" w:rsidR="004A4754" w:rsidRPr="00B01850" w:rsidRDefault="004A4754" w:rsidP="00214DCC">
      <w:pPr>
        <w:pStyle w:val="ListParagraph"/>
        <w:numPr>
          <w:ilvl w:val="0"/>
          <w:numId w:val="48"/>
        </w:numPr>
        <w:spacing w:after="0" w:line="278" w:lineRule="auto"/>
        <w:jc w:val="both"/>
        <w:rPr>
          <w:rFonts w:ascii="Arial" w:eastAsia="SimSun" w:hAnsi="Arial" w:cs="Arial"/>
          <w:color w:val="000000"/>
          <w:kern w:val="2"/>
          <w14:ligatures w14:val="standardContextual"/>
        </w:rPr>
      </w:pPr>
      <w:bookmarkStart w:id="107" w:name="_1t3h5sf"/>
      <w:bookmarkEnd w:id="107"/>
      <w:r w:rsidRPr="00B01850">
        <w:rPr>
          <w:rFonts w:ascii="Arial" w:eastAsia="SimSun" w:hAnsi="Arial" w:cs="Arial"/>
          <w:color w:val="000000"/>
          <w:kern w:val="2"/>
          <w14:ligatures w14:val="standardContextual"/>
        </w:rPr>
        <w:t xml:space="preserve">Plan d’Action de la promotion des femmes </w:t>
      </w:r>
      <w:r w:rsidR="00E916FD" w:rsidRPr="00B01850">
        <w:rPr>
          <w:rFonts w:ascii="Arial" w:eastAsia="SimSun" w:hAnsi="Arial" w:cs="Arial"/>
          <w:color w:val="000000"/>
          <w:kern w:val="2"/>
          <w14:ligatures w14:val="standardContextual"/>
        </w:rPr>
        <w:t>Beijing en septembre 1995</w:t>
      </w:r>
    </w:p>
    <w:p w14:paraId="4C82DAA6" w14:textId="6F66B45F" w:rsidR="004A4754" w:rsidRPr="00B01850" w:rsidRDefault="004A4754" w:rsidP="00214DCC">
      <w:pPr>
        <w:pStyle w:val="ListParagraph"/>
        <w:numPr>
          <w:ilvl w:val="0"/>
          <w:numId w:val="48"/>
        </w:numPr>
        <w:spacing w:after="0" w:line="278" w:lineRule="auto"/>
        <w:jc w:val="both"/>
        <w:rPr>
          <w:rFonts w:ascii="Arial" w:eastAsia="SimSun" w:hAnsi="Arial" w:cs="Arial"/>
          <w:color w:val="000000"/>
          <w:kern w:val="2"/>
          <w14:ligatures w14:val="standardContextual"/>
        </w:rPr>
      </w:pPr>
      <w:bookmarkStart w:id="108" w:name="_4d34og8"/>
      <w:bookmarkEnd w:id="108"/>
      <w:r w:rsidRPr="00B01850">
        <w:rPr>
          <w:rFonts w:ascii="Arial" w:eastAsia="SimSun" w:hAnsi="Arial" w:cs="Arial"/>
          <w:color w:val="000000"/>
          <w:kern w:val="2"/>
          <w14:ligatures w14:val="standardContextual"/>
        </w:rPr>
        <w:t>Stratégie Nationale et le Plan d’Action pour la Conservation et l’utilisation durable de la diversité biologique</w:t>
      </w:r>
      <w:bookmarkStart w:id="109" w:name="_2s8eyo1"/>
      <w:bookmarkEnd w:id="109"/>
    </w:p>
    <w:p w14:paraId="04A0701C" w14:textId="77777777" w:rsidR="003C36B6" w:rsidRPr="00B01850" w:rsidRDefault="003C36B6"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Plan d’action urgente aux inondations</w:t>
      </w:r>
    </w:p>
    <w:p w14:paraId="19F99128" w14:textId="77777777" w:rsidR="003C36B6" w:rsidRPr="00B01850" w:rsidRDefault="003C36B6"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Plan national de préparation et de réponse aux urgences sanitaires</w:t>
      </w:r>
    </w:p>
    <w:p w14:paraId="146E8239" w14:textId="77777777" w:rsidR="003C36B6" w:rsidRPr="00B01850" w:rsidRDefault="003C36B6" w:rsidP="00214DCC">
      <w:pPr>
        <w:pStyle w:val="ListParagraph"/>
        <w:numPr>
          <w:ilvl w:val="0"/>
          <w:numId w:val="4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Plan national de contingence </w:t>
      </w:r>
      <w:proofErr w:type="spellStart"/>
      <w:r w:rsidRPr="00B01850">
        <w:rPr>
          <w:rFonts w:ascii="Arial" w:eastAsia="SimSun" w:hAnsi="Arial" w:cs="Arial"/>
          <w:color w:val="000000"/>
          <w:kern w:val="2"/>
          <w14:ligatures w14:val="standardContextual"/>
        </w:rPr>
        <w:t>multi-risques</w:t>
      </w:r>
      <w:proofErr w:type="spellEnd"/>
      <w:r w:rsidRPr="00B01850">
        <w:rPr>
          <w:rFonts w:ascii="Arial" w:eastAsia="SimSun" w:hAnsi="Arial" w:cs="Arial"/>
          <w:color w:val="000000"/>
          <w:kern w:val="2"/>
          <w14:ligatures w14:val="standardContextual"/>
        </w:rPr>
        <w:t xml:space="preserve"> adopté en 2024</w:t>
      </w:r>
    </w:p>
    <w:p w14:paraId="4D3AE984" w14:textId="662AEC61" w:rsidR="003D179C" w:rsidRPr="00B01850" w:rsidRDefault="006C00B5" w:rsidP="00214DCC">
      <w:pPr>
        <w:pStyle w:val="Body"/>
        <w:numPr>
          <w:ilvl w:val="0"/>
          <w:numId w:val="50"/>
        </w:numPr>
        <w:spacing w:before="120" w:after="120" w:line="240" w:lineRule="auto"/>
        <w:rPr>
          <w:b/>
          <w:bCs/>
          <w:lang w:val="fr-FR"/>
        </w:rPr>
      </w:pPr>
      <w:r w:rsidRPr="00B01850">
        <w:rPr>
          <w:rFonts w:ascii="Arial" w:eastAsiaTheme="majorEastAsia" w:hAnsi="Arial" w:cs="Arial"/>
          <w:b/>
          <w:bCs/>
          <w:color w:val="auto"/>
          <w:lang w:val="fr-FR"/>
        </w:rPr>
        <w:t>Cadre juridique national</w:t>
      </w:r>
    </w:p>
    <w:p w14:paraId="03ADD720" w14:textId="77777777" w:rsidR="00AB3252"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En vue d’asseoir les fondements de la protection de l’environnement et garantir la mise en œuvre d’un développement durable, la République de Guinée a adopté un ensemble de textes législatifs en faveur de la protection et de la gestion durable de l’environnement et des ressources naturelles.</w:t>
      </w:r>
    </w:p>
    <w:p w14:paraId="681D49DD" w14:textId="058613AF"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 code de l’environnement, promulgué par le Décret D/2019/221/PRG/SGG du 26 juin 2019, constitue dans ce sens, le cadre réglementaire général de référence en la matière. Mais il est important de rappeler que la norme suprême au niveau national a accordé une place importante à l’environnement. Il s’agit de la constitution.</w:t>
      </w:r>
    </w:p>
    <w:p w14:paraId="46A7861E"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 charte de la transition</w:t>
      </w:r>
    </w:p>
    <w:p w14:paraId="3E59458F" w14:textId="374D1885" w:rsidR="003D179C" w:rsidRPr="00B01850" w:rsidRDefault="003D179C" w:rsidP="008D2501">
      <w:pPr>
        <w:spacing w:after="0" w:line="240" w:lineRule="auto"/>
        <w:jc w:val="both"/>
        <w:rPr>
          <w:rFonts w:ascii="Arial" w:eastAsia="Calibri" w:hAnsi="Arial" w:cs="Arial"/>
          <w:color w:val="000000"/>
          <w:kern w:val="2"/>
          <w14:ligatures w14:val="standardContextual"/>
        </w:rPr>
      </w:pPr>
      <w:r w:rsidRPr="00B01850">
        <w:rPr>
          <w:rFonts w:ascii="Arial" w:eastAsia="Calibri" w:hAnsi="Arial" w:cs="Arial"/>
          <w:color w:val="000000"/>
          <w:kern w:val="2"/>
          <w14:ligatures w14:val="standardContextual"/>
        </w:rPr>
        <w:t xml:space="preserve">La charte de la transition signée le 27 septembre 2021, équivaut à la loi fondamentale de la république de Guinée durant une période de transition. </w:t>
      </w:r>
      <w:r w:rsidR="00BE2F14" w:rsidRPr="00B01850">
        <w:rPr>
          <w:rFonts w:ascii="Arial" w:eastAsia="Calibri" w:hAnsi="Arial" w:cs="Arial"/>
          <w:color w:val="000000"/>
          <w:kern w:val="2"/>
          <w14:ligatures w14:val="standardContextual"/>
        </w:rPr>
        <w:t xml:space="preserve"> </w:t>
      </w:r>
      <w:r w:rsidRPr="00B01850">
        <w:rPr>
          <w:rFonts w:ascii="Arial" w:eastAsia="Calibri" w:hAnsi="Arial" w:cs="Arial"/>
          <w:color w:val="000000"/>
          <w:kern w:val="2"/>
          <w14:ligatures w14:val="standardContextual"/>
        </w:rPr>
        <w:t>En son article 74, elle maintien en vigueur les traités et accords internationaux conclus par la république de Guinée et régulièrement ratifiés.</w:t>
      </w:r>
    </w:p>
    <w:p w14:paraId="01CE4A1B" w14:textId="77777777" w:rsidR="003D179C" w:rsidRPr="00B01850" w:rsidRDefault="003D179C" w:rsidP="00A06CC5">
      <w:pPr>
        <w:spacing w:before="120"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Cette charte ne consacre pas de dispositions légales à la protection de l’environnement mais, suite à la reconduction de certaines lois de la constitution de 2020, qui avait des dispositions légales consacrées à la protection de l’environnement, nous allons rappeler quelques-unes de ces dispositions :</w:t>
      </w:r>
    </w:p>
    <w:p w14:paraId="52B0E406" w14:textId="362DA96E"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Sur la protection de l’environnement</w:t>
      </w:r>
    </w:p>
    <w:p w14:paraId="48CE7F13" w14:textId="21EE4BBD" w:rsidR="003D179C" w:rsidRPr="00B01850" w:rsidRDefault="003D179C" w:rsidP="008D2501">
      <w:pPr>
        <w:spacing w:after="0" w:line="240" w:lineRule="auto"/>
        <w:jc w:val="both"/>
        <w:rPr>
          <w:rFonts w:ascii="Arial" w:eastAsia="SimSun" w:hAnsi="Arial" w:cs="Arial"/>
          <w:color w:val="000000"/>
          <w:kern w:val="2"/>
          <w14:ligatures w14:val="standardContextual"/>
        </w:rPr>
      </w:pPr>
      <w:bookmarkStart w:id="110" w:name="_26in1rg"/>
      <w:bookmarkEnd w:id="110"/>
      <w:r w:rsidRPr="00B01850">
        <w:rPr>
          <w:rFonts w:ascii="Arial" w:eastAsia="SimSun" w:hAnsi="Arial" w:cs="Arial"/>
          <w:color w:val="000000"/>
          <w:kern w:val="2"/>
          <w14:ligatures w14:val="standardContextual"/>
        </w:rPr>
        <w:t>La législation environnementale est régie par le code de l’environnement (Décret N° D/2019/221/PRG/SGG portant promulgation de la loi N° L/2029/0034/AN/ du 04 juillet 2019 portant code de l’environnement en république de Guinée.</w:t>
      </w:r>
    </w:p>
    <w:p w14:paraId="7EC885DA" w14:textId="77777777" w:rsidR="00BF244C" w:rsidRPr="00B01850" w:rsidRDefault="00BF244C">
      <w:pPr>
        <w:rPr>
          <w:rFonts w:ascii="Arial" w:eastAsia="SimSun" w:hAnsi="Arial" w:cs="Arial"/>
          <w:color w:val="000000"/>
          <w:kern w:val="2"/>
          <w14:ligatures w14:val="standardContextual"/>
        </w:rPr>
      </w:pPr>
      <w:bookmarkStart w:id="111" w:name="_Hlk192739078"/>
      <w:r w:rsidRPr="00B01850">
        <w:rPr>
          <w:rFonts w:ascii="Arial" w:eastAsia="SimSun" w:hAnsi="Arial" w:cs="Arial"/>
          <w:color w:val="000000"/>
          <w:kern w:val="2"/>
          <w14:ligatures w14:val="standardContextual"/>
        </w:rPr>
        <w:br w:type="page"/>
      </w:r>
    </w:p>
    <w:p w14:paraId="2682FD66" w14:textId="37DB9AA5"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lastRenderedPageBreak/>
        <w:t>Le Code Forestier</w:t>
      </w:r>
    </w:p>
    <w:p w14:paraId="5173FF44" w14:textId="5E96C9C2"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Ce code est promulgué par le Décret D/2017/338/PRG/SGG du 28 décembre 2017, Loi L/2017/060/AN du 22 décembre 2017 ; fixe les principes fondamentaux de gestion durable et de valorisation des ressources forestières et vise à protéger et à valoriser lesdites ressources forestières</w:t>
      </w:r>
      <w:bookmarkEnd w:id="111"/>
      <w:r w:rsidRPr="00B01850">
        <w:rPr>
          <w:rFonts w:ascii="Arial" w:eastAsia="SimSun" w:hAnsi="Arial" w:cs="Arial"/>
          <w:color w:val="000000"/>
          <w:kern w:val="2"/>
          <w14:ligatures w14:val="standardContextual"/>
        </w:rPr>
        <w:t>.</w:t>
      </w:r>
    </w:p>
    <w:p w14:paraId="6A14AD8A"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 Code de protection de la faune sauvage et de réglementation de la chasse</w:t>
      </w:r>
    </w:p>
    <w:p w14:paraId="1DBA3751" w14:textId="1A5567AD"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 loi ordinaire N° 2018/0049/AN portant Code de protection de la faune sauvage et de réglementation de la chasse a pour objet de fixer les principes fondamentaux destinés à assurer la protection, la conservation et la gestion de la faune sauvage et ses habitats, de reconnaître le droit de chasse et d'en guider la pratique.</w:t>
      </w:r>
    </w:p>
    <w:p w14:paraId="0BE8EA2F"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 Code Foncier et Domanial</w:t>
      </w:r>
    </w:p>
    <w:p w14:paraId="420FEAD2" w14:textId="52405CB9"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Promulgué par ordonnance N° 92/019/PRG/SGG du 30 mars 1992, le Code Foncier et Domanial et le code civil constituent la base légale de l'administration des terres tant privées que publiques en République de Guinée. </w:t>
      </w:r>
    </w:p>
    <w:p w14:paraId="17C27877"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 Code révisé des Collectivités Locales </w:t>
      </w:r>
    </w:p>
    <w:p w14:paraId="6D88A4AC" w14:textId="476AF4D8" w:rsidR="003D179C" w:rsidRPr="00B01850" w:rsidRDefault="003D179C" w:rsidP="008D2501">
      <w:pPr>
        <w:spacing w:after="0" w:line="240" w:lineRule="auto"/>
        <w:jc w:val="both"/>
        <w:rPr>
          <w:rFonts w:ascii="Arial" w:eastAsia="Calibri" w:hAnsi="Arial" w:cs="Arial"/>
          <w:color w:val="000000"/>
          <w:kern w:val="2"/>
          <w14:ligatures w14:val="standardContextual"/>
        </w:rPr>
      </w:pPr>
      <w:r w:rsidRPr="00B01850">
        <w:rPr>
          <w:rFonts w:ascii="Arial" w:eastAsia="Calibri" w:hAnsi="Arial" w:cs="Arial"/>
          <w:color w:val="000000"/>
          <w:kern w:val="2"/>
          <w14:ligatures w14:val="standardContextual"/>
        </w:rPr>
        <w:t>La Loi ordinaire L/2017/040/AN du 26 Mai 2017 portant code révisé des collectivités locales traite l’ensemble des questions liées aux collectivités locales.</w:t>
      </w:r>
    </w:p>
    <w:p w14:paraId="585D2A9B"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 Code de santé publique </w:t>
      </w:r>
    </w:p>
    <w:p w14:paraId="09386CA1"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La loi L 97/021/AN du 19 juin 1997 portant Code de Santé publique assure la protection et la promotion de la santé, les droits et les obligations de l’individu, de la famille et de la collectivité sur l’ensemble du territoire de la République de Guinée. </w:t>
      </w:r>
    </w:p>
    <w:p w14:paraId="54AC1AAE"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 Décret D/253/24/PRG sur la santé au travail crée un service national de la médecine du travail au sein du Ministère de la Santé et de l’Hygiène publique et définit les rôles et les responsabilités de ce département. Ce décret fixe également plusieurs exigences concernant le suivi de la santé des employés et liées aux examens médicaux. </w:t>
      </w:r>
    </w:p>
    <w:p w14:paraId="698855E8"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bookmarkStart w:id="112" w:name="_Hlk192739000"/>
      <w:r w:rsidRPr="00B01850">
        <w:rPr>
          <w:rFonts w:ascii="Arial" w:eastAsia="SimSun" w:hAnsi="Arial" w:cs="Arial"/>
          <w:color w:val="000000"/>
          <w:kern w:val="2"/>
          <w14:ligatures w14:val="standardContextual"/>
        </w:rPr>
        <w:t>Le Code de la Construction et de l’Habitat</w:t>
      </w:r>
    </w:p>
    <w:p w14:paraId="2E54972C"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La Loi L/2015/020/AN du 13 août 2015 portant code de la construction et de l’habitat établit les responsabilités de l’État Guinéen dans la gestion et la mise en valeur du territoire national. </w:t>
      </w:r>
    </w:p>
    <w:bookmarkEnd w:id="112"/>
    <w:p w14:paraId="7E38506B"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Outre le Code de l’urbanisme, le Gouvernement Guinéen a publié la déclaration de politique foncière en milieu rural (Décret D/2001/037/PRG), qui vise à favoriser le développement économique et social rural en garantissant les droits fonciers et les règles favorables au développement agricole dans les zones rurales, en améliorant la gestion durable des ressources et en permettant le développement d’un marché des terres transparents et équitables. Ce décret constitue le cadre stratégique de la gestion des terres rurales. </w:t>
      </w:r>
    </w:p>
    <w:p w14:paraId="1E618072"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 Code de l’urbanisme</w:t>
      </w:r>
    </w:p>
    <w:p w14:paraId="1D895D33"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La loi du 13 juillet 1998 portant code de l’urbanisme complète certaines dispositions du </w:t>
      </w:r>
      <w:bookmarkStart w:id="113" w:name="_Hlk149994140"/>
      <w:r w:rsidRPr="00B01850">
        <w:rPr>
          <w:rFonts w:ascii="Arial" w:eastAsia="SimSun" w:hAnsi="Arial" w:cs="Arial"/>
          <w:color w:val="000000"/>
          <w:kern w:val="2"/>
          <w14:ligatures w14:val="standardContextual"/>
        </w:rPr>
        <w:t>CFD</w:t>
      </w:r>
      <w:bookmarkEnd w:id="113"/>
      <w:r w:rsidRPr="00B01850">
        <w:rPr>
          <w:rFonts w:ascii="Arial" w:eastAsia="SimSun" w:hAnsi="Arial" w:cs="Arial"/>
          <w:color w:val="000000"/>
          <w:kern w:val="2"/>
          <w14:ligatures w14:val="standardContextual"/>
        </w:rPr>
        <w:t xml:space="preserve">. Elle précise que les règles générales qui s’appliquent à l’utilisation du sol sont déterminées par le règlement national d’urbanisme. Il s’agit des règles que doivent respecter les intervenants aussi bien publics que privés. À ce titre, le </w:t>
      </w:r>
      <w:bookmarkStart w:id="114" w:name="_Hlk145715694"/>
      <w:bookmarkStart w:id="115" w:name="_Hlk149994164"/>
      <w:r w:rsidRPr="00B01850">
        <w:rPr>
          <w:rFonts w:ascii="Arial" w:eastAsia="SimSun" w:hAnsi="Arial" w:cs="Arial"/>
          <w:color w:val="000000"/>
          <w:kern w:val="2"/>
          <w14:ligatures w14:val="standardContextual"/>
        </w:rPr>
        <w:t>Schéma National d’Aménagement du Territoire</w:t>
      </w:r>
      <w:bookmarkEnd w:id="114"/>
      <w:r w:rsidRPr="00B01850">
        <w:rPr>
          <w:rFonts w:ascii="Arial" w:eastAsia="SimSun" w:hAnsi="Arial" w:cs="Arial"/>
          <w:color w:val="000000"/>
          <w:kern w:val="2"/>
          <w14:ligatures w14:val="standardContextual"/>
        </w:rPr>
        <w:t xml:space="preserve"> (SNAT) </w:t>
      </w:r>
      <w:bookmarkEnd w:id="115"/>
      <w:r w:rsidRPr="00B01850">
        <w:rPr>
          <w:rFonts w:ascii="Arial" w:eastAsia="SimSun" w:hAnsi="Arial" w:cs="Arial"/>
          <w:color w:val="000000"/>
          <w:kern w:val="2"/>
          <w14:ligatures w14:val="standardContextual"/>
        </w:rPr>
        <w:t xml:space="preserve">fixe les directives en matière d’aménagement du territoire à côté des autres instruments de planification que sont les </w:t>
      </w:r>
      <w:bookmarkStart w:id="116" w:name="_Hlk160552588"/>
      <w:bookmarkStart w:id="117" w:name="_Hlk149994203"/>
      <w:r w:rsidRPr="00B01850">
        <w:rPr>
          <w:rFonts w:ascii="Arial" w:eastAsia="SimSun" w:hAnsi="Arial" w:cs="Arial"/>
          <w:color w:val="000000"/>
          <w:kern w:val="2"/>
          <w14:ligatures w14:val="standardContextual"/>
        </w:rPr>
        <w:t>Plan d’Aménagement Régionaux</w:t>
      </w:r>
      <w:bookmarkEnd w:id="116"/>
      <w:r w:rsidRPr="00B01850">
        <w:rPr>
          <w:rFonts w:ascii="Arial" w:eastAsia="SimSun" w:hAnsi="Arial" w:cs="Arial"/>
          <w:color w:val="000000"/>
          <w:kern w:val="2"/>
          <w14:ligatures w14:val="standardContextual"/>
        </w:rPr>
        <w:t xml:space="preserve"> (PDAR</w:t>
      </w:r>
      <w:bookmarkEnd w:id="117"/>
      <w:r w:rsidRPr="00B01850">
        <w:rPr>
          <w:rFonts w:ascii="Arial" w:eastAsia="SimSun" w:hAnsi="Arial" w:cs="Arial"/>
          <w:color w:val="000000"/>
          <w:kern w:val="2"/>
          <w14:ligatures w14:val="standardContextual"/>
        </w:rPr>
        <w:t xml:space="preserve">), les </w:t>
      </w:r>
      <w:bookmarkStart w:id="118" w:name="_Hlk160552732"/>
      <w:bookmarkStart w:id="119" w:name="_Hlk149994236"/>
      <w:r w:rsidRPr="00B01850">
        <w:rPr>
          <w:rFonts w:ascii="Arial" w:eastAsia="SimSun" w:hAnsi="Arial" w:cs="Arial"/>
          <w:color w:val="000000"/>
          <w:kern w:val="2"/>
          <w14:ligatures w14:val="standardContextual"/>
        </w:rPr>
        <w:t>Directives Territoriales d’Aménagement</w:t>
      </w:r>
      <w:bookmarkEnd w:id="118"/>
      <w:r w:rsidRPr="00B01850">
        <w:rPr>
          <w:rFonts w:ascii="Arial" w:eastAsia="SimSun" w:hAnsi="Arial" w:cs="Arial"/>
          <w:color w:val="000000"/>
          <w:kern w:val="2"/>
          <w14:ligatures w14:val="standardContextual"/>
        </w:rPr>
        <w:t xml:space="preserve"> (DTA), </w:t>
      </w:r>
      <w:bookmarkEnd w:id="119"/>
      <w:r w:rsidRPr="00B01850">
        <w:rPr>
          <w:rFonts w:ascii="Arial" w:eastAsia="SimSun" w:hAnsi="Arial" w:cs="Arial"/>
          <w:color w:val="000000"/>
          <w:kern w:val="2"/>
          <w14:ligatures w14:val="standardContextual"/>
        </w:rPr>
        <w:t>les Schémas Directeurs d’Urbanisme et les Plans d’Aménagement Détaillé. L’étude s’est inscrite dans le respect des directives en matière d’aménagement du territoire.</w:t>
      </w:r>
    </w:p>
    <w:p w14:paraId="39C92174"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lastRenderedPageBreak/>
        <w:t xml:space="preserve">Le Code Pastoral </w:t>
      </w:r>
    </w:p>
    <w:p w14:paraId="74153442"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bookmarkStart w:id="120" w:name="_Hlk188439687"/>
      <w:r w:rsidRPr="00B01850">
        <w:rPr>
          <w:rFonts w:ascii="Arial" w:eastAsia="SimSun" w:hAnsi="Arial" w:cs="Arial"/>
          <w:color w:val="000000"/>
          <w:kern w:val="2"/>
          <w14:ligatures w14:val="standardContextual"/>
        </w:rPr>
        <w:t>La Loi L/2024/008/CNT du 07 février 2024 portant code pastoral définit les règles générales régissant la pratique de l’élevage (l’organisation de l’exploitation des ressources naturelles à des fins d’élevage, à la garantie des droits d’usage pastoraux, aux règlements des différends entre les éleveurs, les agriculteurs et autres professionnels utilisateurs des ressources naturelles).</w:t>
      </w:r>
    </w:p>
    <w:bookmarkEnd w:id="120"/>
    <w:p w14:paraId="00DF2C3D"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 Code du Travail</w:t>
      </w:r>
    </w:p>
    <w:p w14:paraId="0CB0D07E"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 Loi L/2014/072/CNT du 10 janvier 2014 portant code du travail est le principal texte régissant les questions liées à l’emploi et aux relations de travail en République de Guinée. Il définit les exigences quant à la santé et la sécurité des employés et des dispositions relatives au travail temporaire et la discrimination au travail. Il s’applique également à tous les employés du secteur privé et interdit le travail forcé ou obligatoire. L’emploi étant une préoccupation majeure des jeunes des différentes localités couvertes par le projet, la prise en compte des dispositions de ce présent code est nécessaire. Le recrutement des jeunes doit être inscrit dans la politique d’emploi du projet.</w:t>
      </w:r>
    </w:p>
    <w:p w14:paraId="4585C987"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 Code de la Sécurité Sociale</w:t>
      </w:r>
    </w:p>
    <w:p w14:paraId="3891244C"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 Loi L/94/006/CTRN du 14 février 1994 instituant le Code de la Sécurité Sociale, régit la protection des travailleurs et de leur famille contre la pauvreté économique ou sociale et contre les difficultés pouvant découler d’une perte significative de revenus. Le projet devra dans sa politique, promouvoir la protection des travailleurs et de leur famille conformément aux dispositions du présent code.</w:t>
      </w:r>
    </w:p>
    <w:p w14:paraId="04F0D934" w14:textId="79135322"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 Code de l’Eau </w:t>
      </w:r>
    </w:p>
    <w:p w14:paraId="26C94E93"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b/>
          <w:bCs/>
          <w:color w:val="000000"/>
          <w:kern w:val="2"/>
          <w14:ligatures w14:val="standardContextual"/>
        </w:rPr>
        <w:t>Loi N°L/94/005/CTRN du 15 février 1994</w:t>
      </w:r>
      <w:r w:rsidRPr="00B01850">
        <w:rPr>
          <w:rFonts w:ascii="Arial" w:eastAsia="SimSun" w:hAnsi="Arial" w:cs="Arial"/>
          <w:color w:val="000000"/>
          <w:kern w:val="2"/>
          <w14:ligatures w14:val="standardContextual"/>
        </w:rPr>
        <w:t xml:space="preserve"> portant le code de l’eau vient préciser la place de la ressource en eau dans la société. Elle définit le cadre juridique et le mode de gestion de cette ressource. </w:t>
      </w:r>
    </w:p>
    <w:p w14:paraId="13D8171A"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Cette loi est constituée essentiellement par des dispositions relatives à la gestion rationnelle des ressources en eau du pays avec comme unité de base définie. Les ressources en eau de la République de Guinée font partie intégrante du Domaine Public de l’État. (Art. 4). </w:t>
      </w:r>
    </w:p>
    <w:p w14:paraId="0DC658D4"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b/>
          <w:bCs/>
          <w:color w:val="000000"/>
          <w:kern w:val="2"/>
          <w14:ligatures w14:val="standardContextual"/>
        </w:rPr>
        <w:t>La Loi L/2005/006/AN du 04 juillet 2005 </w:t>
      </w:r>
      <w:r w:rsidRPr="00B01850">
        <w:rPr>
          <w:rFonts w:ascii="Arial" w:eastAsia="SimSun" w:hAnsi="Arial" w:cs="Arial"/>
          <w:color w:val="000000"/>
          <w:kern w:val="2"/>
          <w14:ligatures w14:val="standardContextual"/>
        </w:rPr>
        <w:t xml:space="preserve">; cette loi fixe et promulgue les redevances dues au titre des prélèvements et de la pollution des ressources en eau. </w:t>
      </w:r>
    </w:p>
    <w:p w14:paraId="0D4A7105"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 projet est soumis aux règles de ce texte en vertu de son article 2 « sur l’ensemble du territoire national, le prélèvement et l’utilisation des eaux, qu’elles proviennent de lieux privés ou publics (sources, puits, forages, rivières lacs…) sont réglementés conformément aux dispositions de la présente loi. </w:t>
      </w:r>
    </w:p>
    <w:p w14:paraId="7BDE8289"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L’eau superficielle ou souterraine prélevée pour les besoins du projet doit être déclarée conformément à l’article 12, pour le calcul de la redevance. </w:t>
      </w:r>
    </w:p>
    <w:p w14:paraId="2242CB0A"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b/>
          <w:bCs/>
          <w:color w:val="000000"/>
          <w:kern w:val="2"/>
          <w14:ligatures w14:val="standardContextual"/>
        </w:rPr>
        <w:t>La Loi L/2005/007/AN du 04 juillet 2005 </w:t>
      </w:r>
      <w:r w:rsidRPr="00B01850">
        <w:rPr>
          <w:rFonts w:ascii="Arial" w:eastAsia="SimSun" w:hAnsi="Arial" w:cs="Arial"/>
          <w:color w:val="000000"/>
          <w:kern w:val="2"/>
          <w14:ligatures w14:val="standardContextual"/>
        </w:rPr>
        <w:t>; adoptant et promulguant la loi qui fixe les pénalités relatives aux infractions du code de l’eau.</w:t>
      </w:r>
    </w:p>
    <w:p w14:paraId="44527626"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 Code de l’Enfant </w:t>
      </w:r>
    </w:p>
    <w:p w14:paraId="2A8B6560"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b/>
          <w:bCs/>
          <w:color w:val="000000"/>
          <w:kern w:val="2"/>
          <w14:ligatures w14:val="standardContextual"/>
        </w:rPr>
        <w:t>La Loi L/2019/0059/AN du 30 décembre 2020</w:t>
      </w:r>
      <w:r w:rsidRPr="00B01850">
        <w:rPr>
          <w:rFonts w:ascii="Arial" w:eastAsia="SimSun" w:hAnsi="Arial" w:cs="Arial"/>
          <w:color w:val="000000"/>
          <w:kern w:val="2"/>
          <w14:ligatures w14:val="standardContextual"/>
        </w:rPr>
        <w:t xml:space="preserve"> portant code de l’enfant affirme en son article premier qu’est considéré comme enfant, au sens du la loi, tout être humain âgé de moins de 18 ans. </w:t>
      </w:r>
    </w:p>
    <w:p w14:paraId="40BCD7FC"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 code a pour objectif la protection des enfants dans le respect des textes, conventions et accords internationaux ratifiés par la Guinée. </w:t>
      </w:r>
    </w:p>
    <w:p w14:paraId="27B6BCA9"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 travail forcé ou obligatoire d’un enfant et toute violence au travail sont interdits conformément aux articles 912 et 913 du présent code. </w:t>
      </w:r>
    </w:p>
    <w:p w14:paraId="28705844"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Les abus sexuels sont condamnés et doivent faire l’objet d’un signalement (Article : 338). </w:t>
      </w:r>
    </w:p>
    <w:p w14:paraId="78F6FD5E"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lastRenderedPageBreak/>
        <w:t>Le promoteur devra respecter les droits de l’enfant comme définis par la loi.</w:t>
      </w:r>
    </w:p>
    <w:p w14:paraId="36630918"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 Code de la Route</w:t>
      </w:r>
    </w:p>
    <w:p w14:paraId="1060A0A2"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b/>
          <w:bCs/>
          <w:color w:val="000000"/>
          <w:kern w:val="2"/>
          <w14:ligatures w14:val="standardContextual"/>
        </w:rPr>
        <w:t>La Loi L/2018/023/AN de 2017</w:t>
      </w:r>
      <w:r w:rsidRPr="00B01850">
        <w:rPr>
          <w:rFonts w:ascii="Arial" w:eastAsia="SimSun" w:hAnsi="Arial" w:cs="Arial"/>
          <w:color w:val="000000"/>
          <w:kern w:val="2"/>
          <w14:ligatures w14:val="standardContextual"/>
        </w:rPr>
        <w:t xml:space="preserve"> portant code de la Route fixe des dispositions applicables à tous les véhicules automobiles, tracteurs routiers, engins roulants, cyclomoteurs et motocycles immatriculés sur le territoire de la république de Guinée ou sur celui d’un autre pays et qui circulent sur le réseau routier Guinéen, aux conducteurs et passagers qui les utilisent, ainsi qu’à tous les usagers de la route, quelle que soit leur nationalité. </w:t>
      </w:r>
    </w:p>
    <w:p w14:paraId="65FF2231"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Il contraint toute personne qui conduit un véhicule à moteur, avec ou sans remorque, à être titulaire d’un permis de conduire valable. </w:t>
      </w:r>
    </w:p>
    <w:p w14:paraId="07CFAC9D"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Loi L/2024/007/CNT, relative à l’orientation agricole en République de Guinée</w:t>
      </w:r>
    </w:p>
    <w:p w14:paraId="451DAB59"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 présente Loi fixe les règles d'orientation d'une Agriculture moderne et compétitive ainsi que les principes fondamentaux d'un agro-business soutenu par une production agricole nationale durable, propice à la création des conditions de la sécurité alimentaire et nutritionnelle dans un environnement concurrentiel et un climat des affaires assaini, favorable à la réduction de la pauvreté en République de Guinée.</w:t>
      </w:r>
    </w:p>
    <w:p w14:paraId="1E434489"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Elle couvre l'ensemble des activités de développement socio-économique des sous-secteurs agriculture, élevage, halieutique, foresterie et environnement.</w:t>
      </w:r>
    </w:p>
    <w:p w14:paraId="15A8EF06"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Loi L/2016/063/AN du 09 novembre 2016</w:t>
      </w:r>
    </w:p>
    <w:p w14:paraId="0CE675F3"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Cette loi concerne la protection, la conservation et la mise en valeur du patrimoine culturel national.</w:t>
      </w:r>
    </w:p>
    <w:p w14:paraId="0047AAAC"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 Le sous-sol archéologique est propriété de l’Etat » (Article : 42). </w:t>
      </w:r>
    </w:p>
    <w:p w14:paraId="586B2F39"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Si un site ou un ensemble d’éléments pouvant être considérés comme partie du patrimoine culturel matériel et immatériel du pays, le découvreur, le propriétaire, le locataire ou l’exploitant sont tenus d’en faire la déclaration immédiate à l’autorité administrative, qui en avise sans délai le Ministre en charge de la culture (Article : 52). </w:t>
      </w:r>
    </w:p>
    <w:p w14:paraId="3D12FBFF" w14:textId="26CEB705" w:rsidR="003D179C" w:rsidRPr="00B01850" w:rsidRDefault="003D179C" w:rsidP="0046601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Donc, en cas de découverte dans le cadre des activités du projet, les dispositions de déclaration précisées dans cet article devront être respectées.</w:t>
      </w:r>
    </w:p>
    <w:p w14:paraId="10BCB3A6" w14:textId="77777777" w:rsidR="00466011" w:rsidRPr="00B01850" w:rsidRDefault="00466011" w:rsidP="00466011">
      <w:pPr>
        <w:spacing w:after="0" w:line="240" w:lineRule="auto"/>
        <w:jc w:val="both"/>
        <w:rPr>
          <w:rFonts w:ascii="Arial" w:eastAsia="SimSun" w:hAnsi="Arial" w:cs="Arial"/>
          <w:color w:val="000000"/>
          <w:kern w:val="2"/>
          <w14:ligatures w14:val="standardContextual"/>
        </w:rPr>
      </w:pPr>
    </w:p>
    <w:p w14:paraId="1C5A3C1B" w14:textId="06AE1612" w:rsidR="003D179C" w:rsidRPr="00B01850" w:rsidRDefault="00466011"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Par ailleurs, d</w:t>
      </w:r>
      <w:r w:rsidR="003D179C" w:rsidRPr="00B01850">
        <w:rPr>
          <w:rFonts w:ascii="Arial" w:eastAsia="SimSun" w:hAnsi="Arial" w:cs="Arial"/>
          <w:color w:val="000000"/>
          <w:kern w:val="2"/>
          <w14:ligatures w14:val="standardContextual"/>
        </w:rPr>
        <w:t xml:space="preserve">u point de vue réglementaire, plusieurs Décrets assurent la mise en œuvre du code de l’environnement, du code minier et des autres lois ci-dessus cités et doivent par conséquent aussi servir de référence à la mise en œuvre du présent projet. </w:t>
      </w:r>
    </w:p>
    <w:p w14:paraId="4DFAD1DA" w14:textId="695E0D88" w:rsidR="003D179C" w:rsidRPr="00B01850" w:rsidRDefault="003D179C" w:rsidP="00ED0627">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Ces différents Décrets et Arrêtés servent soit à encadrer l’exécution du projet pour éviter des impacts sur l’environnement, soit à encadrer l’EIES pour qu’elle soit conduite selon les règles de l’art. Les principaux textes sont :</w:t>
      </w:r>
    </w:p>
    <w:p w14:paraId="1328C295"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Loi L/2022/0010/CNT portant contenu local</w:t>
      </w:r>
    </w:p>
    <w:p w14:paraId="1DBD776B"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Dans le cadre de l’exploitation des minerais, les opérateurs détenteurs de permis concluent, avec une ou des entreprises guinéennes sélectionnées au moyen d’un appel d’offre privé, des contrats qui auront pour objet l’extraction des minerais, pour un volume égal au moins à quarante pour cent (40%) de la taille des gisements. Dans le cadre de ces contrats, les opérateurs développent un programme d’assistance technique, de formation et de transfert de technologie dont le chronogramme d’exécution sera assis sur toute la durée d’intervention de l’entreprise guinéenne.</w:t>
      </w:r>
    </w:p>
    <w:p w14:paraId="089AFA93"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Ces contrats avant leur entrée en vigueur, sont communiqués à l’ARCCL pour approbation.</w:t>
      </w:r>
    </w:p>
    <w:p w14:paraId="4E58400D"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 Décret D/2017/285/PRG/SGG du 31 octobre 2017 portant modalité de constitution et de gestion de Fond de Développement Économique Local (FODEL) et l’Arrêté conjoint AC/2019/1570/MMG/MATD/MEF du 30 avril 2019 </w:t>
      </w:r>
    </w:p>
    <w:p w14:paraId="2A9E110F"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lastRenderedPageBreak/>
        <w:t xml:space="preserve">Le FODEL est créé pour soutenir la création d’infrastructure de base, des activités génératrices d’emploi et de revenus ainsi que la mise en œuvre des plans de développement local des collectivités locales concernées. </w:t>
      </w:r>
    </w:p>
    <w:p w14:paraId="0D013A3A"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Ce fond est alimenté par la contribution au développement local payée par toutes les entreprises minières.</w:t>
      </w:r>
    </w:p>
    <w:p w14:paraId="03238B61"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L’Arrêté A/2015/342/MIPMEPSP/CAB du 27 février 2015</w:t>
      </w:r>
    </w:p>
    <w:p w14:paraId="05A6C695"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Cet arrêté homologue 6 normes relatives à la protection de l’environnement sur l’ensemble du territoire national. Il tient compte des directives de l’IFC et des normes environnementales de l’union européenne. </w:t>
      </w:r>
    </w:p>
    <w:p w14:paraId="6A1CFA66"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 projet doit se conformer aux normes suivantes :</w:t>
      </w:r>
    </w:p>
    <w:p w14:paraId="74BF1BB2" w14:textId="77777777" w:rsidR="003D179C" w:rsidRPr="00B01850" w:rsidRDefault="003D179C" w:rsidP="00214DCC">
      <w:pPr>
        <w:numPr>
          <w:ilvl w:val="0"/>
          <w:numId w:val="3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 norme sur les rejets des eaux usées ;</w:t>
      </w:r>
    </w:p>
    <w:p w14:paraId="629667DC" w14:textId="77777777" w:rsidR="003D179C" w:rsidRPr="00B01850" w:rsidRDefault="003D179C" w:rsidP="00214DCC">
      <w:pPr>
        <w:numPr>
          <w:ilvl w:val="0"/>
          <w:numId w:val="3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 norme sur les rejets et pollutions atmosphériques ;</w:t>
      </w:r>
    </w:p>
    <w:p w14:paraId="3F1B47DA" w14:textId="77777777" w:rsidR="003D179C" w:rsidRPr="00B01850" w:rsidRDefault="003D179C" w:rsidP="00214DCC">
      <w:pPr>
        <w:numPr>
          <w:ilvl w:val="0"/>
          <w:numId w:val="3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 norme relative aux limites maximales d’exposition à quelques produits chimiques et au bruit dans les lieux de travail ;</w:t>
      </w:r>
    </w:p>
    <w:p w14:paraId="14A04360" w14:textId="77777777" w:rsidR="003D179C" w:rsidRPr="00B01850" w:rsidRDefault="003D179C" w:rsidP="00214DCC">
      <w:pPr>
        <w:numPr>
          <w:ilvl w:val="0"/>
          <w:numId w:val="3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 norme sur les procédures d’inspection environnementales des installations industrielles et commerciales ;</w:t>
      </w:r>
    </w:p>
    <w:p w14:paraId="634570CC" w14:textId="77777777" w:rsidR="003D179C" w:rsidRPr="00B01850" w:rsidRDefault="003D179C" w:rsidP="00214DCC">
      <w:pPr>
        <w:numPr>
          <w:ilvl w:val="0"/>
          <w:numId w:val="3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 norme sur le système de management environnemental et lignes directrices pour son utilisation ;</w:t>
      </w:r>
    </w:p>
    <w:p w14:paraId="7A05216A" w14:textId="77777777" w:rsidR="003D179C" w:rsidRPr="00B01850" w:rsidRDefault="003D179C" w:rsidP="00214DCC">
      <w:pPr>
        <w:numPr>
          <w:ilvl w:val="0"/>
          <w:numId w:val="38"/>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 norme sur les lignes directrices pour l’audit des systèmes de management de la qualité et/ou de management environnemental.</w:t>
      </w:r>
    </w:p>
    <w:p w14:paraId="31DFE182" w14:textId="77777777" w:rsidR="003D179C" w:rsidRPr="00B01850" w:rsidRDefault="003D179C" w:rsidP="00BF244C">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En réalité, seules 4 normes ont été publiées. </w:t>
      </w:r>
    </w:p>
    <w:p w14:paraId="5EC2B90F"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L’Arrêté A/1595/MEDD/CAB/SGG du 05 mai 2023 </w:t>
      </w:r>
    </w:p>
    <w:p w14:paraId="6F426D15" w14:textId="2303864A"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Portant adoption </w:t>
      </w:r>
      <w:r w:rsidR="00E751C3" w:rsidRPr="00B01850">
        <w:rPr>
          <w:rFonts w:ascii="Arial" w:eastAsia="SimSun" w:hAnsi="Arial" w:cs="Arial"/>
          <w:color w:val="000000"/>
          <w:kern w:val="2"/>
          <w14:ligatures w14:val="standardContextual"/>
        </w:rPr>
        <w:t xml:space="preserve">de </w:t>
      </w:r>
      <w:r w:rsidRPr="00B01850">
        <w:rPr>
          <w:rFonts w:ascii="Arial" w:eastAsia="SimSun" w:hAnsi="Arial" w:cs="Arial"/>
          <w:color w:val="000000"/>
          <w:kern w:val="2"/>
          <w14:ligatures w14:val="standardContextual"/>
        </w:rPr>
        <w:t>la procédure Administrative d’Évaluation Environnementale en République de Guinée en matière d’évaluation environnementale et sociale. Une  évaluation environnementale est exigée à tout projet qui remplit les deux conditions suivantes : (i) la proposition de projet concerne l’aménagement rural, le domaine public maritime et fluvial, le secteur de l’énergie, l’extraction de matériaux, les infrastructures de transport, les installations classées, le secteur du tourisme et des loisirs, les travaux, les ouvrages ou aménagements intéressant les eaux continentales et l’urbanisme ; (ii) la mise en œuvre du projet à des incidences sur l’environnement.</w:t>
      </w:r>
    </w:p>
    <w:p w14:paraId="3A1A51C7"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L’arrêté A/2022/4114/MEDD/CAB/SGG portant création, organisation et fonctionnement des Comités Préfectoraux de Suivi Environnemental et Social</w:t>
      </w:r>
    </w:p>
    <w:p w14:paraId="1EC02007"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 </w:t>
      </w:r>
      <w:bookmarkStart w:id="121" w:name="_Hlk191824124"/>
      <w:r w:rsidRPr="00B01850">
        <w:rPr>
          <w:rFonts w:ascii="Arial" w:eastAsia="SimSun" w:hAnsi="Arial" w:cs="Arial"/>
          <w:color w:val="000000"/>
          <w:kern w:val="2"/>
          <w14:ligatures w14:val="standardContextual"/>
        </w:rPr>
        <w:t>Comité Préfectoral de Suivi Environnemental et Social (CPSES</w:t>
      </w:r>
      <w:bookmarkEnd w:id="121"/>
      <w:r w:rsidRPr="00B01850">
        <w:rPr>
          <w:rFonts w:ascii="Arial" w:eastAsia="SimSun" w:hAnsi="Arial" w:cs="Arial"/>
          <w:color w:val="000000"/>
          <w:kern w:val="2"/>
          <w14:ligatures w14:val="standardContextual"/>
        </w:rPr>
        <w:t xml:space="preserve">) a pour mission principale d’assurer en relation avec </w:t>
      </w:r>
      <w:bookmarkStart w:id="122" w:name="_Hlk191824200"/>
      <w:r w:rsidRPr="00B01850">
        <w:rPr>
          <w:rFonts w:ascii="Arial" w:eastAsia="SimSun" w:hAnsi="Arial" w:cs="Arial"/>
          <w:color w:val="000000"/>
          <w:kern w:val="2"/>
          <w14:ligatures w14:val="standardContextual"/>
        </w:rPr>
        <w:t>l’Agence Régionale d’Évaluations Environnementales (AREE</w:t>
      </w:r>
      <w:bookmarkEnd w:id="122"/>
      <w:r w:rsidRPr="00B01850">
        <w:rPr>
          <w:rFonts w:ascii="Arial" w:eastAsia="SimSun" w:hAnsi="Arial" w:cs="Arial"/>
          <w:color w:val="000000"/>
          <w:kern w:val="2"/>
          <w14:ligatures w14:val="standardContextual"/>
        </w:rPr>
        <w:t>), le suivi de proximité de la mise en œuvre des mesures de mitigation, de bonification et/ou de compensation des impacts environnementaux et sociaux des projets de développement. (Art.4)</w:t>
      </w:r>
    </w:p>
    <w:p w14:paraId="4B997320"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 priorité du suivi de l’application des mesures de mitigation et des normes environnementales est définie par le Comité selon la pertinence et l’envergure des activités à mener par le porteur du projet. Chaque mission de terrain fera l’objet d’un compte rendu, sanctionné par un procès-verbal. (Art. 9)</w:t>
      </w:r>
    </w:p>
    <w:p w14:paraId="3254F47D"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Arrêté A/2020/1591/MEEF/CAB/SGG du 19 Mai 2020 portant protection des espèces de faune et de flore sauvages e1\ République de Guinée</w:t>
      </w:r>
    </w:p>
    <w:p w14:paraId="00341CC8" w14:textId="77777777" w:rsidR="003D179C" w:rsidRPr="00B01850" w:rsidRDefault="003D179C" w:rsidP="008D2501">
      <w:pPr>
        <w:spacing w:after="0" w:line="240" w:lineRule="auto"/>
        <w:jc w:val="both"/>
        <w:rPr>
          <w:rFonts w:ascii="Arial" w:eastAsia="Calibri" w:hAnsi="Arial" w:cs="Arial"/>
          <w:color w:val="000000"/>
          <w:kern w:val="2"/>
          <w14:ligatures w14:val="standardContextual"/>
        </w:rPr>
      </w:pPr>
      <w:r w:rsidRPr="00B01850">
        <w:rPr>
          <w:rFonts w:ascii="Arial" w:eastAsia="Calibri" w:hAnsi="Arial" w:cs="Arial"/>
          <w:color w:val="000000"/>
          <w:kern w:val="2"/>
          <w14:ligatures w14:val="standardContextual"/>
        </w:rPr>
        <w:t xml:space="preserve">En application des dispositions des instruments juridiques internationaux en matière de protection des espèces de faune et de flore sauvages auxquels la Guinée est partie et des dispositions légales et réglementaires nationales en la matière, le présent Arrêté fixe les mesures de protection des espèces de faune et flore sauvages en Guinée. Aux fins de la protection visée à </w:t>
      </w:r>
      <w:r w:rsidRPr="00B01850">
        <w:rPr>
          <w:rFonts w:ascii="Arial" w:eastAsia="Calibri" w:hAnsi="Arial" w:cs="Arial"/>
          <w:color w:val="000000"/>
          <w:kern w:val="2"/>
          <w14:ligatures w14:val="standardContextual"/>
        </w:rPr>
        <w:lastRenderedPageBreak/>
        <w:t>l'alinéa ci-dessus, les espèces de faune et de flore sauvage dont les listes sont jointes au présent arrêté sont classées en catégories une (I) et deux (Il). (Art 1)</w:t>
      </w:r>
    </w:p>
    <w:p w14:paraId="6A40CF10" w14:textId="77777777" w:rsidR="003D179C" w:rsidRPr="00B01850" w:rsidRDefault="003D179C" w:rsidP="00214DCC">
      <w:pPr>
        <w:numPr>
          <w:ilvl w:val="0"/>
          <w:numId w:val="46"/>
        </w:numPr>
        <w:spacing w:before="120" w:after="12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Arrêté N°A/2022/4116/MEED/CAB/SGG du 30 Décembre 2022 portant élaboration, contenu et modalités de mise en œuvre des plans d’urgences de gestion des risques de catastrophes</w:t>
      </w:r>
    </w:p>
    <w:p w14:paraId="535491AC"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L’article 1</w:t>
      </w:r>
      <w:r w:rsidRPr="00B01850">
        <w:rPr>
          <w:rFonts w:ascii="Arial" w:eastAsia="SimSun" w:hAnsi="Arial" w:cs="Arial"/>
          <w:color w:val="000000"/>
          <w:kern w:val="2"/>
          <w:vertAlign w:val="superscript"/>
          <w14:ligatures w14:val="standardContextual"/>
        </w:rPr>
        <w:t>er</w:t>
      </w:r>
      <w:r w:rsidRPr="00B01850">
        <w:rPr>
          <w:rFonts w:ascii="Arial" w:eastAsia="SimSun" w:hAnsi="Arial" w:cs="Arial"/>
          <w:color w:val="000000"/>
          <w:kern w:val="2"/>
          <w14:ligatures w14:val="standardContextual"/>
        </w:rPr>
        <w:t xml:space="preserve"> stipule qu’en application des dispositions de la Loi L/2019/0034/AN du 04 Juillet 2019 portant Code de l’Environnement, notamment en ses articles 98 à 102, le présent arrêté définit les modalités d’élaboration et de mise en œuvre des Plans d’Urgences de Gestion des Risques de Catastrophes.</w:t>
      </w:r>
    </w:p>
    <w:p w14:paraId="6E655B2F" w14:textId="77777777" w:rsidR="003D179C" w:rsidRPr="00B01850" w:rsidRDefault="003D179C" w:rsidP="008D2501">
      <w:p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dispositions du présent arrêté dans son article 4 visent à règlementer les Plans d'urgence de gestion des risques de catastrophes au niveau des secteurs de développement économique, social et culturel, cités ci-dessous :</w:t>
      </w:r>
    </w:p>
    <w:p w14:paraId="416802E6"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infrastructures et installations des industries extractives ;</w:t>
      </w:r>
    </w:p>
    <w:p w14:paraId="4E440FE4"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infrastructures et installations industrielles, semi-industrielles et artisanales ;</w:t>
      </w:r>
    </w:p>
    <w:p w14:paraId="24226B9B"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infrastructures et installations de transport maritime, fluvial, ferroviaire, routier et aérien ;</w:t>
      </w:r>
    </w:p>
    <w:p w14:paraId="5786E19D"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Les infrastructures et installations agricoles, de pêche et d'élevage ; </w:t>
      </w:r>
    </w:p>
    <w:p w14:paraId="6C8A28BD"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installations et infrastructures commerciales et d'entreposage ;</w:t>
      </w:r>
    </w:p>
    <w:p w14:paraId="0B49B94C"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installations et infrastructures de carénage et de mécanique ;</w:t>
      </w:r>
    </w:p>
    <w:p w14:paraId="26565BF9"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installations et infrastructures immobilières, sanitaires, hôtelières et touristiques ;</w:t>
      </w:r>
    </w:p>
    <w:p w14:paraId="5A131E3F"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installations et infrastructures hydrauliques, hydro-électrique, les centrales de production électrique et de distribution ainsi que d'autres centrales de production d'énergie électrique ;</w:t>
      </w:r>
    </w:p>
    <w:p w14:paraId="2A7C38F8"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installations et infrastructures de stockage de produits pétroliers et dérivés, de gaz naturel liquide, liquéfiés ou gazeux ;</w:t>
      </w:r>
    </w:p>
    <w:p w14:paraId="7AA25303"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établissements utilisant des micro-organismes hautement pathogènes ;</w:t>
      </w:r>
    </w:p>
    <w:p w14:paraId="4057A0E3"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installations et infrastructures de gestion des déchets ;</w:t>
      </w:r>
    </w:p>
    <w:p w14:paraId="7CC3F59C"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installations et infrastructures de dépôts et de stockage des substances et produits dangereux ;</w:t>
      </w:r>
    </w:p>
    <w:p w14:paraId="04B25703"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calamités naturelles et anthropiques (les incendies, les feux de brousse, les inondations, le péril acridien, les événements climatiques et géologiques extrêmes) ;</w:t>
      </w:r>
    </w:p>
    <w:p w14:paraId="48C0D2F3" w14:textId="77777777" w:rsidR="003D179C" w:rsidRPr="00B01850" w:rsidRDefault="003D179C" w:rsidP="00214DCC">
      <w:pPr>
        <w:numPr>
          <w:ilvl w:val="0"/>
          <w:numId w:val="39"/>
        </w:numPr>
        <w:spacing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épidémies et les conflits sociaux.</w:t>
      </w:r>
    </w:p>
    <w:p w14:paraId="28698B59" w14:textId="77777777" w:rsidR="003D179C" w:rsidRPr="00B01850" w:rsidRDefault="003D179C" w:rsidP="009E7566">
      <w:pPr>
        <w:spacing w:before="120"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Les établissements et installations évoluant dans les domaines visés à l'article 4 du présent arrêté et présentant des risques importants pour les personnes, les biens et services ainsi que l'environnement ont l'obligation d'élaborer et de mettre en place un Plan d'Opération Interne (POI) et un Plan Particulier d'intervention (PPI) en cas de catastrophe et d’urgences environnementales. Le Plan d'Urgence (PU), le Plan d’Opération Interne (POI), le Plan Particulier d'Intervention (PPI), les Plans Régionaux, Préfectoraux, Communaux et Communautaires constituent des éléments du Plan d'Urgence de Gestion des Risques de Catastrophes. (Art. 8)</w:t>
      </w:r>
    </w:p>
    <w:p w14:paraId="464F6478" w14:textId="77777777" w:rsidR="00E21A15" w:rsidRPr="00B01850" w:rsidRDefault="003D179C" w:rsidP="00ED0627">
      <w:pPr>
        <w:spacing w:before="120" w:after="0" w:line="240" w:lineRule="auto"/>
        <w:jc w:val="both"/>
        <w:rPr>
          <w:rFonts w:ascii="Arial" w:eastAsia="SimSun" w:hAnsi="Arial" w:cs="Arial"/>
          <w:color w:val="000000"/>
          <w:kern w:val="2"/>
          <w14:ligatures w14:val="standardContextual"/>
        </w:rPr>
      </w:pPr>
      <w:r w:rsidRPr="00B01850">
        <w:rPr>
          <w:rFonts w:ascii="Arial" w:eastAsia="SimSun" w:hAnsi="Arial" w:cs="Arial"/>
          <w:color w:val="000000"/>
          <w:kern w:val="2"/>
          <w14:ligatures w14:val="standardContextual"/>
        </w:rPr>
        <w:t xml:space="preserve">Le Ministère en charge de l'Environnement, en collaboration avec les Ministères concernés et les institutions compétentes en la matière, coordonne l'élaboration des Plans d'Urgence de Gestion des Risques de Catastrophes, puis veille à l'élaboration et à la mise en place des Plans d’Urgence (PU), </w:t>
      </w:r>
      <w:bookmarkStart w:id="123" w:name="_Hlk191825047"/>
      <w:r w:rsidRPr="00B01850">
        <w:rPr>
          <w:rFonts w:ascii="Arial" w:eastAsia="SimSun" w:hAnsi="Arial" w:cs="Arial"/>
          <w:color w:val="000000"/>
          <w:kern w:val="2"/>
          <w14:ligatures w14:val="standardContextual"/>
        </w:rPr>
        <w:t>Plan d'Opération Interne (POI</w:t>
      </w:r>
      <w:bookmarkEnd w:id="123"/>
      <w:r w:rsidRPr="00B01850">
        <w:rPr>
          <w:rFonts w:ascii="Arial" w:eastAsia="SimSun" w:hAnsi="Arial" w:cs="Arial"/>
          <w:color w:val="000000"/>
          <w:kern w:val="2"/>
          <w14:ligatures w14:val="standardContextual"/>
        </w:rPr>
        <w:t xml:space="preserve">), </w:t>
      </w:r>
      <w:bookmarkStart w:id="124" w:name="_Hlk191825101"/>
      <w:r w:rsidRPr="00B01850">
        <w:rPr>
          <w:rFonts w:ascii="Arial" w:eastAsia="SimSun" w:hAnsi="Arial" w:cs="Arial"/>
          <w:color w:val="000000"/>
          <w:kern w:val="2"/>
          <w14:ligatures w14:val="standardContextual"/>
        </w:rPr>
        <w:t>Plan Particulier d'intervention (PPI</w:t>
      </w:r>
      <w:bookmarkEnd w:id="124"/>
      <w:r w:rsidRPr="00B01850">
        <w:rPr>
          <w:rFonts w:ascii="Arial" w:eastAsia="SimSun" w:hAnsi="Arial" w:cs="Arial"/>
          <w:color w:val="000000"/>
          <w:kern w:val="2"/>
          <w14:ligatures w14:val="standardContextual"/>
        </w:rPr>
        <w:t>), Plans Régionaux, Préfectoraux, Communaux et Communautaires, ou tout autre document qui en découle. (Art.9)</w:t>
      </w:r>
      <w:r w:rsidR="00ED0627" w:rsidRPr="00B01850">
        <w:rPr>
          <w:rFonts w:ascii="Arial" w:eastAsia="SimSun" w:hAnsi="Arial" w:cs="Arial"/>
          <w:color w:val="000000"/>
          <w:kern w:val="2"/>
          <w14:ligatures w14:val="standardContextual"/>
        </w:rPr>
        <w:t>.</w:t>
      </w:r>
    </w:p>
    <w:p w14:paraId="7938C1DF" w14:textId="480BA04D" w:rsidR="00E5508B" w:rsidRPr="00B01850" w:rsidRDefault="00E5508B" w:rsidP="00ED0627">
      <w:pPr>
        <w:spacing w:before="120" w:after="0" w:line="240" w:lineRule="auto"/>
        <w:jc w:val="both"/>
        <w:rPr>
          <w:rFonts w:ascii="Arial" w:eastAsia="SimSun" w:hAnsi="Arial" w:cs="Arial"/>
          <w:color w:val="000000"/>
          <w:kern w:val="2"/>
          <w14:ligatures w14:val="standardContextual"/>
        </w:rPr>
        <w:sectPr w:rsidR="00E5508B" w:rsidRPr="00B01850">
          <w:footerReference w:type="default" r:id="rId30"/>
          <w:pgSz w:w="12240" w:h="15840"/>
          <w:pgMar w:top="1440" w:right="1440" w:bottom="1440" w:left="1440" w:header="720" w:footer="720" w:gutter="0"/>
          <w:cols w:space="720" w:equalWidth="0">
            <w:col w:w="9360"/>
          </w:cols>
          <w:docGrid w:linePitch="326"/>
        </w:sectPr>
      </w:pPr>
      <w:r w:rsidRPr="00B01850">
        <w:rPr>
          <w:rFonts w:ascii="Arial" w:eastAsia="SimSun" w:hAnsi="Arial" w:cs="Arial"/>
          <w:color w:val="000000"/>
          <w:kern w:val="2"/>
          <w14:ligatures w14:val="standardContextual"/>
        </w:rPr>
        <w:t>Pour affirmer son engagement à protéger sa population contre toutes formes de risques et catastrophes</w:t>
      </w:r>
    </w:p>
    <w:p w14:paraId="4E2F1D6D" w14:textId="1510D34D" w:rsidR="00FC618B" w:rsidRPr="005403D7" w:rsidRDefault="00FC618B" w:rsidP="00214DCC">
      <w:pPr>
        <w:pStyle w:val="ListParagraph"/>
        <w:numPr>
          <w:ilvl w:val="0"/>
          <w:numId w:val="42"/>
        </w:numPr>
        <w:tabs>
          <w:tab w:val="left" w:pos="9630"/>
          <w:tab w:val="left" w:pos="9990"/>
        </w:tabs>
        <w:spacing w:before="120" w:after="120"/>
        <w:contextualSpacing w:val="0"/>
        <w:jc w:val="both"/>
        <w:rPr>
          <w:rFonts w:ascii="Arial" w:hAnsi="Arial" w:cs="Arial"/>
          <w:b/>
        </w:rPr>
      </w:pPr>
      <w:bookmarkStart w:id="125" w:name="_Toc188433331"/>
      <w:bookmarkStart w:id="126" w:name="_Toc192858819"/>
      <w:r w:rsidRPr="005403D7">
        <w:rPr>
          <w:rFonts w:ascii="Arial" w:hAnsi="Arial" w:cs="Arial"/>
          <w:b/>
        </w:rPr>
        <w:lastRenderedPageBreak/>
        <w:t>Conventions internationale</w:t>
      </w:r>
      <w:r w:rsidR="003F0AAE" w:rsidRPr="005403D7">
        <w:rPr>
          <w:rFonts w:ascii="Arial" w:hAnsi="Arial" w:cs="Arial"/>
          <w:b/>
        </w:rPr>
        <w:t xml:space="preserve"> ratifiée par la Guinée</w:t>
      </w:r>
    </w:p>
    <w:p w14:paraId="04493476" w14:textId="11857B85" w:rsidR="00FC618B" w:rsidRPr="00B01850" w:rsidRDefault="00010618" w:rsidP="00010618">
      <w:pPr>
        <w:pStyle w:val="ListParagraph"/>
        <w:spacing w:after="0"/>
        <w:contextualSpacing w:val="0"/>
        <w:jc w:val="both"/>
        <w:rPr>
          <w:rFonts w:ascii="Arial" w:hAnsi="Arial" w:cs="Arial"/>
        </w:rPr>
      </w:pPr>
      <w:r w:rsidRPr="00B01850">
        <w:rPr>
          <w:rFonts w:ascii="Arial" w:eastAsia="SimSun" w:hAnsi="Arial" w:cs="Arial"/>
          <w:color w:val="000000"/>
          <w:kern w:val="2"/>
          <w14:ligatures w14:val="standardContextual"/>
        </w:rPr>
        <w:t>Pour affirmer son engagement à protéger sa population contre toutes formes de risques et catastrophes et à réagir rapidement lorsqu’un évènement catastrophique surviennent, la République de Guinée a ratifié de nombreuses conventions internationales, mentionnées dans le tableau n°3 ci-dessous.</w:t>
      </w:r>
    </w:p>
    <w:p w14:paraId="45BDA5DF" w14:textId="04B89175" w:rsidR="00C273AA" w:rsidRPr="00B01850" w:rsidRDefault="00C273AA" w:rsidP="00214DCC">
      <w:pPr>
        <w:pStyle w:val="ListParagraph"/>
        <w:numPr>
          <w:ilvl w:val="0"/>
          <w:numId w:val="37"/>
        </w:numPr>
        <w:spacing w:before="120" w:after="120"/>
        <w:contextualSpacing w:val="0"/>
        <w:rPr>
          <w:rFonts w:ascii="Arial" w:hAnsi="Arial" w:cs="Arial"/>
        </w:rPr>
      </w:pPr>
      <w:r w:rsidRPr="00B01850">
        <w:rPr>
          <w:rFonts w:ascii="Arial" w:eastAsia="SimSun" w:hAnsi="Arial" w:cs="Arial"/>
          <w:b/>
          <w:bCs/>
        </w:rPr>
        <w:t xml:space="preserve">Tableau </w:t>
      </w:r>
      <w:r w:rsidR="006A4204" w:rsidRPr="00B01850">
        <w:rPr>
          <w:rFonts w:ascii="Arial" w:eastAsia="SimSun" w:hAnsi="Arial" w:cs="Arial"/>
          <w:b/>
          <w:bCs/>
        </w:rPr>
        <w:t>3</w:t>
      </w:r>
      <w:r w:rsidRPr="00B01850">
        <w:rPr>
          <w:rFonts w:ascii="Arial" w:eastAsia="SimSun" w:hAnsi="Arial" w:cs="Arial"/>
          <w:b/>
          <w:bCs/>
        </w:rPr>
        <w:t xml:space="preserve"> </w:t>
      </w:r>
      <w:r w:rsidRPr="00B01850">
        <w:rPr>
          <w:rFonts w:ascii="Arial" w:eastAsia="SimSun" w:hAnsi="Arial" w:cs="Arial"/>
        </w:rPr>
        <w:t>: Les principales conventions liées au projet</w:t>
      </w:r>
      <w:bookmarkEnd w:id="125"/>
      <w:bookmarkEnd w:id="126"/>
    </w:p>
    <w:tbl>
      <w:tblPr>
        <w:tblW w:w="6976"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55"/>
        <w:gridCol w:w="1709"/>
        <w:gridCol w:w="8281"/>
      </w:tblGrid>
      <w:tr w:rsidR="00C273AA" w:rsidRPr="00B01850" w14:paraId="4636058B" w14:textId="77777777" w:rsidTr="00DA6885">
        <w:trPr>
          <w:trHeight w:val="315"/>
        </w:trPr>
        <w:tc>
          <w:tcPr>
            <w:tcW w:w="1171"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162CC5CB" w14:textId="77777777" w:rsidR="00C273AA" w:rsidRPr="00B01850" w:rsidRDefault="00C273AA" w:rsidP="00C273AA">
            <w:pPr>
              <w:spacing w:after="0" w:line="240" w:lineRule="auto"/>
              <w:jc w:val="center"/>
              <w:rPr>
                <w:rFonts w:ascii="Arial" w:eastAsia="SimSun" w:hAnsi="Arial" w:cs="Arial"/>
                <w:i/>
                <w:iCs/>
                <w:color w:val="000000"/>
                <w:kern w:val="2"/>
                <w:sz w:val="18"/>
                <w:szCs w:val="18"/>
                <w14:ligatures w14:val="standardContextual"/>
              </w:rPr>
            </w:pPr>
            <w:r w:rsidRPr="00B01850">
              <w:rPr>
                <w:rFonts w:ascii="Arial" w:eastAsia="SimSun" w:hAnsi="Arial" w:cs="Arial"/>
                <w:i/>
                <w:iCs/>
                <w:color w:val="000000"/>
                <w:kern w:val="2"/>
                <w:sz w:val="18"/>
                <w:szCs w:val="18"/>
                <w14:ligatures w14:val="standardContextual"/>
              </w:rPr>
              <w:t>Intitulé de la convention</w:t>
            </w:r>
          </w:p>
        </w:tc>
        <w:tc>
          <w:tcPr>
            <w:tcW w:w="65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4EACC427" w14:textId="77777777" w:rsidR="00C273AA" w:rsidRPr="00B01850" w:rsidRDefault="00C273AA" w:rsidP="00C273AA">
            <w:pPr>
              <w:spacing w:after="0" w:line="240" w:lineRule="auto"/>
              <w:jc w:val="center"/>
              <w:rPr>
                <w:rFonts w:ascii="Arial" w:eastAsia="SimSun" w:hAnsi="Arial" w:cs="Arial"/>
                <w:i/>
                <w:iCs/>
                <w:color w:val="000000"/>
                <w:kern w:val="2"/>
                <w:sz w:val="18"/>
                <w:szCs w:val="18"/>
                <w14:ligatures w14:val="standardContextual"/>
              </w:rPr>
            </w:pPr>
            <w:r w:rsidRPr="00B01850">
              <w:rPr>
                <w:rFonts w:ascii="Arial" w:eastAsia="SimSun" w:hAnsi="Arial" w:cs="Arial"/>
                <w:i/>
                <w:iCs/>
                <w:color w:val="000000"/>
                <w:kern w:val="2"/>
                <w:sz w:val="18"/>
                <w:szCs w:val="18"/>
                <w14:ligatures w14:val="standardContextual"/>
              </w:rPr>
              <w:t>Date de ratification</w:t>
            </w:r>
          </w:p>
        </w:tc>
        <w:tc>
          <w:tcPr>
            <w:tcW w:w="31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54EDE9FA" w14:textId="77777777" w:rsidR="00C273AA" w:rsidRPr="00B01850" w:rsidRDefault="00C273AA" w:rsidP="00C273AA">
            <w:pPr>
              <w:spacing w:after="0" w:line="240" w:lineRule="auto"/>
              <w:jc w:val="center"/>
              <w:rPr>
                <w:rFonts w:ascii="Arial" w:eastAsia="SimSun" w:hAnsi="Arial" w:cs="Arial"/>
                <w:i/>
                <w:iCs/>
                <w:color w:val="000000"/>
                <w:kern w:val="2"/>
                <w:sz w:val="18"/>
                <w:szCs w:val="18"/>
                <w14:ligatures w14:val="standardContextual"/>
              </w:rPr>
            </w:pPr>
            <w:r w:rsidRPr="00B01850">
              <w:rPr>
                <w:rFonts w:ascii="Arial" w:eastAsia="SimSun" w:hAnsi="Arial" w:cs="Arial"/>
                <w:i/>
                <w:iCs/>
                <w:color w:val="000000"/>
                <w:kern w:val="2"/>
                <w:sz w:val="18"/>
                <w:szCs w:val="18"/>
                <w14:ligatures w14:val="standardContextual"/>
              </w:rPr>
              <w:t>Objectifs clés</w:t>
            </w:r>
          </w:p>
        </w:tc>
      </w:tr>
      <w:tr w:rsidR="00C273AA" w:rsidRPr="00B01850" w14:paraId="18B0565E" w14:textId="77777777" w:rsidTr="00DA6885">
        <w:tc>
          <w:tcPr>
            <w:tcW w:w="11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17F8AA7"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La convention de Ramsar sur les zones humides d’importance internationale particulièrement comme habitats d’oiseaux d’eau (Ramsar, 02/02/1971)</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F6E463"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Adhésion le 18/10/1992</w:t>
            </w:r>
          </w:p>
          <w:p w14:paraId="7EA47AE2"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p>
          <w:p w14:paraId="070B36E7"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Entrée en vigueur le 18 mars 1993</w:t>
            </w:r>
          </w:p>
        </w:tc>
        <w:tc>
          <w:tcPr>
            <w:tcW w:w="317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445E6B3" w14:textId="77777777" w:rsidR="00C273AA" w:rsidRPr="00B01850" w:rsidRDefault="00C273AA" w:rsidP="00C273AA">
            <w:pPr>
              <w:spacing w:after="0" w:line="240" w:lineRule="auto"/>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Traité intergouvernemental qui dresse le cadre de l’action nationale et de la coopération internationale pour la conservation et l’utilisation raisonnable des zones humides et de leurs ressources. Cette convention est applicable au présent projet qui inscrit dans sa politique la conservation et la protection si possible des zones humides</w:t>
            </w:r>
          </w:p>
        </w:tc>
      </w:tr>
      <w:tr w:rsidR="00C273AA" w:rsidRPr="00B01850" w14:paraId="6CE689D8" w14:textId="77777777" w:rsidTr="00C273AA">
        <w:trPr>
          <w:trHeight w:val="1116"/>
        </w:trPr>
        <w:tc>
          <w:tcPr>
            <w:tcW w:w="11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EE18DC"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Convention sur la lutte contre la désertification (A/AC.241/27) (Paris, 17/07/1994)</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6FCCC5A" w14:textId="1F84C061" w:rsidR="00C273AA" w:rsidRPr="00B01850" w:rsidRDefault="00C273AA" w:rsidP="001C680D">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Signé le 14 octobre 1994</w:t>
            </w:r>
          </w:p>
          <w:p w14:paraId="4F3B6731" w14:textId="5A663ED1" w:rsidR="00C273AA" w:rsidRPr="00B01850" w:rsidRDefault="00C273AA" w:rsidP="001C680D">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Ratifiée le 23/07/1997</w:t>
            </w:r>
          </w:p>
          <w:p w14:paraId="34F2A09D"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Entrée en vigueur 10/09/1997</w:t>
            </w:r>
          </w:p>
        </w:tc>
        <w:tc>
          <w:tcPr>
            <w:tcW w:w="317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086A65" w14:textId="77777777" w:rsidR="00C273AA" w:rsidRPr="00B01850" w:rsidRDefault="00C273AA" w:rsidP="00C273AA">
            <w:pPr>
              <w:spacing w:after="0" w:line="240" w:lineRule="auto"/>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Cette convention a pour objectif la lutte contre la désertification et l’atténuation des effets de la sécheresse dans les pays gravement touchés par ces phénomènes, en particulier en Afrique. Le projet doit s’inscrire dans cette optique de lutte contre la désertification en préservant autant que possible le couvert végétal.</w:t>
            </w:r>
          </w:p>
        </w:tc>
      </w:tr>
      <w:tr w:rsidR="00C273AA" w:rsidRPr="00B01850" w14:paraId="4BF0C633" w14:textId="77777777" w:rsidTr="00DA6885">
        <w:trPr>
          <w:trHeight w:val="1129"/>
        </w:trPr>
        <w:tc>
          <w:tcPr>
            <w:tcW w:w="1171"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6343058C"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Convention sur les changements climatiques (New York, 09/05/1992)</w:t>
            </w:r>
          </w:p>
        </w:tc>
        <w:tc>
          <w:tcPr>
            <w:tcW w:w="65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1D38C339"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p>
          <w:p w14:paraId="718FC656" w14:textId="5C41910B" w:rsidR="00C273AA" w:rsidRPr="00B01850" w:rsidRDefault="00C273AA" w:rsidP="001C680D">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Signé le 12/06/1992</w:t>
            </w:r>
          </w:p>
          <w:p w14:paraId="51AA125E" w14:textId="3A7CAE90" w:rsidR="00C273AA" w:rsidRPr="00B01850" w:rsidRDefault="00C273AA" w:rsidP="001C680D">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Ratifiée le 07/05/1993</w:t>
            </w:r>
          </w:p>
          <w:p w14:paraId="048F889A"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Entrée en vigueur en mars 1994</w:t>
            </w:r>
          </w:p>
        </w:tc>
        <w:tc>
          <w:tcPr>
            <w:tcW w:w="31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1178375E" w14:textId="77777777" w:rsidR="00C273AA" w:rsidRPr="00B01850" w:rsidRDefault="00C273AA" w:rsidP="00C273AA">
            <w:pPr>
              <w:spacing w:after="0" w:line="240" w:lineRule="auto"/>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Convention cadre des Nations Unies fixant des objectifs et des règles générales pour faire face au défi des changements climatiques. L’objectif final de la convention est de stabiliser les concentrations de gaz à effet de serre dans l’atmosphère.</w:t>
            </w:r>
          </w:p>
        </w:tc>
      </w:tr>
      <w:tr w:rsidR="00C273AA" w:rsidRPr="00B01850" w14:paraId="69182351" w14:textId="77777777" w:rsidTr="00DA6885">
        <w:tc>
          <w:tcPr>
            <w:tcW w:w="11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EB6C87"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Protocole de Kyoto sur les gaz à effet de serre (Kyoto, 11/12/1997)</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CCAED4C" w14:textId="0457E1C3" w:rsidR="00C273AA" w:rsidRPr="00B01850" w:rsidRDefault="00C273AA" w:rsidP="001C680D">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 le 07/09/2000,</w:t>
            </w:r>
          </w:p>
          <w:p w14:paraId="7FFE4ECD"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Entré en vigueur le 16/02/2005</w:t>
            </w:r>
          </w:p>
        </w:tc>
        <w:tc>
          <w:tcPr>
            <w:tcW w:w="317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2218A4" w14:textId="77777777" w:rsidR="00C273AA" w:rsidRPr="00B01850" w:rsidRDefault="00C273AA" w:rsidP="00C273AA">
            <w:pPr>
              <w:spacing w:after="0" w:line="240" w:lineRule="auto"/>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Réduire les émissions de gaz à effet de serre</w:t>
            </w:r>
          </w:p>
        </w:tc>
      </w:tr>
      <w:tr w:rsidR="0038389B" w:rsidRPr="00B01850" w14:paraId="025D8E25" w14:textId="77777777" w:rsidTr="00DA6885">
        <w:tc>
          <w:tcPr>
            <w:tcW w:w="1171"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017A2019" w14:textId="27638B35" w:rsidR="0038389B" w:rsidRPr="00B01850" w:rsidRDefault="0038389B" w:rsidP="00BF244C">
            <w:pPr>
              <w:pBdr>
                <w:top w:val="nil"/>
                <w:left w:val="nil"/>
                <w:bottom w:val="nil"/>
                <w:right w:val="nil"/>
                <w:between w:val="nil"/>
              </w:pBdr>
              <w:spacing w:after="0" w:line="240" w:lineRule="auto"/>
              <w:jc w:val="both"/>
              <w:rPr>
                <w:rFonts w:ascii="Arial" w:hAnsi="Arial" w:cs="Arial"/>
                <w:color w:val="000000"/>
                <w:sz w:val="18"/>
                <w:szCs w:val="18"/>
              </w:rPr>
            </w:pPr>
            <w:r w:rsidRPr="00B01850">
              <w:rPr>
                <w:rFonts w:ascii="Arial" w:hAnsi="Arial" w:cs="Arial"/>
                <w:color w:val="000000"/>
                <w:sz w:val="18"/>
                <w:szCs w:val="18"/>
              </w:rPr>
              <w:t>La Convention de Bâle sur le contrôle des mouvements transfrontières de déchets dangereux et de leur élimination</w:t>
            </w:r>
            <w:r w:rsidR="00BF244C" w:rsidRPr="00B01850">
              <w:rPr>
                <w:rFonts w:ascii="Arial" w:hAnsi="Arial" w:cs="Arial"/>
                <w:color w:val="000000"/>
                <w:sz w:val="18"/>
                <w:szCs w:val="18"/>
              </w:rPr>
              <w:t>.</w:t>
            </w:r>
            <w:r w:rsidRPr="00B01850">
              <w:rPr>
                <w:rFonts w:ascii="Arial" w:hAnsi="Arial" w:cs="Arial"/>
                <w:color w:val="000000"/>
                <w:sz w:val="18"/>
                <w:szCs w:val="18"/>
              </w:rPr>
              <w:t xml:space="preserve"> </w:t>
            </w:r>
          </w:p>
          <w:p w14:paraId="4C2BA0D0" w14:textId="77777777" w:rsidR="0038389B" w:rsidRPr="00B01850" w:rsidRDefault="0038389B" w:rsidP="0038389B">
            <w:pPr>
              <w:spacing w:after="0" w:line="240" w:lineRule="auto"/>
              <w:jc w:val="center"/>
              <w:rPr>
                <w:rFonts w:ascii="Arial" w:eastAsia="SimSun" w:hAnsi="Arial" w:cs="Arial"/>
                <w:color w:val="000000"/>
                <w:kern w:val="2"/>
                <w:sz w:val="18"/>
                <w:szCs w:val="18"/>
                <w14:ligatures w14:val="standardContextual"/>
              </w:rPr>
            </w:pPr>
          </w:p>
        </w:tc>
        <w:tc>
          <w:tcPr>
            <w:tcW w:w="65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40C53177" w14:textId="505EA116" w:rsidR="0038389B" w:rsidRPr="00B01850" w:rsidRDefault="00E96A9C" w:rsidP="00C273AA">
            <w:pPr>
              <w:spacing w:after="0" w:line="240" w:lineRule="auto"/>
              <w:jc w:val="center"/>
              <w:rPr>
                <w:rFonts w:ascii="Arial" w:eastAsia="SimSun" w:hAnsi="Arial" w:cs="Arial"/>
                <w:color w:val="000000"/>
                <w:kern w:val="2"/>
                <w:sz w:val="18"/>
                <w:szCs w:val="18"/>
                <w:highlight w:val="green"/>
                <w14:ligatures w14:val="standardContextual"/>
              </w:rPr>
            </w:pPr>
            <w:r w:rsidRPr="00B01850">
              <w:rPr>
                <w:rFonts w:ascii="Arial" w:eastAsia="SimSun" w:hAnsi="Arial" w:cs="Arial"/>
                <w:color w:val="000000"/>
                <w:kern w:val="2"/>
                <w:sz w:val="18"/>
                <w:szCs w:val="18"/>
                <w14:ligatures w14:val="standardContextual"/>
              </w:rPr>
              <w:t>26 avril 1995</w:t>
            </w:r>
          </w:p>
        </w:tc>
        <w:tc>
          <w:tcPr>
            <w:tcW w:w="31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4F27B8B7" w14:textId="77777777" w:rsidR="0038389B" w:rsidRPr="00B01850" w:rsidRDefault="0038389B" w:rsidP="0038389B">
            <w:pPr>
              <w:pBdr>
                <w:top w:val="nil"/>
                <w:left w:val="nil"/>
                <w:bottom w:val="nil"/>
                <w:right w:val="nil"/>
                <w:between w:val="nil"/>
              </w:pBdr>
              <w:spacing w:after="0" w:line="240" w:lineRule="auto"/>
              <w:jc w:val="both"/>
              <w:rPr>
                <w:rFonts w:ascii="Arial" w:hAnsi="Arial" w:cs="Arial"/>
                <w:color w:val="000000"/>
                <w:sz w:val="18"/>
                <w:szCs w:val="18"/>
              </w:rPr>
            </w:pPr>
            <w:r w:rsidRPr="00B01850">
              <w:rPr>
                <w:rFonts w:ascii="Arial" w:hAnsi="Arial" w:cs="Arial"/>
                <w:color w:val="000000"/>
                <w:sz w:val="18"/>
                <w:szCs w:val="18"/>
              </w:rPr>
              <w:t xml:space="preserve">L'objectif primordial de la Convention de Bâle est de protéger la santé humaine et l'environnement contre les effets néfastes des déchets dangereux. Son champ d'application couvre un large éventail de déchets définis comme « déchets dangereux » en fonction de leur origine et/ou composition et de leurs caractéristiques, ainsi que deux types de déchets définis comme « autres déchets » - les déchets ménagers et les cendres d'incinérateur. Les dispositions de la Convention s'articulent autour des principaux objectifs suivants : </w:t>
            </w:r>
          </w:p>
          <w:p w14:paraId="41E6316D" w14:textId="77777777" w:rsidR="0038389B" w:rsidRPr="00B01850" w:rsidRDefault="0038389B" w:rsidP="00ED276F">
            <w:pPr>
              <w:numPr>
                <w:ilvl w:val="0"/>
                <w:numId w:val="3"/>
              </w:numPr>
              <w:pBdr>
                <w:top w:val="nil"/>
                <w:left w:val="nil"/>
                <w:bottom w:val="nil"/>
                <w:right w:val="nil"/>
                <w:between w:val="nil"/>
              </w:pBdr>
              <w:spacing w:after="0" w:line="240" w:lineRule="auto"/>
              <w:jc w:val="both"/>
              <w:rPr>
                <w:rFonts w:ascii="Arial" w:hAnsi="Arial" w:cs="Arial"/>
                <w:color w:val="000000"/>
                <w:sz w:val="18"/>
                <w:szCs w:val="18"/>
              </w:rPr>
            </w:pPr>
            <w:r w:rsidRPr="00B01850">
              <w:rPr>
                <w:rFonts w:ascii="Arial" w:hAnsi="Arial" w:cs="Arial"/>
                <w:color w:val="000000"/>
                <w:sz w:val="18"/>
                <w:szCs w:val="18"/>
              </w:rPr>
              <w:t>la réduction de la production de déchets dangereux et la promotion d'une gestion écologiquement rationnelle des déchets dangereux, quel que soit le lieu d'élimination ;</w:t>
            </w:r>
          </w:p>
          <w:p w14:paraId="3703007C" w14:textId="77777777" w:rsidR="0038389B" w:rsidRPr="00B01850" w:rsidRDefault="0038389B" w:rsidP="00ED276F">
            <w:pPr>
              <w:numPr>
                <w:ilvl w:val="0"/>
                <w:numId w:val="3"/>
              </w:numPr>
              <w:pBdr>
                <w:top w:val="nil"/>
                <w:left w:val="nil"/>
                <w:bottom w:val="nil"/>
                <w:right w:val="nil"/>
                <w:between w:val="nil"/>
              </w:pBdr>
              <w:spacing w:after="0" w:line="240" w:lineRule="auto"/>
              <w:jc w:val="both"/>
              <w:rPr>
                <w:rFonts w:ascii="Arial" w:hAnsi="Arial" w:cs="Arial"/>
                <w:color w:val="000000"/>
                <w:sz w:val="18"/>
                <w:szCs w:val="18"/>
              </w:rPr>
            </w:pPr>
            <w:r w:rsidRPr="00B01850">
              <w:rPr>
                <w:rFonts w:ascii="Arial" w:hAnsi="Arial" w:cs="Arial"/>
                <w:color w:val="000000"/>
                <w:sz w:val="18"/>
                <w:szCs w:val="18"/>
              </w:rPr>
              <w:lastRenderedPageBreak/>
              <w:t>la restriction des mouvements transfrontières de déchets dangereux, sauf lorsqu'ils sont perçus comme conformes aux principes d'une gestion écologiquement rationnelle ; et</w:t>
            </w:r>
          </w:p>
          <w:p w14:paraId="68077D44" w14:textId="09365F61" w:rsidR="0038389B" w:rsidRPr="00B01850" w:rsidRDefault="0038389B" w:rsidP="0038389B">
            <w:pPr>
              <w:spacing w:after="0" w:line="240" w:lineRule="auto"/>
              <w:rPr>
                <w:rFonts w:ascii="Arial" w:eastAsia="SimSun" w:hAnsi="Arial" w:cs="Arial"/>
                <w:color w:val="000000"/>
                <w:kern w:val="2"/>
                <w:sz w:val="18"/>
                <w:szCs w:val="18"/>
                <w:highlight w:val="green"/>
                <w14:ligatures w14:val="standardContextual"/>
              </w:rPr>
            </w:pPr>
            <w:r w:rsidRPr="00B01850">
              <w:rPr>
                <w:rFonts w:ascii="Arial" w:hAnsi="Arial" w:cs="Arial"/>
                <w:color w:val="000000"/>
                <w:sz w:val="18"/>
                <w:szCs w:val="18"/>
              </w:rPr>
              <w:t>un système réglementaire s'appliquant aux cas où les mouvements transfrontières sont autorisés.</w:t>
            </w:r>
          </w:p>
        </w:tc>
      </w:tr>
      <w:tr w:rsidR="00C273AA" w:rsidRPr="00B01850" w14:paraId="32D67261" w14:textId="77777777" w:rsidTr="009617D0">
        <w:tc>
          <w:tcPr>
            <w:tcW w:w="11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2BBDBB0" w14:textId="77777777" w:rsidR="00C273AA" w:rsidRPr="00B01850" w:rsidRDefault="00C273AA" w:rsidP="0038389B">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lastRenderedPageBreak/>
              <w:t>Convention africaine sur la conservation de la nature et des ressources naturelles</w:t>
            </w: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E79B5F" w14:textId="040D347B" w:rsidR="00C273AA" w:rsidRPr="00B01850" w:rsidRDefault="00E96A9C"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17Septembre 2012 </w:t>
            </w:r>
          </w:p>
        </w:tc>
        <w:tc>
          <w:tcPr>
            <w:tcW w:w="317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F405A57" w14:textId="77777777" w:rsidR="00C273AA" w:rsidRPr="00B01850" w:rsidRDefault="00C273AA" w:rsidP="000219D2">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Dans la mise en œuvre du projet il faudra veiller autant que possible à la conservation des ressources naturelles qui se trouvent sur l’aire du projet comme les espèces de flore et de faune.</w:t>
            </w:r>
          </w:p>
        </w:tc>
      </w:tr>
      <w:tr w:rsidR="00C273AA" w:rsidRPr="00B01850" w14:paraId="70DB7613" w14:textId="77777777" w:rsidTr="00C273AA">
        <w:trPr>
          <w:trHeight w:val="587"/>
        </w:trPr>
        <w:tc>
          <w:tcPr>
            <w:tcW w:w="1171" w:type="pct"/>
            <w:tcBorders>
              <w:top w:val="single" w:sz="4" w:space="0" w:color="000000"/>
              <w:left w:val="single" w:sz="4" w:space="0" w:color="000000"/>
              <w:bottom w:val="single" w:sz="4" w:space="0" w:color="000000"/>
              <w:right w:val="single" w:sz="4" w:space="0" w:color="000000"/>
            </w:tcBorders>
            <w:vAlign w:val="center"/>
          </w:tcPr>
          <w:p w14:paraId="67EEC49C" w14:textId="77777777" w:rsidR="00C273AA" w:rsidRPr="00B01850" w:rsidRDefault="00C273AA" w:rsidP="0038389B">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Convention relative à la protection du Patrimoine Mondial, culturel et naturel</w:t>
            </w:r>
          </w:p>
        </w:tc>
        <w:tc>
          <w:tcPr>
            <w:tcW w:w="655" w:type="pct"/>
            <w:tcBorders>
              <w:top w:val="single" w:sz="4" w:space="0" w:color="000000"/>
              <w:left w:val="single" w:sz="4" w:space="0" w:color="000000"/>
              <w:bottom w:val="single" w:sz="4" w:space="0" w:color="000000"/>
              <w:right w:val="single" w:sz="4" w:space="0" w:color="000000"/>
            </w:tcBorders>
            <w:vAlign w:val="center"/>
          </w:tcPr>
          <w:p w14:paraId="4DF9788D"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Ratifiée par la Guinée le 18 mars 1979</w:t>
            </w:r>
          </w:p>
        </w:tc>
        <w:tc>
          <w:tcPr>
            <w:tcW w:w="3174" w:type="pct"/>
            <w:tcBorders>
              <w:top w:val="single" w:sz="4" w:space="0" w:color="000000"/>
              <w:left w:val="single" w:sz="4" w:space="0" w:color="000000"/>
              <w:bottom w:val="single" w:sz="4" w:space="0" w:color="000000"/>
              <w:right w:val="single" w:sz="4" w:space="0" w:color="000000"/>
            </w:tcBorders>
            <w:vAlign w:val="center"/>
          </w:tcPr>
          <w:p w14:paraId="769297EE" w14:textId="77777777" w:rsidR="00C273AA" w:rsidRPr="00B01850" w:rsidRDefault="00C273AA" w:rsidP="000219D2">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Cette convention a pour but de protéger le Patrimoine Mondial, Culturel et Naturel. Elle instaure un Comité intergouvernemental de la protection du patrimoine mondial, culturel et naturel et d’un fonds pour cette protection.</w:t>
            </w:r>
          </w:p>
        </w:tc>
      </w:tr>
      <w:tr w:rsidR="00C273AA" w:rsidRPr="00B01850" w14:paraId="1F7791FB" w14:textId="77777777" w:rsidTr="00DA6885">
        <w:trPr>
          <w:trHeight w:val="625"/>
        </w:trPr>
        <w:tc>
          <w:tcPr>
            <w:tcW w:w="1171"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2E4DB768" w14:textId="77777777" w:rsidR="00C273AA" w:rsidRPr="00B01850" w:rsidRDefault="00C273AA" w:rsidP="0038389B">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Convention de Bâle sur le contrôle des mouvements transfrontière des déchets dangereux et de leur élimination.</w:t>
            </w:r>
          </w:p>
        </w:tc>
        <w:tc>
          <w:tcPr>
            <w:tcW w:w="65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7681D809"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Ratifiée le 26 avril 1995</w:t>
            </w:r>
          </w:p>
        </w:tc>
        <w:tc>
          <w:tcPr>
            <w:tcW w:w="31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6E49C781" w14:textId="77777777" w:rsidR="00C273AA" w:rsidRPr="00B01850" w:rsidRDefault="00C273AA" w:rsidP="000219D2">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Le projet devra prendre l’engagement de gérer ses déchets de sorte à ne pas être en porte-à-faux avec l’esprit de Bâle, il y veillera particulièrement dans le cadre des mouvements si nécessaire de ceux-ci.</w:t>
            </w:r>
          </w:p>
        </w:tc>
      </w:tr>
      <w:tr w:rsidR="00C273AA" w:rsidRPr="00B01850" w14:paraId="3A32FA69" w14:textId="77777777" w:rsidTr="00C273AA">
        <w:trPr>
          <w:trHeight w:val="708"/>
        </w:trPr>
        <w:tc>
          <w:tcPr>
            <w:tcW w:w="1171" w:type="pct"/>
            <w:tcBorders>
              <w:top w:val="single" w:sz="4" w:space="0" w:color="000000"/>
              <w:left w:val="single" w:sz="4" w:space="0" w:color="000000"/>
              <w:bottom w:val="single" w:sz="4" w:space="0" w:color="000000"/>
              <w:right w:val="single" w:sz="4" w:space="0" w:color="000000"/>
            </w:tcBorders>
            <w:vAlign w:val="center"/>
          </w:tcPr>
          <w:p w14:paraId="4928163C" w14:textId="77777777" w:rsidR="00C273AA" w:rsidRPr="00B01850" w:rsidRDefault="00C273AA" w:rsidP="0038389B">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Convention sur le patrimoine mondial (UNESCO)</w:t>
            </w:r>
          </w:p>
        </w:tc>
        <w:tc>
          <w:tcPr>
            <w:tcW w:w="655" w:type="pct"/>
            <w:tcBorders>
              <w:top w:val="single" w:sz="4" w:space="0" w:color="000000"/>
              <w:left w:val="single" w:sz="4" w:space="0" w:color="000000"/>
              <w:bottom w:val="single" w:sz="4" w:space="0" w:color="000000"/>
              <w:right w:val="single" w:sz="4" w:space="0" w:color="000000"/>
            </w:tcBorders>
            <w:vAlign w:val="center"/>
          </w:tcPr>
          <w:p w14:paraId="21E9E3A6" w14:textId="02F1A6B0" w:rsidR="00C273AA" w:rsidRPr="00B01850" w:rsidRDefault="00DD6EFB"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 xml:space="preserve">Ratifiée le </w:t>
            </w:r>
            <w:r w:rsidR="00E96A9C" w:rsidRPr="00B01850">
              <w:rPr>
                <w:rFonts w:ascii="Arial" w:eastAsia="SimSun" w:hAnsi="Arial" w:cs="Arial"/>
                <w:color w:val="000000"/>
                <w:kern w:val="2"/>
                <w:sz w:val="18"/>
                <w:szCs w:val="18"/>
                <w14:ligatures w14:val="standardContextual"/>
              </w:rPr>
              <w:t>21 novembre 2023</w:t>
            </w:r>
          </w:p>
        </w:tc>
        <w:tc>
          <w:tcPr>
            <w:tcW w:w="3174" w:type="pct"/>
            <w:tcBorders>
              <w:top w:val="single" w:sz="4" w:space="0" w:color="000000"/>
              <w:left w:val="single" w:sz="4" w:space="0" w:color="000000"/>
              <w:bottom w:val="single" w:sz="4" w:space="0" w:color="000000"/>
              <w:right w:val="single" w:sz="4" w:space="0" w:color="000000"/>
            </w:tcBorders>
            <w:vAlign w:val="center"/>
          </w:tcPr>
          <w:p w14:paraId="24CF27B4" w14:textId="77777777" w:rsidR="00C273AA" w:rsidRPr="00B01850" w:rsidRDefault="00C273AA" w:rsidP="000219D2">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Elle a pour mission de promouvoir la coopération entre les Nations afin de protéger le patrimoine naturel mondial et les biens culturels ayant une valeur universelle, exceptionnelle faisant que leur conservation soit importante pour les générations actuelles et futures.</w:t>
            </w:r>
          </w:p>
        </w:tc>
      </w:tr>
      <w:tr w:rsidR="0075255F" w:rsidRPr="00B01850" w14:paraId="65AF26F8" w14:textId="77777777" w:rsidTr="00C273AA">
        <w:trPr>
          <w:trHeight w:val="708"/>
        </w:trPr>
        <w:tc>
          <w:tcPr>
            <w:tcW w:w="1171" w:type="pct"/>
            <w:tcBorders>
              <w:top w:val="single" w:sz="4" w:space="0" w:color="000000"/>
              <w:left w:val="single" w:sz="4" w:space="0" w:color="000000"/>
              <w:bottom w:val="single" w:sz="4" w:space="0" w:color="000000"/>
              <w:right w:val="single" w:sz="4" w:space="0" w:color="000000"/>
            </w:tcBorders>
            <w:vAlign w:val="center"/>
          </w:tcPr>
          <w:p w14:paraId="60C6DB7A" w14:textId="73806F1D" w:rsidR="0075255F" w:rsidRPr="00B01850" w:rsidRDefault="0075255F" w:rsidP="0075255F">
            <w:pPr>
              <w:spacing w:after="0" w:line="240" w:lineRule="auto"/>
              <w:jc w:val="both"/>
              <w:rPr>
                <w:rFonts w:ascii="Arial" w:eastAsia="SimSun" w:hAnsi="Arial" w:cs="Arial"/>
                <w:bCs/>
                <w:color w:val="000000"/>
                <w:kern w:val="2"/>
                <w:sz w:val="18"/>
                <w:szCs w:val="18"/>
                <w14:ligatures w14:val="standardContextual"/>
              </w:rPr>
            </w:pPr>
            <w:r w:rsidRPr="00B01850">
              <w:rPr>
                <w:rFonts w:ascii="Arial" w:hAnsi="Arial" w:cs="Arial"/>
                <w:bCs/>
                <w:color w:val="000000"/>
                <w:sz w:val="18"/>
                <w:szCs w:val="18"/>
              </w:rPr>
              <w:t>Convention relative aux droits de l'enfant.</w:t>
            </w:r>
          </w:p>
        </w:tc>
        <w:tc>
          <w:tcPr>
            <w:tcW w:w="655" w:type="pct"/>
            <w:tcBorders>
              <w:top w:val="single" w:sz="4" w:space="0" w:color="000000"/>
              <w:left w:val="single" w:sz="4" w:space="0" w:color="000000"/>
              <w:bottom w:val="single" w:sz="4" w:space="0" w:color="000000"/>
              <w:right w:val="single" w:sz="4" w:space="0" w:color="000000"/>
            </w:tcBorders>
            <w:vAlign w:val="center"/>
          </w:tcPr>
          <w:p w14:paraId="47DEB6DB" w14:textId="244F3D22" w:rsidR="0075255F" w:rsidRPr="00B01850" w:rsidRDefault="00DD6EFB"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Ratifiée le mai 1999</w:t>
            </w:r>
          </w:p>
        </w:tc>
        <w:tc>
          <w:tcPr>
            <w:tcW w:w="3174" w:type="pct"/>
            <w:tcBorders>
              <w:top w:val="single" w:sz="4" w:space="0" w:color="000000"/>
              <w:left w:val="single" w:sz="4" w:space="0" w:color="000000"/>
              <w:bottom w:val="single" w:sz="4" w:space="0" w:color="000000"/>
              <w:right w:val="single" w:sz="4" w:space="0" w:color="000000"/>
            </w:tcBorders>
            <w:vAlign w:val="center"/>
          </w:tcPr>
          <w:p w14:paraId="4619C534" w14:textId="3495B2E8" w:rsidR="0075255F" w:rsidRPr="00B01850" w:rsidRDefault="0075255F" w:rsidP="0075255F">
            <w:pPr>
              <w:spacing w:after="0" w:line="240" w:lineRule="auto"/>
              <w:jc w:val="both"/>
              <w:rPr>
                <w:rFonts w:ascii="Arial" w:eastAsia="SimSun" w:hAnsi="Arial" w:cs="Arial"/>
                <w:color w:val="000000"/>
                <w:kern w:val="2"/>
                <w:sz w:val="18"/>
                <w:szCs w:val="18"/>
                <w14:ligatures w14:val="standardContextual"/>
              </w:rPr>
            </w:pPr>
            <w:r w:rsidRPr="00B01850">
              <w:rPr>
                <w:rFonts w:ascii="Arial" w:hAnsi="Arial" w:cs="Arial"/>
                <w:color w:val="000000"/>
                <w:sz w:val="18"/>
                <w:szCs w:val="18"/>
              </w:rPr>
              <w:t>La Convention relative aux droits de l'enfant de 1989 est la compilation la plus complète des normes juridiques internationales pour la protection des droits fondamentaux des enfants. Elle reconnaît les enfants comme des individus ayant des droits et des responsabilités en fonction de leur âge et de leur développement, ainsi que comme des membres d'une famille ou d'une communauté. Cela inclut la non-discrimination, l'intérêt supérieur de l'enfant, le droit à la vie, à la survie et au développement et le droit à la participation. Le Guinée a signé la Convention en 1991.</w:t>
            </w:r>
          </w:p>
        </w:tc>
      </w:tr>
      <w:tr w:rsidR="003E52A4" w:rsidRPr="00B01850" w14:paraId="4ED00DFD" w14:textId="77777777" w:rsidTr="00DA6885">
        <w:trPr>
          <w:trHeight w:val="395"/>
        </w:trPr>
        <w:tc>
          <w:tcPr>
            <w:tcW w:w="1171"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3C2946DE" w14:textId="2CC25D4D" w:rsidR="003E52A4" w:rsidRPr="00B01850" w:rsidRDefault="003E52A4" w:rsidP="0038389B">
            <w:pPr>
              <w:spacing w:after="0" w:line="240" w:lineRule="auto"/>
              <w:jc w:val="both"/>
              <w:rPr>
                <w:rFonts w:ascii="Arial" w:eastAsia="SimSun" w:hAnsi="Arial" w:cs="Arial"/>
                <w:bCs/>
                <w:color w:val="000000"/>
                <w:kern w:val="2"/>
                <w:sz w:val="18"/>
                <w:szCs w:val="18"/>
                <w14:ligatures w14:val="standardContextual"/>
              </w:rPr>
            </w:pPr>
            <w:r w:rsidRPr="00B01850">
              <w:rPr>
                <w:rFonts w:ascii="Arial" w:hAnsi="Arial" w:cs="Arial"/>
                <w:bCs/>
                <w:color w:val="000000"/>
                <w:sz w:val="18"/>
                <w:szCs w:val="18"/>
              </w:rPr>
              <w:t>Convention 138 de l'OIT, âge minimum</w:t>
            </w:r>
          </w:p>
        </w:tc>
        <w:tc>
          <w:tcPr>
            <w:tcW w:w="65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169073D7" w14:textId="7E86447D" w:rsidR="003E52A4" w:rsidRPr="00B01850" w:rsidRDefault="00DD6EFB"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Ratifiée le 06 juin 2003</w:t>
            </w:r>
          </w:p>
        </w:tc>
        <w:tc>
          <w:tcPr>
            <w:tcW w:w="31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3EB8B3A1" w14:textId="1B810AF6" w:rsidR="003E52A4" w:rsidRPr="00B01850" w:rsidRDefault="003E52A4" w:rsidP="00C273AA">
            <w:pPr>
              <w:spacing w:after="0" w:line="240" w:lineRule="auto"/>
              <w:rPr>
                <w:rFonts w:ascii="Arial" w:eastAsia="SimSun" w:hAnsi="Arial" w:cs="Arial"/>
                <w:color w:val="000000"/>
                <w:kern w:val="2"/>
                <w:sz w:val="18"/>
                <w:szCs w:val="18"/>
                <w14:ligatures w14:val="standardContextual"/>
              </w:rPr>
            </w:pPr>
            <w:r w:rsidRPr="00B01850">
              <w:rPr>
                <w:rFonts w:ascii="Arial" w:hAnsi="Arial" w:cs="Arial"/>
                <w:sz w:val="18"/>
                <w:szCs w:val="18"/>
              </w:rPr>
              <w:t>La convention prévoit la possibilité de fixer dans un premier temps l'âge minimum général à 14 ans (12 ans pour les travaux légers) lorsque l'économie et les structures éducatives ne sont pas suffisamment développées. Le Guinée a signé la Convention en 1999</w:t>
            </w:r>
          </w:p>
        </w:tc>
      </w:tr>
      <w:tr w:rsidR="00C273AA" w:rsidRPr="00B01850" w14:paraId="4314B20C" w14:textId="77777777" w:rsidTr="00DA6885">
        <w:trPr>
          <w:trHeight w:val="395"/>
        </w:trPr>
        <w:tc>
          <w:tcPr>
            <w:tcW w:w="1171"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50BD55B3" w14:textId="77777777" w:rsidR="00C273AA" w:rsidRPr="00B01850" w:rsidRDefault="00C273AA" w:rsidP="0038389B">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Convention sur les pires formes de travail des enfants, 1999(N°182)</w:t>
            </w:r>
          </w:p>
        </w:tc>
        <w:tc>
          <w:tcPr>
            <w:tcW w:w="65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0A8D9FC7"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Ratifiée en juin 2003</w:t>
            </w:r>
          </w:p>
        </w:tc>
        <w:tc>
          <w:tcPr>
            <w:tcW w:w="31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76375069" w14:textId="77777777" w:rsidR="00C273AA" w:rsidRPr="00B01850" w:rsidRDefault="00C273AA" w:rsidP="00C273AA">
            <w:pPr>
              <w:spacing w:after="0" w:line="240" w:lineRule="auto"/>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Elle a pour objectif la prise des mesures immédiates et efficaces pour assurer l’interdiction et l’élimination des pires formes de travail des enfants et ce, de toute urgence.</w:t>
            </w:r>
          </w:p>
        </w:tc>
      </w:tr>
      <w:tr w:rsidR="003577D6" w:rsidRPr="00B01850" w14:paraId="34D7F698" w14:textId="77777777" w:rsidTr="00C273AA">
        <w:trPr>
          <w:trHeight w:val="798"/>
        </w:trPr>
        <w:tc>
          <w:tcPr>
            <w:tcW w:w="1171" w:type="pct"/>
            <w:tcBorders>
              <w:top w:val="single" w:sz="4" w:space="0" w:color="000000"/>
              <w:left w:val="single" w:sz="4" w:space="0" w:color="000000"/>
              <w:bottom w:val="single" w:sz="4" w:space="0" w:color="000000"/>
              <w:right w:val="single" w:sz="4" w:space="0" w:color="000000"/>
            </w:tcBorders>
            <w:vAlign w:val="center"/>
          </w:tcPr>
          <w:p w14:paraId="40C0CB46" w14:textId="014FCF60" w:rsidR="003577D6" w:rsidRPr="00B01850" w:rsidRDefault="003577D6" w:rsidP="0038389B">
            <w:pPr>
              <w:spacing w:after="0" w:line="240" w:lineRule="auto"/>
              <w:jc w:val="both"/>
              <w:rPr>
                <w:rFonts w:ascii="Arial" w:eastAsia="SimSun" w:hAnsi="Arial" w:cs="Arial"/>
                <w:bCs/>
                <w:color w:val="000000"/>
                <w:kern w:val="2"/>
                <w:sz w:val="18"/>
                <w:szCs w:val="18"/>
                <w14:ligatures w14:val="standardContextual"/>
              </w:rPr>
            </w:pPr>
            <w:r w:rsidRPr="00B01850">
              <w:rPr>
                <w:rFonts w:ascii="Arial" w:eastAsia="SimSun" w:hAnsi="Arial" w:cs="Arial"/>
                <w:bCs/>
                <w:color w:val="000000"/>
                <w:kern w:val="2"/>
                <w:sz w:val="18"/>
                <w:szCs w:val="18"/>
                <w14:ligatures w14:val="standardContextual"/>
              </w:rPr>
              <w:t>Convention 100 de l'OIT sur l'égalité de rémunération.</w:t>
            </w:r>
          </w:p>
        </w:tc>
        <w:tc>
          <w:tcPr>
            <w:tcW w:w="655" w:type="pct"/>
            <w:tcBorders>
              <w:top w:val="single" w:sz="4" w:space="0" w:color="000000"/>
              <w:left w:val="single" w:sz="4" w:space="0" w:color="000000"/>
              <w:bottom w:val="single" w:sz="4" w:space="0" w:color="000000"/>
              <w:right w:val="single" w:sz="4" w:space="0" w:color="000000"/>
            </w:tcBorders>
            <w:vAlign w:val="center"/>
          </w:tcPr>
          <w:p w14:paraId="3F430C4E" w14:textId="49FF76EE" w:rsidR="003577D6" w:rsidRPr="00B01850" w:rsidRDefault="00DD6EFB"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 xml:space="preserve">Ratifiée </w:t>
            </w:r>
            <w:r w:rsidR="00F36F78" w:rsidRPr="00B01850">
              <w:rPr>
                <w:rFonts w:ascii="Arial" w:eastAsia="SimSun" w:hAnsi="Arial" w:cs="Arial"/>
                <w:color w:val="000000"/>
                <w:kern w:val="2"/>
                <w:sz w:val="18"/>
                <w:szCs w:val="18"/>
                <w14:ligatures w14:val="standardContextual"/>
              </w:rPr>
              <w:t xml:space="preserve">le </w:t>
            </w:r>
            <w:r w:rsidRPr="00B01850">
              <w:rPr>
                <w:rFonts w:ascii="Arial" w:eastAsia="SimSun" w:hAnsi="Arial" w:cs="Arial"/>
                <w:color w:val="000000"/>
                <w:kern w:val="2"/>
                <w:sz w:val="18"/>
                <w:szCs w:val="18"/>
                <w14:ligatures w14:val="standardContextual"/>
              </w:rPr>
              <w:t>11 août 1967</w:t>
            </w:r>
          </w:p>
        </w:tc>
        <w:tc>
          <w:tcPr>
            <w:tcW w:w="3174" w:type="pct"/>
            <w:tcBorders>
              <w:top w:val="single" w:sz="4" w:space="0" w:color="000000"/>
              <w:left w:val="single" w:sz="4" w:space="0" w:color="000000"/>
              <w:bottom w:val="single" w:sz="4" w:space="0" w:color="000000"/>
              <w:right w:val="single" w:sz="4" w:space="0" w:color="000000"/>
            </w:tcBorders>
            <w:vAlign w:val="center"/>
          </w:tcPr>
          <w:p w14:paraId="0A3BD7F1" w14:textId="2C3DBD39" w:rsidR="003577D6" w:rsidRPr="00B01850" w:rsidRDefault="00A500F0" w:rsidP="00C273AA">
            <w:pPr>
              <w:spacing w:after="0" w:line="240" w:lineRule="auto"/>
              <w:rPr>
                <w:rFonts w:ascii="Arial" w:eastAsia="SimSun" w:hAnsi="Arial" w:cs="Arial"/>
                <w:color w:val="000000"/>
                <w:kern w:val="2"/>
                <w:sz w:val="18"/>
                <w:szCs w:val="18"/>
                <w14:ligatures w14:val="standardContextual"/>
              </w:rPr>
            </w:pPr>
            <w:r w:rsidRPr="00B01850">
              <w:rPr>
                <w:rFonts w:ascii="Arial" w:eastAsia="SimSun" w:hAnsi="Arial" w:cs="Arial"/>
                <w:bCs/>
                <w:color w:val="000000"/>
                <w:kern w:val="2"/>
                <w:sz w:val="18"/>
                <w:szCs w:val="18"/>
                <w14:ligatures w14:val="standardContextual"/>
              </w:rPr>
              <w:t>La convention vise une rémunération égale pour un travail à rémunération égale entre les hommes et les femmes.</w:t>
            </w:r>
          </w:p>
        </w:tc>
      </w:tr>
      <w:tr w:rsidR="003577D6" w:rsidRPr="00B01850" w14:paraId="3CA6009E" w14:textId="77777777" w:rsidTr="00C273AA">
        <w:trPr>
          <w:trHeight w:val="798"/>
        </w:trPr>
        <w:tc>
          <w:tcPr>
            <w:tcW w:w="1171" w:type="pct"/>
            <w:tcBorders>
              <w:top w:val="single" w:sz="4" w:space="0" w:color="000000"/>
              <w:left w:val="single" w:sz="4" w:space="0" w:color="000000"/>
              <w:bottom w:val="single" w:sz="4" w:space="0" w:color="000000"/>
              <w:right w:val="single" w:sz="4" w:space="0" w:color="000000"/>
            </w:tcBorders>
            <w:vAlign w:val="center"/>
          </w:tcPr>
          <w:p w14:paraId="73C21FB2" w14:textId="1254CE00" w:rsidR="003577D6" w:rsidRPr="00B01850" w:rsidRDefault="003577D6" w:rsidP="009617D0">
            <w:pPr>
              <w:spacing w:after="0" w:line="240" w:lineRule="auto"/>
              <w:jc w:val="both"/>
              <w:rPr>
                <w:rFonts w:ascii="Arial" w:eastAsia="SimSun" w:hAnsi="Arial" w:cs="Arial"/>
                <w:bCs/>
                <w:color w:val="000000"/>
                <w:kern w:val="2"/>
                <w:sz w:val="18"/>
                <w:szCs w:val="18"/>
                <w14:ligatures w14:val="standardContextual"/>
              </w:rPr>
            </w:pPr>
            <w:r w:rsidRPr="00B01850">
              <w:rPr>
                <w:rFonts w:ascii="Arial" w:eastAsia="SimSun" w:hAnsi="Arial" w:cs="Arial"/>
                <w:bCs/>
                <w:color w:val="000000"/>
                <w:kern w:val="2"/>
                <w:sz w:val="18"/>
                <w:szCs w:val="18"/>
                <w14:ligatures w14:val="standardContextual"/>
              </w:rPr>
              <w:t xml:space="preserve">Convention 029 de l'OIT sur le travail forcé. </w:t>
            </w:r>
          </w:p>
        </w:tc>
        <w:tc>
          <w:tcPr>
            <w:tcW w:w="655" w:type="pct"/>
            <w:tcBorders>
              <w:top w:val="single" w:sz="4" w:space="0" w:color="000000"/>
              <w:left w:val="single" w:sz="4" w:space="0" w:color="000000"/>
              <w:bottom w:val="single" w:sz="4" w:space="0" w:color="000000"/>
              <w:right w:val="single" w:sz="4" w:space="0" w:color="000000"/>
            </w:tcBorders>
            <w:vAlign w:val="center"/>
          </w:tcPr>
          <w:p w14:paraId="7946DF14" w14:textId="7265C0D7" w:rsidR="003577D6" w:rsidRPr="00B01850" w:rsidRDefault="00F36F78"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Ratifiée le 21 janv. 1959</w:t>
            </w:r>
          </w:p>
        </w:tc>
        <w:tc>
          <w:tcPr>
            <w:tcW w:w="3174" w:type="pct"/>
            <w:tcBorders>
              <w:top w:val="single" w:sz="4" w:space="0" w:color="000000"/>
              <w:left w:val="single" w:sz="4" w:space="0" w:color="000000"/>
              <w:bottom w:val="single" w:sz="4" w:space="0" w:color="000000"/>
              <w:right w:val="single" w:sz="4" w:space="0" w:color="000000"/>
            </w:tcBorders>
            <w:vAlign w:val="center"/>
          </w:tcPr>
          <w:p w14:paraId="2EE9065E" w14:textId="024B99B1" w:rsidR="003577D6" w:rsidRPr="00B01850" w:rsidRDefault="00A500F0" w:rsidP="00C273AA">
            <w:pPr>
              <w:spacing w:after="0" w:line="240" w:lineRule="auto"/>
              <w:rPr>
                <w:rFonts w:ascii="Arial" w:eastAsia="SimSun" w:hAnsi="Arial" w:cs="Arial"/>
                <w:color w:val="000000"/>
                <w:kern w:val="2"/>
                <w:sz w:val="18"/>
                <w:szCs w:val="18"/>
                <w14:ligatures w14:val="standardContextual"/>
              </w:rPr>
            </w:pPr>
            <w:r w:rsidRPr="00B01850">
              <w:rPr>
                <w:rFonts w:ascii="Arial" w:eastAsia="SimSun" w:hAnsi="Arial" w:cs="Arial"/>
                <w:bCs/>
                <w:color w:val="000000"/>
                <w:kern w:val="2"/>
                <w:sz w:val="18"/>
                <w:szCs w:val="18"/>
                <w14:ligatures w14:val="standardContextual"/>
              </w:rPr>
              <w:t xml:space="preserve">L'objectif de la convention est de supprimer le travail forcé sous toutes ses formes. </w:t>
            </w:r>
          </w:p>
        </w:tc>
      </w:tr>
      <w:tr w:rsidR="003577D6" w:rsidRPr="00B01850" w14:paraId="6739AC8C" w14:textId="77777777" w:rsidTr="00C273AA">
        <w:trPr>
          <w:trHeight w:val="798"/>
        </w:trPr>
        <w:tc>
          <w:tcPr>
            <w:tcW w:w="1171" w:type="pct"/>
            <w:tcBorders>
              <w:top w:val="single" w:sz="4" w:space="0" w:color="000000"/>
              <w:left w:val="single" w:sz="4" w:space="0" w:color="000000"/>
              <w:bottom w:val="single" w:sz="4" w:space="0" w:color="000000"/>
              <w:right w:val="single" w:sz="4" w:space="0" w:color="000000"/>
            </w:tcBorders>
            <w:vAlign w:val="center"/>
          </w:tcPr>
          <w:p w14:paraId="3CA47CE5" w14:textId="7274F8FE" w:rsidR="003577D6" w:rsidRPr="00B01850" w:rsidRDefault="003577D6" w:rsidP="009617D0">
            <w:pPr>
              <w:spacing w:after="0" w:line="240" w:lineRule="auto"/>
              <w:jc w:val="both"/>
              <w:rPr>
                <w:rFonts w:ascii="Arial" w:eastAsia="SimSun" w:hAnsi="Arial" w:cs="Arial"/>
                <w:bCs/>
                <w:color w:val="000000"/>
                <w:kern w:val="2"/>
                <w:sz w:val="18"/>
                <w:szCs w:val="18"/>
                <w14:ligatures w14:val="standardContextual"/>
              </w:rPr>
            </w:pPr>
            <w:r w:rsidRPr="00B01850">
              <w:rPr>
                <w:rFonts w:ascii="Arial" w:eastAsia="SimSun" w:hAnsi="Arial" w:cs="Arial"/>
                <w:bCs/>
                <w:color w:val="000000"/>
                <w:kern w:val="2"/>
                <w:sz w:val="18"/>
                <w:szCs w:val="18"/>
                <w14:ligatures w14:val="standardContextual"/>
              </w:rPr>
              <w:t xml:space="preserve">Constitution de l'Organisation internationale du travail </w:t>
            </w:r>
          </w:p>
        </w:tc>
        <w:tc>
          <w:tcPr>
            <w:tcW w:w="655" w:type="pct"/>
            <w:tcBorders>
              <w:top w:val="single" w:sz="4" w:space="0" w:color="000000"/>
              <w:left w:val="single" w:sz="4" w:space="0" w:color="000000"/>
              <w:bottom w:val="single" w:sz="4" w:space="0" w:color="000000"/>
              <w:right w:val="single" w:sz="4" w:space="0" w:color="000000"/>
            </w:tcBorders>
            <w:vAlign w:val="center"/>
          </w:tcPr>
          <w:p w14:paraId="0D582234" w14:textId="19317B66" w:rsidR="003577D6" w:rsidRPr="00B01850" w:rsidRDefault="00F36F78"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Ratifiée le 23 décembre 1990</w:t>
            </w:r>
          </w:p>
        </w:tc>
        <w:tc>
          <w:tcPr>
            <w:tcW w:w="3174" w:type="pct"/>
            <w:tcBorders>
              <w:top w:val="single" w:sz="4" w:space="0" w:color="000000"/>
              <w:left w:val="single" w:sz="4" w:space="0" w:color="000000"/>
              <w:bottom w:val="single" w:sz="4" w:space="0" w:color="000000"/>
              <w:right w:val="single" w:sz="4" w:space="0" w:color="000000"/>
            </w:tcBorders>
            <w:vAlign w:val="center"/>
          </w:tcPr>
          <w:p w14:paraId="0924E389" w14:textId="09387D15" w:rsidR="003577D6" w:rsidRPr="00B01850" w:rsidRDefault="009C1D68" w:rsidP="00D16A02">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Le principe constitutionnel veut qu'une paix universelle et durable puisse être établie si elle est fondée sur la justice sociale. L'OIT a créé des caractéristiques de la société industrielle telles que la journée de travail de huit heures, la protection de la maternité, la législation sur le travail des enfants et toute une série d'autres principes.</w:t>
            </w:r>
          </w:p>
        </w:tc>
      </w:tr>
      <w:tr w:rsidR="00C273AA" w:rsidRPr="00B01850" w14:paraId="3B9FA7D7" w14:textId="77777777" w:rsidTr="00C273AA">
        <w:trPr>
          <w:trHeight w:val="798"/>
        </w:trPr>
        <w:tc>
          <w:tcPr>
            <w:tcW w:w="1171" w:type="pct"/>
            <w:tcBorders>
              <w:top w:val="single" w:sz="4" w:space="0" w:color="000000"/>
              <w:left w:val="single" w:sz="4" w:space="0" w:color="000000"/>
              <w:bottom w:val="single" w:sz="4" w:space="0" w:color="000000"/>
              <w:right w:val="single" w:sz="4" w:space="0" w:color="000000"/>
            </w:tcBorders>
            <w:vAlign w:val="center"/>
          </w:tcPr>
          <w:p w14:paraId="0BFF5167" w14:textId="1787FC40" w:rsidR="00C273AA" w:rsidRPr="00B01850" w:rsidRDefault="00C273AA" w:rsidP="009617D0">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 xml:space="preserve">Convention </w:t>
            </w:r>
            <w:r w:rsidR="00400E99" w:rsidRPr="00B01850">
              <w:rPr>
                <w:rFonts w:ascii="Arial" w:eastAsia="SimSun" w:hAnsi="Arial" w:cs="Arial"/>
                <w:color w:val="000000"/>
                <w:kern w:val="2"/>
                <w:sz w:val="18"/>
                <w:szCs w:val="18"/>
                <w14:ligatures w14:val="standardContextual"/>
              </w:rPr>
              <w:t xml:space="preserve">de l’OIT </w:t>
            </w:r>
            <w:r w:rsidRPr="00B01850">
              <w:rPr>
                <w:rFonts w:ascii="Arial" w:eastAsia="SimSun" w:hAnsi="Arial" w:cs="Arial"/>
                <w:color w:val="000000"/>
                <w:kern w:val="2"/>
                <w:sz w:val="18"/>
                <w:szCs w:val="18"/>
                <w14:ligatures w14:val="standardContextual"/>
              </w:rPr>
              <w:t>concernant la discrimination (emploi et profession) (N°111)</w:t>
            </w:r>
          </w:p>
        </w:tc>
        <w:tc>
          <w:tcPr>
            <w:tcW w:w="655" w:type="pct"/>
            <w:tcBorders>
              <w:top w:val="single" w:sz="4" w:space="0" w:color="000000"/>
              <w:left w:val="single" w:sz="4" w:space="0" w:color="000000"/>
              <w:bottom w:val="single" w:sz="4" w:space="0" w:color="000000"/>
              <w:right w:val="single" w:sz="4" w:space="0" w:color="000000"/>
            </w:tcBorders>
            <w:vAlign w:val="center"/>
          </w:tcPr>
          <w:p w14:paraId="5CE28421"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Ratifiée en septembre 1960</w:t>
            </w:r>
          </w:p>
        </w:tc>
        <w:tc>
          <w:tcPr>
            <w:tcW w:w="3174" w:type="pct"/>
            <w:tcBorders>
              <w:top w:val="single" w:sz="4" w:space="0" w:color="000000"/>
              <w:left w:val="single" w:sz="4" w:space="0" w:color="000000"/>
              <w:bottom w:val="single" w:sz="4" w:space="0" w:color="000000"/>
              <w:right w:val="single" w:sz="4" w:space="0" w:color="000000"/>
            </w:tcBorders>
            <w:vAlign w:val="center"/>
          </w:tcPr>
          <w:p w14:paraId="78F3CA2A" w14:textId="77777777" w:rsidR="00C273AA" w:rsidRPr="00B01850" w:rsidRDefault="00C273AA" w:rsidP="00D16A02">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À travers cette convention, les États membres s’engagent à formuler et à s’appliquer une politique nationale visant à promouvoir par des méthodes adaptées aux circonstances et aux usages nationaux, l’égalité de chance et de traitement en matière d’emploi et de profession afin d’éliminer toute discrimination en cette matière.</w:t>
            </w:r>
          </w:p>
        </w:tc>
      </w:tr>
      <w:tr w:rsidR="00C273AA" w:rsidRPr="00B01850" w14:paraId="15220D2E" w14:textId="77777777" w:rsidTr="00DA6885">
        <w:trPr>
          <w:trHeight w:val="896"/>
        </w:trPr>
        <w:tc>
          <w:tcPr>
            <w:tcW w:w="1171"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76F6C33C" w14:textId="77777777" w:rsidR="00C273AA" w:rsidRPr="00B01850" w:rsidRDefault="00C273AA" w:rsidP="009617D0">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lastRenderedPageBreak/>
              <w:t>Convention sur la liberté syndicale et la protection du droit syndical, 1948 (N°87)</w:t>
            </w:r>
          </w:p>
        </w:tc>
        <w:tc>
          <w:tcPr>
            <w:tcW w:w="65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73ACD6B8"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Ratifiée en janvier 1959</w:t>
            </w:r>
          </w:p>
        </w:tc>
        <w:tc>
          <w:tcPr>
            <w:tcW w:w="31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48B64FD9" w14:textId="77777777" w:rsidR="00C273AA" w:rsidRPr="00B01850" w:rsidRDefault="00C273AA" w:rsidP="00D16A02">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Cette convention établit le droit de tous les travailleurs et les employeurs à constituer et à s’affilier à des organisations de leur choix sans autorisation préalable et énonce une série de garantie pour le libre fonctionnement des organisations sans interférence da la part des pouvoirs publics.</w:t>
            </w:r>
          </w:p>
        </w:tc>
      </w:tr>
      <w:tr w:rsidR="00C273AA" w:rsidRPr="00B01850" w14:paraId="29D0F2DB" w14:textId="77777777" w:rsidTr="00C273AA">
        <w:trPr>
          <w:trHeight w:val="2547"/>
        </w:trPr>
        <w:tc>
          <w:tcPr>
            <w:tcW w:w="1171" w:type="pct"/>
            <w:tcBorders>
              <w:top w:val="single" w:sz="4" w:space="0" w:color="000000"/>
              <w:left w:val="single" w:sz="4" w:space="0" w:color="000000"/>
              <w:bottom w:val="single" w:sz="4" w:space="0" w:color="000000"/>
              <w:right w:val="single" w:sz="4" w:space="0" w:color="000000"/>
            </w:tcBorders>
            <w:vAlign w:val="center"/>
          </w:tcPr>
          <w:p w14:paraId="56604CEA" w14:textId="77777777" w:rsidR="00C273AA" w:rsidRPr="00B01850" w:rsidRDefault="00C273AA" w:rsidP="009617D0">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Convention sur la diversité biologique</w:t>
            </w:r>
          </w:p>
        </w:tc>
        <w:tc>
          <w:tcPr>
            <w:tcW w:w="655" w:type="pct"/>
            <w:tcBorders>
              <w:top w:val="single" w:sz="4" w:space="0" w:color="000000"/>
              <w:left w:val="single" w:sz="4" w:space="0" w:color="000000"/>
              <w:bottom w:val="single" w:sz="4" w:space="0" w:color="000000"/>
              <w:right w:val="single" w:sz="4" w:space="0" w:color="000000"/>
            </w:tcBorders>
            <w:vAlign w:val="center"/>
          </w:tcPr>
          <w:p w14:paraId="4773977B"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Signée le 11 juin 1992 et entrée en vigueur le 24 mars 1994 et ratifiée par la Guinée en 1993</w:t>
            </w:r>
          </w:p>
        </w:tc>
        <w:tc>
          <w:tcPr>
            <w:tcW w:w="3174" w:type="pct"/>
            <w:tcBorders>
              <w:top w:val="single" w:sz="4" w:space="0" w:color="000000"/>
              <w:left w:val="single" w:sz="4" w:space="0" w:color="000000"/>
              <w:bottom w:val="single" w:sz="4" w:space="0" w:color="000000"/>
              <w:right w:val="single" w:sz="4" w:space="0" w:color="000000"/>
            </w:tcBorders>
            <w:vAlign w:val="center"/>
          </w:tcPr>
          <w:p w14:paraId="388727CB" w14:textId="77777777" w:rsidR="00C273AA" w:rsidRPr="00B01850" w:rsidRDefault="00C273AA" w:rsidP="00D16A02">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Cette convention dispose en son article 14 aliéna a et b que chaque partie contractante à la convention devra, dans la mesure du possible : (i) Adopter des procédures permettant d’exiger l’évaluation des impacts sur l’environnement des projets qu’elle a proposés et qui sont susceptibles de nuire sensiblement à la diversité biologique en vue d’éviter et de réduire au minimum de tels effets, et, s’il y a lieu, permet au public de participer à ces procédures ; (ii) Prend les dispositions voulues pour qu’il soit dûment tenu compte des effets sur l’environnement de ses programmes et politiques susceptibles de nuire sensiblement à la diversité biologique.</w:t>
            </w:r>
          </w:p>
          <w:p w14:paraId="340E75FB" w14:textId="77777777" w:rsidR="00C273AA" w:rsidRPr="00B01850" w:rsidRDefault="00C273AA" w:rsidP="00D16A02">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Le projet s’effectuant sur des espaces étendus, la conservation de la biodiversité qui y règne est capitale dans l’exécution des activités du projet.</w:t>
            </w:r>
          </w:p>
        </w:tc>
      </w:tr>
      <w:tr w:rsidR="00C273AA" w:rsidRPr="00B01850" w14:paraId="221F2923" w14:textId="77777777" w:rsidTr="00DA6885">
        <w:trPr>
          <w:trHeight w:val="1078"/>
        </w:trPr>
        <w:tc>
          <w:tcPr>
            <w:tcW w:w="1171"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500178C6" w14:textId="77777777" w:rsidR="00C273AA" w:rsidRPr="00B01850" w:rsidRDefault="00C273AA" w:rsidP="009617D0">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Convention de Rotterdam sur la procédure de consentement préalable en connaissance de cause applicable à certains produits chimiques et pesticides dangereux qui font l’objet d’un commerce international</w:t>
            </w:r>
          </w:p>
        </w:tc>
        <w:tc>
          <w:tcPr>
            <w:tcW w:w="65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63832D21"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1958</w:t>
            </w:r>
          </w:p>
        </w:tc>
        <w:tc>
          <w:tcPr>
            <w:tcW w:w="31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3A6725BA" w14:textId="77777777" w:rsidR="00C273AA" w:rsidRPr="00B01850" w:rsidRDefault="00C273AA" w:rsidP="00D16A02">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La protection de la santé des personnes et de l’environnement par le partage de responsabilité et de la coopération entre signataires dans le domaine du commerce international de polluants chimiques très dangereux, dont les pesticides et composants chimiques industriels. Elle vise la protection de la santé des personnes ; la protection de l’environnement contre les dommages éventuels etc.</w:t>
            </w:r>
          </w:p>
        </w:tc>
      </w:tr>
      <w:tr w:rsidR="00C273AA" w:rsidRPr="00B01850" w14:paraId="04EEEE4E" w14:textId="77777777" w:rsidTr="00C273AA">
        <w:trPr>
          <w:trHeight w:val="930"/>
        </w:trPr>
        <w:tc>
          <w:tcPr>
            <w:tcW w:w="1171" w:type="pct"/>
            <w:tcBorders>
              <w:top w:val="single" w:sz="4" w:space="0" w:color="000000"/>
              <w:left w:val="single" w:sz="4" w:space="0" w:color="000000"/>
              <w:bottom w:val="single" w:sz="4" w:space="0" w:color="000000"/>
              <w:right w:val="single" w:sz="4" w:space="0" w:color="000000"/>
            </w:tcBorders>
            <w:vAlign w:val="center"/>
          </w:tcPr>
          <w:p w14:paraId="2079F204" w14:textId="77777777" w:rsidR="00C273AA" w:rsidRPr="00B01850" w:rsidRDefault="00C273AA" w:rsidP="009617D0">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Convention de Stockholm sur les Polluants Organiques Persistants</w:t>
            </w:r>
          </w:p>
        </w:tc>
        <w:tc>
          <w:tcPr>
            <w:tcW w:w="655" w:type="pct"/>
            <w:tcBorders>
              <w:top w:val="single" w:sz="4" w:space="0" w:color="000000"/>
              <w:left w:val="single" w:sz="4" w:space="0" w:color="000000"/>
              <w:bottom w:val="single" w:sz="4" w:space="0" w:color="000000"/>
              <w:right w:val="single" w:sz="4" w:space="0" w:color="000000"/>
            </w:tcBorders>
            <w:vAlign w:val="center"/>
          </w:tcPr>
          <w:p w14:paraId="0146562E" w14:textId="77777777"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Ratifiée le 11/12/2007</w:t>
            </w:r>
          </w:p>
        </w:tc>
        <w:tc>
          <w:tcPr>
            <w:tcW w:w="3174" w:type="pct"/>
            <w:tcBorders>
              <w:top w:val="single" w:sz="4" w:space="0" w:color="000000"/>
              <w:left w:val="single" w:sz="4" w:space="0" w:color="000000"/>
              <w:bottom w:val="single" w:sz="4" w:space="0" w:color="000000"/>
              <w:right w:val="single" w:sz="4" w:space="0" w:color="000000"/>
            </w:tcBorders>
            <w:vAlign w:val="center"/>
          </w:tcPr>
          <w:p w14:paraId="0264C435" w14:textId="77777777" w:rsidR="00C273AA" w:rsidRPr="00B01850" w:rsidRDefault="00C273AA" w:rsidP="00D16A02">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Instrument juridique spécifique visant à limiter les risques que présente le rejet ou l’émission des produits s’accumulant dans les dans les écosystèmes terrestres et aquatiques, et ayant la particularité de pénétrer les êtres humains par la chaine d’alimentation.</w:t>
            </w:r>
          </w:p>
          <w:p w14:paraId="6EC7E025" w14:textId="77777777" w:rsidR="00C273AA" w:rsidRPr="00B01850" w:rsidRDefault="00C273AA" w:rsidP="00D16A02">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Le projet se conformera aux mesures prises allant dans le sens de réduire le volume total des rejets d’origine anthropique.</w:t>
            </w:r>
          </w:p>
        </w:tc>
      </w:tr>
      <w:tr w:rsidR="00C273AA" w:rsidRPr="00B01850" w14:paraId="3FC1EADB" w14:textId="77777777" w:rsidTr="00EA5F1F">
        <w:trPr>
          <w:trHeight w:val="676"/>
        </w:trPr>
        <w:tc>
          <w:tcPr>
            <w:tcW w:w="1171"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5D38DF0E" w14:textId="77777777" w:rsidR="00C273AA" w:rsidRPr="00B01850" w:rsidRDefault="00C273AA" w:rsidP="009617D0">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Convention sur l’élimination de toutes les formes de discrimination à l’égard des femmes (CEDEF)</w:t>
            </w:r>
          </w:p>
        </w:tc>
        <w:tc>
          <w:tcPr>
            <w:tcW w:w="65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69D2092E" w14:textId="0F8248E1"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 xml:space="preserve">Ratifiée le </w:t>
            </w:r>
            <w:r w:rsidR="0013571E" w:rsidRPr="00B01850">
              <w:rPr>
                <w:rFonts w:ascii="Arial" w:eastAsia="SimSun" w:hAnsi="Arial" w:cs="Arial"/>
                <w:color w:val="000000"/>
                <w:kern w:val="2"/>
                <w:sz w:val="18"/>
                <w:szCs w:val="18"/>
                <w14:ligatures w14:val="standardContextual"/>
              </w:rPr>
              <w:t>09 août 1982</w:t>
            </w:r>
          </w:p>
        </w:tc>
        <w:tc>
          <w:tcPr>
            <w:tcW w:w="31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39B71589" w14:textId="77777777" w:rsidR="00C273AA" w:rsidRPr="00B01850" w:rsidRDefault="00C273AA" w:rsidP="006A4204">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L’analyse selon le genre fournit des outils pour répondre aux enjeux d’un objectif de réduction de la pauvreté de façon égalitaire et favoriser l’investissement de ressources en faveur de l’égalité entre les femmes et les hommes, afin que les femmes aussi puissent être de réelles bénéficiaires et participantes aux moyens de réduction de la pauvreté qui les touche particulièrement.</w:t>
            </w:r>
          </w:p>
        </w:tc>
      </w:tr>
      <w:tr w:rsidR="00131AAE" w:rsidRPr="00B01850" w14:paraId="093DA797" w14:textId="77777777" w:rsidTr="00EA5F1F">
        <w:trPr>
          <w:trHeight w:val="676"/>
        </w:trPr>
        <w:tc>
          <w:tcPr>
            <w:tcW w:w="1171"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033F699F" w14:textId="11A85BA4" w:rsidR="00131AAE" w:rsidRPr="00B01850" w:rsidRDefault="00131AAE" w:rsidP="009617D0">
            <w:pPr>
              <w:spacing w:after="0" w:line="240" w:lineRule="auto"/>
              <w:jc w:val="both"/>
              <w:rPr>
                <w:rFonts w:ascii="Arial" w:eastAsia="SimSun" w:hAnsi="Arial" w:cs="Arial"/>
                <w:color w:val="000000"/>
                <w:kern w:val="2"/>
                <w:sz w:val="18"/>
                <w:szCs w:val="18"/>
                <w14:ligatures w14:val="standardContextual"/>
              </w:rPr>
            </w:pPr>
            <w:r w:rsidRPr="00B01850">
              <w:rPr>
                <w:rFonts w:ascii="Arial" w:hAnsi="Arial" w:cs="Arial"/>
                <w:sz w:val="18"/>
                <w:szCs w:val="18"/>
              </w:rPr>
              <w:t xml:space="preserve">La Déclaration et le Programme d'action de Beijing (1995) </w:t>
            </w:r>
          </w:p>
        </w:tc>
        <w:tc>
          <w:tcPr>
            <w:tcW w:w="65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32C3B288" w14:textId="78276324" w:rsidR="00131AAE" w:rsidRPr="00B01850" w:rsidRDefault="00EA5F1F"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Le 15 septembre 1995</w:t>
            </w:r>
          </w:p>
        </w:tc>
        <w:tc>
          <w:tcPr>
            <w:tcW w:w="31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18A4E6F9" w14:textId="493D8C79" w:rsidR="00131AAE" w:rsidRPr="00B01850" w:rsidRDefault="00D16A02" w:rsidP="00131AAE">
            <w:pPr>
              <w:spacing w:after="0" w:line="240" w:lineRule="auto"/>
              <w:jc w:val="both"/>
              <w:rPr>
                <w:rFonts w:ascii="Arial" w:eastAsia="SimSun" w:hAnsi="Arial" w:cs="Arial"/>
                <w:color w:val="000000"/>
                <w:kern w:val="2"/>
                <w:sz w:val="18"/>
                <w:szCs w:val="18"/>
                <w14:ligatures w14:val="standardContextual"/>
              </w:rPr>
            </w:pPr>
            <w:r w:rsidRPr="00B01850">
              <w:rPr>
                <w:rFonts w:ascii="Arial" w:hAnsi="Arial" w:cs="Arial"/>
                <w:sz w:val="18"/>
                <w:szCs w:val="18"/>
              </w:rPr>
              <w:t>U</w:t>
            </w:r>
            <w:r w:rsidR="00131AAE" w:rsidRPr="00B01850">
              <w:rPr>
                <w:rFonts w:ascii="Arial" w:hAnsi="Arial" w:cs="Arial"/>
                <w:sz w:val="18"/>
                <w:szCs w:val="18"/>
              </w:rPr>
              <w:t>n programme d'action pour l'autonomisation des femmes, s'articule autour de 12 domaines de préoccupation, dont les femmes et l'environnement, les femmes au pouvoir et dans la prise de décision, la petite fille, les femmes et l'économie, les femmes et la pauvreté, la violence à l'égard des femmes, les droits de l'homme et les femmes, etc. Le Guinée s'est engagé à mettre en œuvre la Déclaration.</w:t>
            </w:r>
          </w:p>
        </w:tc>
      </w:tr>
      <w:tr w:rsidR="00131AAE" w:rsidRPr="00B01850" w14:paraId="4938AE5A" w14:textId="77777777" w:rsidTr="00EA5F1F">
        <w:trPr>
          <w:trHeight w:val="676"/>
        </w:trPr>
        <w:tc>
          <w:tcPr>
            <w:tcW w:w="1171"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5798895C" w14:textId="0B1C6745" w:rsidR="00131AAE" w:rsidRPr="00B01850" w:rsidRDefault="00131AAE" w:rsidP="009617D0">
            <w:pPr>
              <w:spacing w:after="0" w:line="240" w:lineRule="auto"/>
              <w:jc w:val="both"/>
              <w:rPr>
                <w:rFonts w:ascii="Arial" w:hAnsi="Arial" w:cs="Arial"/>
                <w:sz w:val="18"/>
                <w:szCs w:val="18"/>
              </w:rPr>
            </w:pPr>
            <w:r w:rsidRPr="00B01850">
              <w:rPr>
                <w:rFonts w:ascii="Arial" w:hAnsi="Arial" w:cs="Arial"/>
                <w:sz w:val="18"/>
                <w:szCs w:val="18"/>
              </w:rPr>
              <w:t>Le Protocole à la Charte africaine des droits de l'homme et des peuples relatif aux droits des femmes en Afrique (Protocole de Maputo)</w:t>
            </w:r>
          </w:p>
        </w:tc>
        <w:tc>
          <w:tcPr>
            <w:tcW w:w="65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11DA83C3" w14:textId="5DC0842A" w:rsidR="00131AAE" w:rsidRPr="00B01850" w:rsidRDefault="00EA5F1F" w:rsidP="00C273AA">
            <w:pPr>
              <w:spacing w:after="0" w:line="240" w:lineRule="auto"/>
              <w:jc w:val="center"/>
              <w:rPr>
                <w:rFonts w:ascii="Arial" w:eastAsia="SimSun" w:hAnsi="Arial" w:cs="Arial"/>
                <w:color w:val="000000"/>
                <w:kern w:val="2"/>
                <w:sz w:val="18"/>
                <w:szCs w:val="18"/>
                <w:highlight w:val="green"/>
                <w14:ligatures w14:val="standardContextual"/>
              </w:rPr>
            </w:pPr>
            <w:r w:rsidRPr="00B01850">
              <w:rPr>
                <w:rFonts w:ascii="Arial" w:eastAsia="SimSun" w:hAnsi="Arial" w:cs="Arial"/>
                <w:color w:val="000000"/>
                <w:kern w:val="2"/>
                <w:sz w:val="18"/>
                <w:szCs w:val="18"/>
                <w14:ligatures w14:val="standardContextual"/>
              </w:rPr>
              <w:t>08 octobre 2003</w:t>
            </w:r>
          </w:p>
        </w:tc>
        <w:tc>
          <w:tcPr>
            <w:tcW w:w="31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06FD948E" w14:textId="13424AB8" w:rsidR="00131AAE" w:rsidRPr="00B01850" w:rsidRDefault="0013571E" w:rsidP="00131AAE">
            <w:pPr>
              <w:spacing w:after="0" w:line="240" w:lineRule="auto"/>
              <w:jc w:val="both"/>
              <w:rPr>
                <w:rFonts w:ascii="Arial" w:hAnsi="Arial" w:cs="Arial"/>
                <w:sz w:val="18"/>
                <w:szCs w:val="18"/>
              </w:rPr>
            </w:pPr>
            <w:r w:rsidRPr="00B01850">
              <w:rPr>
                <w:rFonts w:ascii="Arial" w:hAnsi="Arial" w:cs="Arial"/>
                <w:sz w:val="18"/>
                <w:szCs w:val="18"/>
              </w:rPr>
              <w:t>I</w:t>
            </w:r>
            <w:r w:rsidR="00131AAE" w:rsidRPr="00B01850">
              <w:rPr>
                <w:rFonts w:ascii="Arial" w:hAnsi="Arial" w:cs="Arial"/>
                <w:sz w:val="18"/>
                <w:szCs w:val="18"/>
              </w:rPr>
              <w:t>nstrument international relatif aux droits de l'homme établi par l'Union africaine et entré en vigueur en 2005.</w:t>
            </w:r>
          </w:p>
        </w:tc>
      </w:tr>
      <w:tr w:rsidR="00C273AA" w:rsidRPr="00B01850" w14:paraId="31BB39E0" w14:textId="77777777" w:rsidTr="00C273AA">
        <w:trPr>
          <w:trHeight w:val="1404"/>
        </w:trPr>
        <w:tc>
          <w:tcPr>
            <w:tcW w:w="1171"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5BB558" w14:textId="77777777" w:rsidR="00C273AA" w:rsidRPr="00B01850" w:rsidRDefault="00C273AA" w:rsidP="009617D0">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lastRenderedPageBreak/>
              <w:t>Convention sur le milieu de travail (pollution de l'air, bruit et vibrations) (n° 148)</w:t>
            </w:r>
          </w:p>
          <w:p w14:paraId="1248A605" w14:textId="77777777" w:rsidR="00C273AA" w:rsidRPr="00B01850" w:rsidRDefault="00C273AA" w:rsidP="009617D0">
            <w:pPr>
              <w:spacing w:after="0" w:line="240" w:lineRule="auto"/>
              <w:jc w:val="both"/>
              <w:rPr>
                <w:rFonts w:ascii="Arial" w:eastAsia="SimSun" w:hAnsi="Arial" w:cs="Arial"/>
                <w:color w:val="000000"/>
                <w:kern w:val="2"/>
                <w:sz w:val="18"/>
                <w:szCs w:val="18"/>
                <w14:ligatures w14:val="standardContextual"/>
              </w:rPr>
            </w:pPr>
          </w:p>
        </w:tc>
        <w:tc>
          <w:tcPr>
            <w:tcW w:w="65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815D860" w14:textId="46713D78"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 xml:space="preserve">Entrée en vigueur le 11 </w:t>
            </w:r>
            <w:r w:rsidR="008C75A1" w:rsidRPr="00B01850">
              <w:rPr>
                <w:rFonts w:ascii="Arial" w:eastAsia="SimSun" w:hAnsi="Arial" w:cs="Arial"/>
                <w:color w:val="000000"/>
                <w:kern w:val="2"/>
                <w:sz w:val="18"/>
                <w:szCs w:val="18"/>
                <w14:ligatures w14:val="standardContextual"/>
              </w:rPr>
              <w:t>juillet</w:t>
            </w:r>
            <w:r w:rsidRPr="00B01850">
              <w:rPr>
                <w:rFonts w:ascii="Arial" w:eastAsia="SimSun" w:hAnsi="Arial" w:cs="Arial"/>
                <w:color w:val="000000"/>
                <w:kern w:val="2"/>
                <w:sz w:val="18"/>
                <w:szCs w:val="18"/>
                <w14:ligatures w14:val="standardContextual"/>
              </w:rPr>
              <w:t xml:space="preserve"> 1979 et ratifiée par la Guinée le 08 </w:t>
            </w:r>
            <w:r w:rsidR="008C75A1" w:rsidRPr="00B01850">
              <w:rPr>
                <w:rFonts w:ascii="Arial" w:eastAsia="SimSun" w:hAnsi="Arial" w:cs="Arial"/>
                <w:color w:val="000000"/>
                <w:kern w:val="2"/>
                <w:sz w:val="18"/>
                <w:szCs w:val="18"/>
                <w14:ligatures w14:val="standardContextual"/>
              </w:rPr>
              <w:t>juin</w:t>
            </w:r>
            <w:r w:rsidRPr="00B01850">
              <w:rPr>
                <w:rFonts w:ascii="Arial" w:eastAsia="SimSun" w:hAnsi="Arial" w:cs="Arial"/>
                <w:color w:val="000000"/>
                <w:kern w:val="2"/>
                <w:sz w:val="18"/>
                <w:szCs w:val="18"/>
                <w14:ligatures w14:val="standardContextual"/>
              </w:rPr>
              <w:t xml:space="preserve"> 1982</w:t>
            </w:r>
          </w:p>
        </w:tc>
        <w:tc>
          <w:tcPr>
            <w:tcW w:w="3174"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91A8416" w14:textId="77777777" w:rsidR="00C273AA" w:rsidRPr="00B01850" w:rsidRDefault="00C273AA" w:rsidP="00C273AA">
            <w:pPr>
              <w:spacing w:after="0" w:line="240" w:lineRule="auto"/>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Toutes organisations représentatives des employeurs et des travailleurs, s'il en existe, doit accepter les obligations prévues par la présente convention séparément en ce qui concerne :</w:t>
            </w:r>
          </w:p>
          <w:p w14:paraId="194A1616" w14:textId="77777777" w:rsidR="00C273AA" w:rsidRPr="00B01850" w:rsidRDefault="00C273AA" w:rsidP="00214DCC">
            <w:pPr>
              <w:numPr>
                <w:ilvl w:val="0"/>
                <w:numId w:val="40"/>
              </w:num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(a) la pollution de l'air;</w:t>
            </w:r>
          </w:p>
          <w:p w14:paraId="4A3E1884" w14:textId="77777777" w:rsidR="00C273AA" w:rsidRPr="00B01850" w:rsidRDefault="00C273AA" w:rsidP="00214DCC">
            <w:pPr>
              <w:numPr>
                <w:ilvl w:val="0"/>
                <w:numId w:val="40"/>
              </w:num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(b) le bruit;</w:t>
            </w:r>
          </w:p>
          <w:p w14:paraId="4B3F6794" w14:textId="77777777" w:rsidR="00C273AA" w:rsidRPr="00B01850" w:rsidRDefault="00C273AA" w:rsidP="00214DCC">
            <w:pPr>
              <w:numPr>
                <w:ilvl w:val="0"/>
                <w:numId w:val="40"/>
              </w:num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 les vibrations. (Art.2)</w:t>
            </w:r>
          </w:p>
          <w:p w14:paraId="5A757A9F" w14:textId="77777777" w:rsidR="00C273AA" w:rsidRPr="00B01850" w:rsidRDefault="00C273AA" w:rsidP="00C273AA">
            <w:pPr>
              <w:spacing w:after="0" w:line="240" w:lineRule="auto"/>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La législation nationale devra prescrire que des mesures seront prises sur les lieux de travail pour prévenir les risques professionnels dus à la pollution de l'air, au bruit et aux vibrations, les limiter et protéger les travailleurs contre ces risques.</w:t>
            </w:r>
          </w:p>
          <w:p w14:paraId="67EE0824" w14:textId="77777777" w:rsidR="00C273AA" w:rsidRPr="00B01850" w:rsidRDefault="00C273AA" w:rsidP="00C273AA">
            <w:pPr>
              <w:spacing w:after="0" w:line="240" w:lineRule="auto"/>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Les modalités d'application des mesures prescrites pourront être adoptées par voie de normes techniques, de recueils de directives pratiques ou par d'autres voies appropriées.</w:t>
            </w:r>
          </w:p>
        </w:tc>
      </w:tr>
      <w:tr w:rsidR="00C273AA" w:rsidRPr="00B01850" w14:paraId="2EA3C237" w14:textId="77777777" w:rsidTr="001C680D">
        <w:trPr>
          <w:trHeight w:val="4344"/>
        </w:trPr>
        <w:tc>
          <w:tcPr>
            <w:tcW w:w="1171"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76A81652" w14:textId="77777777" w:rsidR="00C273AA" w:rsidRPr="00B01850" w:rsidRDefault="00C273AA" w:rsidP="009617D0">
            <w:p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Convention sur la sécurité et la santé dans la construction (n° 167)</w:t>
            </w:r>
          </w:p>
        </w:tc>
        <w:tc>
          <w:tcPr>
            <w:tcW w:w="655"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296D40BA" w14:textId="46FEEA4A" w:rsidR="00C273AA" w:rsidRPr="00B01850" w:rsidRDefault="00C273AA" w:rsidP="00C273AA">
            <w:pPr>
              <w:spacing w:after="0" w:line="240" w:lineRule="auto"/>
              <w:jc w:val="center"/>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 xml:space="preserve">Entrée en vigueur le 11 </w:t>
            </w:r>
            <w:r w:rsidR="001C680D" w:rsidRPr="00B01850">
              <w:rPr>
                <w:rFonts w:ascii="Arial" w:eastAsia="SimSun" w:hAnsi="Arial" w:cs="Arial"/>
                <w:color w:val="000000"/>
                <w:kern w:val="2"/>
                <w:sz w:val="18"/>
                <w:szCs w:val="18"/>
                <w14:ligatures w14:val="standardContextual"/>
              </w:rPr>
              <w:t>janvier</w:t>
            </w:r>
            <w:r w:rsidRPr="00B01850">
              <w:rPr>
                <w:rFonts w:ascii="Arial" w:eastAsia="SimSun" w:hAnsi="Arial" w:cs="Arial"/>
                <w:color w:val="000000"/>
                <w:kern w:val="2"/>
                <w:sz w:val="18"/>
                <w:szCs w:val="18"/>
                <w14:ligatures w14:val="standardContextual"/>
              </w:rPr>
              <w:t xml:space="preserve"> 1991 et ratifiée par la Guinée le 25 </w:t>
            </w:r>
            <w:r w:rsidR="001C680D" w:rsidRPr="00B01850">
              <w:rPr>
                <w:rFonts w:ascii="Arial" w:eastAsia="SimSun" w:hAnsi="Arial" w:cs="Arial"/>
                <w:color w:val="000000"/>
                <w:kern w:val="2"/>
                <w:sz w:val="18"/>
                <w:szCs w:val="18"/>
                <w14:ligatures w14:val="standardContextual"/>
              </w:rPr>
              <w:t>a</w:t>
            </w:r>
            <w:r w:rsidRPr="00B01850">
              <w:rPr>
                <w:rFonts w:ascii="Arial" w:eastAsia="SimSun" w:hAnsi="Arial" w:cs="Arial"/>
                <w:color w:val="000000"/>
                <w:kern w:val="2"/>
                <w:sz w:val="18"/>
                <w:szCs w:val="18"/>
                <w14:ligatures w14:val="standardContextual"/>
              </w:rPr>
              <w:t>vril 2017</w:t>
            </w:r>
          </w:p>
        </w:tc>
        <w:tc>
          <w:tcPr>
            <w:tcW w:w="3174" w:type="pct"/>
            <w:tcBorders>
              <w:top w:val="single" w:sz="4" w:space="0" w:color="000000"/>
              <w:left w:val="single" w:sz="4" w:space="0" w:color="000000"/>
              <w:bottom w:val="single" w:sz="4" w:space="0" w:color="000000"/>
              <w:right w:val="single" w:sz="4" w:space="0" w:color="000000"/>
            </w:tcBorders>
            <w:shd w:val="clear" w:color="auto" w:fill="FDE9D9" w:themeFill="accent6" w:themeFillTint="33"/>
            <w:vAlign w:val="center"/>
          </w:tcPr>
          <w:p w14:paraId="5F58D9A3" w14:textId="77777777" w:rsidR="00C273AA" w:rsidRPr="00B01850" w:rsidRDefault="00C273AA" w:rsidP="00C273AA">
            <w:pPr>
              <w:spacing w:after="0" w:line="240" w:lineRule="auto"/>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La convention s'applique à toutes les activités de construction, c'est-à-dire aux travaux du bâtiment, au génie civil et aux travaux de montage et de démontage, y compris tout procédé, toute opération ou tout transport sur un chantier de construction, depuis la préparation du site jusqu'à l'achèvement du projet. (Art. 1)</w:t>
            </w:r>
          </w:p>
          <w:p w14:paraId="608A83AC" w14:textId="77777777" w:rsidR="00C273AA" w:rsidRPr="00B01850" w:rsidRDefault="00C273AA" w:rsidP="00C273AA">
            <w:pPr>
              <w:spacing w:after="0" w:line="240" w:lineRule="auto"/>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Chaque fois que deux ou plusieurs employeurs entreprennent simultanément des travaux sur un chantier :</w:t>
            </w:r>
          </w:p>
          <w:p w14:paraId="3CEA4CC1" w14:textId="39D30C0E" w:rsidR="00C273AA" w:rsidRPr="00B01850" w:rsidRDefault="00C273AA" w:rsidP="00214DCC">
            <w:pPr>
              <w:numPr>
                <w:ilvl w:val="0"/>
                <w:numId w:val="41"/>
              </w:num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 xml:space="preserve">(a) il incombera à l'entrepreneur principal, ou tout autre personne ou organisme assumant le contrôle effectif ou la responsabilité principale de l'ensemble des activités du chantier, de coordonner les mesures prescrites, dans le domaine de la sécurité et de la santé, et que ces mesures soient respectées pour autant que cela soit compatible avec la législation </w:t>
            </w:r>
            <w:r w:rsidR="009617D0" w:rsidRPr="00B01850">
              <w:rPr>
                <w:rFonts w:ascii="Arial" w:eastAsia="SimSun" w:hAnsi="Arial" w:cs="Arial"/>
                <w:color w:val="000000"/>
                <w:kern w:val="2"/>
                <w:sz w:val="18"/>
                <w:szCs w:val="18"/>
                <w14:ligatures w14:val="standardContextual"/>
              </w:rPr>
              <w:t>nationale ;</w:t>
            </w:r>
          </w:p>
          <w:p w14:paraId="038F57D7" w14:textId="5AF843D9" w:rsidR="00C273AA" w:rsidRPr="00B01850" w:rsidRDefault="00C273AA" w:rsidP="00214DCC">
            <w:pPr>
              <w:numPr>
                <w:ilvl w:val="0"/>
                <w:numId w:val="41"/>
              </w:num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(b) lorsque l'entrepreneur principal ou la personne ou l'organisme assumant le contrôle effectif ou la responsabilité principale de l'ensemble des activités du chantier n'y est pas présent, il doit, dans la mesure où cela est compatible avec la législation nationale, désigner une personne ou un organisme compétent sur place ayant l'autorité et les moyens nécessaires pour assurer, en son nom, la coordination et l'application des mesures prévues à l'alinéa a) ci-</w:t>
            </w:r>
            <w:r w:rsidR="009617D0" w:rsidRPr="00B01850">
              <w:rPr>
                <w:rFonts w:ascii="Arial" w:eastAsia="SimSun" w:hAnsi="Arial" w:cs="Arial"/>
                <w:color w:val="000000"/>
                <w:kern w:val="2"/>
                <w:sz w:val="18"/>
                <w:szCs w:val="18"/>
                <w14:ligatures w14:val="standardContextual"/>
              </w:rPr>
              <w:t>dessus ;</w:t>
            </w:r>
          </w:p>
          <w:p w14:paraId="2D2990C6" w14:textId="77777777" w:rsidR="00C273AA" w:rsidRPr="00B01850" w:rsidRDefault="00C273AA" w:rsidP="00214DCC">
            <w:pPr>
              <w:numPr>
                <w:ilvl w:val="0"/>
                <w:numId w:val="41"/>
              </w:numPr>
              <w:spacing w:after="0" w:line="240" w:lineRule="auto"/>
              <w:jc w:val="both"/>
              <w:rPr>
                <w:rFonts w:ascii="Arial" w:eastAsia="SimSun" w:hAnsi="Arial" w:cs="Arial"/>
                <w:color w:val="000000"/>
                <w:kern w:val="2"/>
                <w:sz w:val="18"/>
                <w:szCs w:val="18"/>
                <w14:ligatures w14:val="standardContextual"/>
              </w:rPr>
            </w:pPr>
            <w:r w:rsidRPr="00B01850">
              <w:rPr>
                <w:rFonts w:ascii="Arial" w:eastAsia="SimSun" w:hAnsi="Arial" w:cs="Arial"/>
                <w:color w:val="000000"/>
                <w:kern w:val="2"/>
                <w:sz w:val="18"/>
                <w:szCs w:val="18"/>
                <w14:ligatures w14:val="standardContextual"/>
              </w:rPr>
              <w:t>(c) chaque employeur restera responsable de l'application des mesures prescrites pour les travailleurs placés sous son autorité. (Art.8)</w:t>
            </w:r>
          </w:p>
        </w:tc>
      </w:tr>
    </w:tbl>
    <w:p w14:paraId="45CAD7E4" w14:textId="5D9B53A0" w:rsidR="00C273AA" w:rsidRPr="00B01850" w:rsidRDefault="00C273AA" w:rsidP="00C273AA">
      <w:pPr>
        <w:rPr>
          <w:rFonts w:ascii="Arial" w:hAnsi="Arial" w:cs="Arial"/>
          <w:highlight w:val="magenta"/>
        </w:rPr>
        <w:sectPr w:rsidR="00C273AA" w:rsidRPr="00B01850" w:rsidSect="00494DC5">
          <w:pgSz w:w="15840" w:h="12240" w:orient="landscape"/>
          <w:pgMar w:top="1440" w:right="1440" w:bottom="1440" w:left="1440" w:header="720" w:footer="720" w:gutter="0"/>
          <w:cols w:space="720" w:equalWidth="0">
            <w:col w:w="9360"/>
          </w:cols>
          <w:docGrid w:linePitch="326"/>
        </w:sectPr>
      </w:pPr>
      <w:bookmarkStart w:id="127" w:name="_Toc1524938151"/>
    </w:p>
    <w:p w14:paraId="7E266C14" w14:textId="4CC4BCE3" w:rsidR="005D30B4" w:rsidRPr="00B01850" w:rsidRDefault="000A6A96" w:rsidP="00CE5567">
      <w:pPr>
        <w:pStyle w:val="Heading1"/>
        <w:jc w:val="both"/>
        <w:rPr>
          <w:rFonts w:ascii="Arial" w:hAnsi="Arial" w:cs="Arial"/>
          <w:color w:val="auto"/>
          <w:sz w:val="22"/>
          <w:szCs w:val="22"/>
        </w:rPr>
      </w:pPr>
      <w:bookmarkStart w:id="128" w:name="_Toc197382154"/>
      <w:r w:rsidRPr="00B01850">
        <w:rPr>
          <w:rFonts w:ascii="Arial" w:hAnsi="Arial" w:cs="Arial"/>
          <w:b/>
          <w:bCs/>
          <w:color w:val="auto"/>
          <w:sz w:val="22"/>
          <w:szCs w:val="22"/>
        </w:rPr>
        <w:lastRenderedPageBreak/>
        <w:t xml:space="preserve">SECTION 5 </w:t>
      </w:r>
      <w:r w:rsidRPr="00B01850">
        <w:rPr>
          <w:rFonts w:ascii="Arial" w:hAnsi="Arial" w:cs="Arial"/>
          <w:color w:val="auto"/>
          <w:sz w:val="22"/>
          <w:szCs w:val="22"/>
        </w:rPr>
        <w:t xml:space="preserve">: </w:t>
      </w:r>
      <w:r w:rsidR="00CE5567" w:rsidRPr="00B01850">
        <w:rPr>
          <w:rFonts w:ascii="Arial" w:hAnsi="Arial" w:cs="Arial"/>
          <w:color w:val="auto"/>
          <w:sz w:val="22"/>
          <w:szCs w:val="22"/>
        </w:rPr>
        <w:t xml:space="preserve">AUTRES </w:t>
      </w:r>
      <w:r w:rsidRPr="00B01850">
        <w:rPr>
          <w:rFonts w:ascii="Arial" w:hAnsi="Arial" w:cs="Arial"/>
          <w:color w:val="auto"/>
          <w:sz w:val="22"/>
          <w:szCs w:val="22"/>
        </w:rPr>
        <w:t xml:space="preserve">MESURES </w:t>
      </w:r>
      <w:r w:rsidR="00CE5567" w:rsidRPr="00B01850">
        <w:rPr>
          <w:rFonts w:ascii="Arial" w:hAnsi="Arial" w:cs="Arial"/>
          <w:color w:val="auto"/>
          <w:sz w:val="22"/>
          <w:szCs w:val="22"/>
        </w:rPr>
        <w:t xml:space="preserve">DE MAITRISE DES RISQUES ET IMPACTS </w:t>
      </w:r>
      <w:r w:rsidRPr="00B01850">
        <w:rPr>
          <w:rFonts w:ascii="Arial" w:hAnsi="Arial" w:cs="Arial"/>
          <w:color w:val="auto"/>
          <w:sz w:val="22"/>
          <w:szCs w:val="22"/>
        </w:rPr>
        <w:t>ENVIRONNEMENTA</w:t>
      </w:r>
      <w:r w:rsidR="00CE5567" w:rsidRPr="00B01850">
        <w:rPr>
          <w:rFonts w:ascii="Arial" w:hAnsi="Arial" w:cs="Arial"/>
          <w:color w:val="auto"/>
          <w:sz w:val="22"/>
          <w:szCs w:val="22"/>
        </w:rPr>
        <w:t xml:space="preserve">UX </w:t>
      </w:r>
      <w:r w:rsidRPr="00B01850">
        <w:rPr>
          <w:rFonts w:ascii="Arial" w:hAnsi="Arial" w:cs="Arial"/>
          <w:color w:val="auto"/>
          <w:sz w:val="22"/>
          <w:szCs w:val="22"/>
        </w:rPr>
        <w:t>ET SOCIA</w:t>
      </w:r>
      <w:r w:rsidR="00CE5567" w:rsidRPr="00B01850">
        <w:rPr>
          <w:rFonts w:ascii="Arial" w:hAnsi="Arial" w:cs="Arial"/>
          <w:color w:val="auto"/>
          <w:sz w:val="22"/>
          <w:szCs w:val="22"/>
        </w:rPr>
        <w:t>UX</w:t>
      </w:r>
      <w:bookmarkEnd w:id="127"/>
      <w:bookmarkEnd w:id="128"/>
    </w:p>
    <w:p w14:paraId="5407B610" w14:textId="77777777" w:rsidR="009C7E13" w:rsidRPr="00B01850" w:rsidRDefault="009C7E13" w:rsidP="004A4427">
      <w:pPr>
        <w:pStyle w:val="head2"/>
        <w:numPr>
          <w:ilvl w:val="0"/>
          <w:numId w:val="0"/>
        </w:numPr>
        <w:spacing w:after="0"/>
        <w:ind w:left="720" w:hanging="720"/>
        <w:jc w:val="both"/>
        <w:outlineLvl w:val="1"/>
        <w:rPr>
          <w:rFonts w:ascii="Arial" w:hAnsi="Arial" w:cs="Arial"/>
          <w:highlight w:val="green"/>
        </w:rPr>
      </w:pPr>
    </w:p>
    <w:p w14:paraId="6A7DF7D8" w14:textId="02876875" w:rsidR="00A8444C" w:rsidRPr="00B01850" w:rsidRDefault="0000156B" w:rsidP="004A4427">
      <w:pPr>
        <w:spacing w:after="0" w:line="240" w:lineRule="auto"/>
        <w:jc w:val="both"/>
        <w:rPr>
          <w:rFonts w:ascii="Arial" w:hAnsi="Arial" w:cs="Arial"/>
        </w:rPr>
      </w:pPr>
      <w:r w:rsidRPr="00B01850">
        <w:rPr>
          <w:rFonts w:ascii="Arial" w:hAnsi="Arial" w:cs="Arial"/>
        </w:rPr>
        <w:t xml:space="preserve">Cette section décrit les mesures environnementales et sociales supplémentaires </w:t>
      </w:r>
      <w:r w:rsidR="008751A2" w:rsidRPr="00B01850">
        <w:rPr>
          <w:rFonts w:ascii="Arial" w:hAnsi="Arial" w:cs="Arial"/>
        </w:rPr>
        <w:t xml:space="preserve">à mettre en œuvre pour maîtriser les </w:t>
      </w:r>
      <w:r w:rsidR="00D96410" w:rsidRPr="00B01850">
        <w:rPr>
          <w:rFonts w:ascii="Arial" w:hAnsi="Arial" w:cs="Arial"/>
        </w:rPr>
        <w:t>risques et impacts relatifs à l’activation du CERP en Guinée</w:t>
      </w:r>
      <w:r w:rsidR="00601F51" w:rsidRPr="00B01850">
        <w:rPr>
          <w:rFonts w:ascii="Arial" w:hAnsi="Arial" w:cs="Arial"/>
        </w:rPr>
        <w:t xml:space="preserve"> en </w:t>
      </w:r>
      <w:r w:rsidRPr="00B01850">
        <w:rPr>
          <w:rFonts w:ascii="Arial" w:hAnsi="Arial" w:cs="Arial"/>
        </w:rPr>
        <w:t xml:space="preserve">plus des exigences nationales </w:t>
      </w:r>
      <w:r w:rsidR="00601F51" w:rsidRPr="00B01850">
        <w:rPr>
          <w:rFonts w:ascii="Arial" w:hAnsi="Arial" w:cs="Arial"/>
        </w:rPr>
        <w:t xml:space="preserve">et internationales indiquées à </w:t>
      </w:r>
      <w:r w:rsidRPr="00B01850">
        <w:rPr>
          <w:rFonts w:ascii="Arial" w:hAnsi="Arial" w:cs="Arial"/>
        </w:rPr>
        <w:t xml:space="preserve">la section 4.  </w:t>
      </w:r>
    </w:p>
    <w:p w14:paraId="15C7904A" w14:textId="56DD6283" w:rsidR="00A532D2" w:rsidRPr="00B01850" w:rsidRDefault="00A8444C" w:rsidP="007F5382">
      <w:pPr>
        <w:spacing w:before="120" w:after="0" w:line="240" w:lineRule="auto"/>
        <w:jc w:val="both"/>
        <w:rPr>
          <w:rFonts w:ascii="Arial" w:hAnsi="Arial" w:cs="Arial"/>
          <w:highlight w:val="green"/>
        </w:rPr>
      </w:pPr>
      <w:r w:rsidRPr="00B01850">
        <w:rPr>
          <w:rFonts w:ascii="Arial" w:hAnsi="Arial" w:cs="Arial"/>
        </w:rPr>
        <w:t>Les mesures d'atténuation seront basées sur les exigences nationales</w:t>
      </w:r>
      <w:r w:rsidR="002249C2" w:rsidRPr="00B01850">
        <w:rPr>
          <w:rFonts w:ascii="Arial" w:hAnsi="Arial" w:cs="Arial"/>
        </w:rPr>
        <w:t>, internationales et celles de la Banque mondiale</w:t>
      </w:r>
      <w:r w:rsidR="00CE30AB" w:rsidRPr="00B01850">
        <w:rPr>
          <w:rFonts w:ascii="Arial" w:hAnsi="Arial" w:cs="Arial"/>
        </w:rPr>
        <w:t xml:space="preserve"> (N</w:t>
      </w:r>
      <w:r w:rsidR="002953D1" w:rsidRPr="00B01850">
        <w:rPr>
          <w:rFonts w:ascii="Arial" w:hAnsi="Arial" w:cs="Arial"/>
        </w:rPr>
        <w:t xml:space="preserve">ormes </w:t>
      </w:r>
      <w:r w:rsidR="00CE30AB" w:rsidRPr="00B01850">
        <w:rPr>
          <w:rFonts w:ascii="Arial" w:hAnsi="Arial" w:cs="Arial"/>
        </w:rPr>
        <w:t>E</w:t>
      </w:r>
      <w:r w:rsidR="002953D1" w:rsidRPr="00B01850">
        <w:rPr>
          <w:rFonts w:ascii="Arial" w:hAnsi="Arial" w:cs="Arial"/>
        </w:rPr>
        <w:t>nvi</w:t>
      </w:r>
      <w:r w:rsidR="00C3355F" w:rsidRPr="00B01850">
        <w:rPr>
          <w:rFonts w:ascii="Arial" w:hAnsi="Arial" w:cs="Arial"/>
        </w:rPr>
        <w:t xml:space="preserve">ronnementales et </w:t>
      </w:r>
      <w:r w:rsidR="00CE30AB" w:rsidRPr="00B01850">
        <w:rPr>
          <w:rFonts w:ascii="Arial" w:hAnsi="Arial" w:cs="Arial"/>
        </w:rPr>
        <w:t>S</w:t>
      </w:r>
      <w:r w:rsidR="00C3355F" w:rsidRPr="00B01850">
        <w:rPr>
          <w:rFonts w:ascii="Arial" w:hAnsi="Arial" w:cs="Arial"/>
        </w:rPr>
        <w:t xml:space="preserve">ociales – NES- </w:t>
      </w:r>
      <w:r w:rsidR="00CE30AB" w:rsidRPr="00B01850">
        <w:rPr>
          <w:rFonts w:ascii="Arial" w:hAnsi="Arial" w:cs="Arial"/>
        </w:rPr>
        <w:t xml:space="preserve">pertinente </w:t>
      </w:r>
      <w:r w:rsidR="002953D1" w:rsidRPr="00B01850">
        <w:rPr>
          <w:rFonts w:ascii="Arial" w:hAnsi="Arial" w:cs="Arial"/>
        </w:rPr>
        <w:t xml:space="preserve">et </w:t>
      </w:r>
      <w:r w:rsidR="00CE30AB" w:rsidRPr="00B01850">
        <w:rPr>
          <w:rFonts w:ascii="Arial" w:hAnsi="Arial" w:cs="Arial"/>
        </w:rPr>
        <w:t>Directives environnementales, sanitaires et sécuritaires</w:t>
      </w:r>
      <w:r w:rsidR="00C3355F" w:rsidRPr="00B01850">
        <w:rPr>
          <w:rFonts w:ascii="Arial" w:hAnsi="Arial" w:cs="Arial"/>
        </w:rPr>
        <w:t>-</w:t>
      </w:r>
      <w:r w:rsidR="00CE30AB" w:rsidRPr="00B01850">
        <w:rPr>
          <w:rFonts w:ascii="Arial" w:hAnsi="Arial" w:cs="Arial"/>
        </w:rPr>
        <w:t>ESS)</w:t>
      </w:r>
      <w:r w:rsidRPr="00B01850">
        <w:rPr>
          <w:rFonts w:ascii="Arial" w:hAnsi="Arial" w:cs="Arial"/>
        </w:rPr>
        <w:t xml:space="preserve">, complétées par les mesures décrites ci-dessous. Lors de la mise en œuvre des activités, il est reconnu et convenu que le caractère urgent des activités signifie que la priorité sera donnée à la nécessité d'interventions urgentes et à la protection des personnes et des biens les plus touchés par la situation d'urgence. Pour toutes les activités, les risques d'exclusion pour différents groupes et individus </w:t>
      </w:r>
      <w:r w:rsidR="00933245" w:rsidRPr="00B01850">
        <w:rPr>
          <w:rFonts w:ascii="Arial" w:hAnsi="Arial" w:cs="Arial"/>
        </w:rPr>
        <w:t xml:space="preserve">vulnérables </w:t>
      </w:r>
      <w:r w:rsidRPr="00B01850">
        <w:rPr>
          <w:rFonts w:ascii="Arial" w:hAnsi="Arial" w:cs="Arial"/>
        </w:rPr>
        <w:t>seront pris en compte, de sorte que l'activité soit mise en œuvre de la manière la plus juste, équitable et inclusive possible.</w:t>
      </w:r>
    </w:p>
    <w:p w14:paraId="79A2464B" w14:textId="77777777" w:rsidR="009C7E13" w:rsidRPr="00B01850" w:rsidRDefault="009C7E13" w:rsidP="004A4427">
      <w:pPr>
        <w:spacing w:after="0" w:line="240" w:lineRule="auto"/>
        <w:jc w:val="both"/>
        <w:rPr>
          <w:rFonts w:ascii="Arial" w:hAnsi="Arial" w:cs="Arial"/>
        </w:rPr>
      </w:pPr>
    </w:p>
    <w:p w14:paraId="78D102E8" w14:textId="77777777" w:rsidR="002A564F" w:rsidRPr="00B01850" w:rsidRDefault="002A564F" w:rsidP="002A564F">
      <w:pPr>
        <w:pStyle w:val="ListParagraph"/>
        <w:jc w:val="center"/>
        <w:rPr>
          <w:rFonts w:ascii="Arial" w:hAnsi="Arial" w:cs="Arial"/>
          <w:b/>
          <w:bCs/>
        </w:rPr>
      </w:pPr>
      <w:r w:rsidRPr="00B01850">
        <w:rPr>
          <w:rFonts w:ascii="Arial" w:hAnsi="Arial" w:cs="Arial"/>
          <w:b/>
          <w:bCs/>
        </w:rPr>
        <w:t xml:space="preserve">Liste indicative positive d'activités </w:t>
      </w:r>
    </w:p>
    <w:p w14:paraId="05697F89" w14:textId="171D5526" w:rsidR="002A564F" w:rsidRPr="00B01850" w:rsidRDefault="002A564F" w:rsidP="00214DCC">
      <w:pPr>
        <w:pStyle w:val="ListParagraph"/>
        <w:numPr>
          <w:ilvl w:val="0"/>
          <w:numId w:val="37"/>
        </w:numPr>
        <w:spacing w:before="120" w:after="120"/>
        <w:contextualSpacing w:val="0"/>
        <w:rPr>
          <w:rFonts w:ascii="Arial" w:eastAsia="SimSun" w:hAnsi="Arial" w:cs="Arial"/>
          <w:b/>
          <w:bCs/>
        </w:rPr>
      </w:pPr>
      <w:bookmarkStart w:id="129" w:name="_Toc178919538"/>
      <w:bookmarkStart w:id="130" w:name="_Toc178919700"/>
      <w:r w:rsidRPr="00B01850">
        <w:rPr>
          <w:rFonts w:ascii="Arial" w:eastAsia="SimSun" w:hAnsi="Arial" w:cs="Arial"/>
          <w:b/>
          <w:bCs/>
        </w:rPr>
        <w:t xml:space="preserve">Table </w:t>
      </w:r>
      <w:r w:rsidR="00F54EBB" w:rsidRPr="00B01850">
        <w:rPr>
          <w:rFonts w:ascii="Arial" w:eastAsia="SimSun" w:hAnsi="Arial" w:cs="Arial"/>
          <w:b/>
          <w:bCs/>
        </w:rPr>
        <w:t xml:space="preserve">4 </w:t>
      </w:r>
      <w:r w:rsidR="00F54EBB" w:rsidRPr="00B01850">
        <w:rPr>
          <w:rFonts w:ascii="Arial" w:eastAsia="SimSun" w:hAnsi="Arial" w:cs="Arial"/>
          <w:bCs/>
        </w:rPr>
        <w:t>:</w:t>
      </w:r>
      <w:r w:rsidRPr="00B01850">
        <w:rPr>
          <w:rFonts w:ascii="Arial" w:eastAsia="SimSun" w:hAnsi="Arial" w:cs="Arial"/>
          <w:bCs/>
        </w:rPr>
        <w:t xml:space="preserve"> Liste indicative positive d'activités</w:t>
      </w:r>
      <w:bookmarkEnd w:id="129"/>
      <w:bookmarkEnd w:id="130"/>
    </w:p>
    <w:tbl>
      <w:tblPr>
        <w:tblW w:w="9350" w:type="dxa"/>
        <w:tblCellMar>
          <w:left w:w="0" w:type="dxa"/>
          <w:right w:w="0" w:type="dxa"/>
        </w:tblCellMar>
        <w:tblLook w:val="04A0" w:firstRow="1" w:lastRow="0" w:firstColumn="1" w:lastColumn="0" w:noHBand="0" w:noVBand="1"/>
      </w:tblPr>
      <w:tblGrid>
        <w:gridCol w:w="9350"/>
      </w:tblGrid>
      <w:tr w:rsidR="008E1516" w:rsidRPr="00B01850" w14:paraId="15049856" w14:textId="77777777" w:rsidTr="009617D0">
        <w:tc>
          <w:tcPr>
            <w:tcW w:w="9350" w:type="dxa"/>
            <w:tcBorders>
              <w:top w:val="single" w:sz="8" w:space="0" w:color="auto"/>
              <w:left w:val="single" w:sz="8" w:space="0" w:color="auto"/>
              <w:bottom w:val="single" w:sz="8" w:space="0" w:color="auto"/>
              <w:right w:val="single" w:sz="8" w:space="0" w:color="auto"/>
            </w:tcBorders>
            <w:shd w:val="clear" w:color="auto" w:fill="FDE9D9" w:themeFill="accent6" w:themeFillTint="33"/>
            <w:tcMar>
              <w:top w:w="0" w:type="dxa"/>
              <w:left w:w="108" w:type="dxa"/>
              <w:bottom w:w="0" w:type="dxa"/>
              <w:right w:w="108" w:type="dxa"/>
            </w:tcMar>
            <w:hideMark/>
          </w:tcPr>
          <w:p w14:paraId="05E3F397" w14:textId="77777777" w:rsidR="008E1516" w:rsidRPr="00B01850" w:rsidRDefault="008E1516">
            <w:pPr>
              <w:jc w:val="center"/>
              <w:rPr>
                <w:rFonts w:ascii="Arial" w:eastAsia="Times New Roman" w:hAnsi="Arial" w:cs="Arial"/>
              </w:rPr>
            </w:pPr>
            <w:r w:rsidRPr="00B01850">
              <w:rPr>
                <w:rFonts w:ascii="Arial" w:eastAsia="Times New Roman" w:hAnsi="Arial" w:cs="Arial"/>
                <w:b/>
                <w:bCs/>
              </w:rPr>
              <w:t>Niveau 1 : Activités devant être financées au niveau 1</w:t>
            </w:r>
          </w:p>
        </w:tc>
      </w:tr>
      <w:tr w:rsidR="008E1516" w:rsidRPr="00B01850" w14:paraId="57C12439" w14:textId="77777777">
        <w:trPr>
          <w:trHeight w:val="611"/>
        </w:trPr>
        <w:tc>
          <w:tcPr>
            <w:tcW w:w="93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C54E2B9" w14:textId="77777777" w:rsidR="008E1516" w:rsidRPr="00B01850" w:rsidRDefault="008E1516">
            <w:pPr>
              <w:rPr>
                <w:rFonts w:ascii="Arial" w:eastAsia="Times New Roman" w:hAnsi="Arial" w:cs="Arial"/>
              </w:rPr>
            </w:pPr>
            <w:r w:rsidRPr="00B01850">
              <w:rPr>
                <w:rFonts w:ascii="Arial" w:eastAsia="Times New Roman" w:hAnsi="Arial" w:cs="Arial"/>
                <w:b/>
                <w:bCs/>
              </w:rPr>
              <w:t>Aide d'urgence aux moyens de subsistance des ménages</w:t>
            </w:r>
          </w:p>
          <w:p w14:paraId="0F8AB7FD" w14:textId="77777777" w:rsidR="008E1516" w:rsidRPr="00B01850" w:rsidRDefault="008E1516" w:rsidP="00214DCC">
            <w:pPr>
              <w:numPr>
                <w:ilvl w:val="0"/>
                <w:numId w:val="11"/>
              </w:numPr>
              <w:spacing w:after="0" w:line="240" w:lineRule="auto"/>
              <w:rPr>
                <w:rFonts w:ascii="Arial" w:eastAsia="Times New Roman" w:hAnsi="Arial" w:cs="Arial"/>
              </w:rPr>
            </w:pPr>
            <w:r w:rsidRPr="00B01850">
              <w:rPr>
                <w:rFonts w:ascii="Arial" w:eastAsia="Times New Roman" w:hAnsi="Arial" w:cs="Arial"/>
              </w:rPr>
              <w:t>Aide au revenu d'urgence directe aux ménages par le biais de transferts monétaires</w:t>
            </w:r>
          </w:p>
        </w:tc>
      </w:tr>
      <w:tr w:rsidR="008E1516" w:rsidRPr="00B01850" w14:paraId="41D7BDF2" w14:textId="77777777">
        <w:tc>
          <w:tcPr>
            <w:tcW w:w="93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7978B34" w14:textId="77777777" w:rsidR="008E1516" w:rsidRPr="00B01850" w:rsidRDefault="008E1516">
            <w:pPr>
              <w:rPr>
                <w:rFonts w:ascii="Arial" w:eastAsia="Times New Roman" w:hAnsi="Arial" w:cs="Arial"/>
              </w:rPr>
            </w:pPr>
            <w:r w:rsidRPr="00B01850">
              <w:rPr>
                <w:rFonts w:ascii="Arial" w:eastAsia="Times New Roman" w:hAnsi="Arial" w:cs="Arial"/>
                <w:b/>
                <w:bCs/>
              </w:rPr>
              <w:t>Fourniture de services essentiels et approvisionnement pour les interventions d'urgence</w:t>
            </w:r>
          </w:p>
          <w:p w14:paraId="186F78F9" w14:textId="45F5EC47" w:rsidR="00AB08B6" w:rsidRPr="00B01850" w:rsidRDefault="00AB08B6" w:rsidP="00214DCC">
            <w:pPr>
              <w:numPr>
                <w:ilvl w:val="0"/>
                <w:numId w:val="12"/>
              </w:numPr>
              <w:shd w:val="clear" w:color="auto" w:fill="FFFFFF"/>
              <w:spacing w:after="0" w:line="240" w:lineRule="auto"/>
              <w:jc w:val="both"/>
              <w:rPr>
                <w:rFonts w:ascii="Arial" w:eastAsia="Times New Roman" w:hAnsi="Arial" w:cs="Arial"/>
                <w:color w:val="000000"/>
              </w:rPr>
            </w:pPr>
            <w:r w:rsidRPr="00B01850">
              <w:rPr>
                <w:rFonts w:ascii="Arial" w:eastAsia="Times New Roman" w:hAnsi="Arial" w:cs="Arial"/>
                <w:color w:val="000000"/>
              </w:rPr>
              <w:t>Acquisition de denrées alimentaires de base (maïs, céréales, etc.)</w:t>
            </w:r>
          </w:p>
          <w:p w14:paraId="078099FD" w14:textId="77777777" w:rsidR="00AB08B6" w:rsidRPr="00B01850" w:rsidRDefault="00AB08B6" w:rsidP="00214DCC">
            <w:pPr>
              <w:numPr>
                <w:ilvl w:val="0"/>
                <w:numId w:val="12"/>
              </w:numPr>
              <w:shd w:val="clear" w:color="auto" w:fill="FFFFFF"/>
              <w:spacing w:after="0" w:line="240" w:lineRule="auto"/>
              <w:jc w:val="both"/>
              <w:rPr>
                <w:rFonts w:ascii="Arial" w:eastAsia="Times New Roman" w:hAnsi="Arial" w:cs="Arial"/>
                <w:color w:val="000000"/>
              </w:rPr>
            </w:pPr>
            <w:r w:rsidRPr="00B01850">
              <w:rPr>
                <w:rFonts w:ascii="Arial" w:eastAsia="Times New Roman" w:hAnsi="Arial" w:cs="Arial"/>
                <w:color w:val="000000"/>
              </w:rPr>
              <w:t>Achat de produits pharmaceutiques, de médicaments, de fournitures médicales (à l'exclusion du chlore) et d'équipements médicaux critiques tels que ventilateurs, équipements de protection individuelle (EPI) et divers outils de diagnostic, à l'exclusion de tout équipement contenant des matières radioactives</w:t>
            </w:r>
          </w:p>
          <w:p w14:paraId="6BA034DB" w14:textId="77777777" w:rsidR="00AB08B6" w:rsidRPr="00B01850" w:rsidRDefault="00AB08B6" w:rsidP="00214DCC">
            <w:pPr>
              <w:numPr>
                <w:ilvl w:val="0"/>
                <w:numId w:val="12"/>
              </w:numPr>
              <w:shd w:val="clear" w:color="auto" w:fill="FFFFFF"/>
              <w:spacing w:after="0" w:line="240" w:lineRule="auto"/>
              <w:jc w:val="both"/>
              <w:rPr>
                <w:rFonts w:ascii="Arial" w:eastAsia="Times New Roman" w:hAnsi="Arial" w:cs="Arial"/>
                <w:color w:val="000000"/>
              </w:rPr>
            </w:pPr>
            <w:r w:rsidRPr="00B01850">
              <w:rPr>
                <w:rFonts w:ascii="Arial" w:eastAsia="Times New Roman" w:hAnsi="Arial" w:cs="Arial"/>
                <w:color w:val="000000"/>
              </w:rPr>
              <w:t>Acquisition de médicaments et fournitures vétérinaires, y compris des trousses de premiers soins pour animaux, des médicaments, des vaccins et des fournitures médicales</w:t>
            </w:r>
          </w:p>
          <w:p w14:paraId="7C18AD5E" w14:textId="351E0AE4" w:rsidR="00AB08B6" w:rsidRPr="00B01850" w:rsidRDefault="00AB08B6" w:rsidP="00214DCC">
            <w:pPr>
              <w:numPr>
                <w:ilvl w:val="0"/>
                <w:numId w:val="12"/>
              </w:numPr>
              <w:shd w:val="clear" w:color="auto" w:fill="FFFFFF"/>
              <w:spacing w:after="0" w:line="240" w:lineRule="auto"/>
              <w:jc w:val="both"/>
              <w:rPr>
                <w:rFonts w:ascii="Arial" w:eastAsia="Times New Roman" w:hAnsi="Arial" w:cs="Arial"/>
                <w:color w:val="000000"/>
              </w:rPr>
            </w:pPr>
            <w:r w:rsidRPr="00B01850">
              <w:rPr>
                <w:rFonts w:ascii="Arial" w:eastAsia="Times New Roman" w:hAnsi="Arial" w:cs="Arial"/>
                <w:color w:val="000000"/>
              </w:rPr>
              <w:t xml:space="preserve">Achat d'intrants agricoles tels que semences, aliments pour le bétail </w:t>
            </w:r>
          </w:p>
          <w:p w14:paraId="59BFDA12" w14:textId="77777777" w:rsidR="00AB08B6" w:rsidRPr="00B01850" w:rsidRDefault="00AB08B6" w:rsidP="00214DCC">
            <w:pPr>
              <w:numPr>
                <w:ilvl w:val="0"/>
                <w:numId w:val="12"/>
              </w:numPr>
              <w:shd w:val="clear" w:color="auto" w:fill="FFFFFF"/>
              <w:spacing w:after="0" w:line="240" w:lineRule="auto"/>
              <w:jc w:val="both"/>
              <w:rPr>
                <w:rFonts w:ascii="Arial" w:eastAsia="Times New Roman" w:hAnsi="Arial" w:cs="Arial"/>
                <w:color w:val="000000"/>
              </w:rPr>
            </w:pPr>
            <w:r w:rsidRPr="00B01850">
              <w:rPr>
                <w:rFonts w:ascii="Arial" w:eastAsia="Times New Roman" w:hAnsi="Arial" w:cs="Arial"/>
                <w:color w:val="000000"/>
              </w:rPr>
              <w:t>Acquérir des fournitures essentielles telles que des ponts de basse-cour, des tentes, des sacs de couchage, des trousses d'hygiène personnelle, des trousses de ménage, etc.</w:t>
            </w:r>
          </w:p>
          <w:p w14:paraId="301DC62C" w14:textId="77777777" w:rsidR="00AB08B6" w:rsidRPr="00B01850" w:rsidRDefault="00AB08B6" w:rsidP="00214DCC">
            <w:pPr>
              <w:numPr>
                <w:ilvl w:val="0"/>
                <w:numId w:val="12"/>
              </w:numPr>
              <w:shd w:val="clear" w:color="auto" w:fill="FFFFFF"/>
              <w:spacing w:after="0" w:line="240" w:lineRule="auto"/>
              <w:jc w:val="both"/>
              <w:rPr>
                <w:rFonts w:ascii="Arial" w:eastAsia="Times New Roman" w:hAnsi="Arial" w:cs="Arial"/>
                <w:color w:val="000000"/>
              </w:rPr>
            </w:pPr>
            <w:r w:rsidRPr="00B01850">
              <w:rPr>
                <w:rFonts w:ascii="Arial" w:eastAsia="Times New Roman" w:hAnsi="Arial" w:cs="Arial"/>
                <w:color w:val="000000"/>
              </w:rPr>
              <w:t>Location d'engins critiques légers pour le rétablissement des services essentiels et la mise en œuvre du CERP (y compris la location d'outils et d'équipements à petite échelle tels que des bêches, des pelles, des houes, des brouettes et autres outils à main). Des groupes électrogènes pour une utilisation d'urgence peuvent également être loués ; Cependant, le carburant pour les générateurs n'est pas inclus. Les gros engins tels que les bulldozers, les camions à benne basculante ou d'autres équipements lourds ne sont pas inclus)</w:t>
            </w:r>
          </w:p>
          <w:p w14:paraId="1911257C" w14:textId="01485377" w:rsidR="008E1516" w:rsidRPr="00B01850" w:rsidRDefault="00AB08B6" w:rsidP="00214DCC">
            <w:pPr>
              <w:numPr>
                <w:ilvl w:val="0"/>
                <w:numId w:val="12"/>
              </w:numPr>
              <w:shd w:val="clear" w:color="auto" w:fill="FFFFFF"/>
              <w:spacing w:after="120" w:line="240" w:lineRule="auto"/>
              <w:jc w:val="both"/>
              <w:rPr>
                <w:rFonts w:ascii="Arial" w:eastAsia="Times New Roman" w:hAnsi="Arial" w:cs="Arial"/>
              </w:rPr>
            </w:pPr>
            <w:r w:rsidRPr="00B01850">
              <w:rPr>
                <w:rFonts w:ascii="Arial" w:eastAsia="Times New Roman" w:hAnsi="Arial" w:cs="Arial"/>
                <w:color w:val="000000"/>
              </w:rPr>
              <w:t>Achat de foyers verts</w:t>
            </w:r>
          </w:p>
        </w:tc>
      </w:tr>
      <w:tr w:rsidR="008E1516" w:rsidRPr="00B01850" w14:paraId="0CF6898B" w14:textId="77777777">
        <w:trPr>
          <w:trHeight w:val="2240"/>
        </w:trPr>
        <w:tc>
          <w:tcPr>
            <w:tcW w:w="935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9EB3BA" w14:textId="77777777" w:rsidR="008E1516" w:rsidRPr="00B01850" w:rsidRDefault="008E1516">
            <w:pPr>
              <w:rPr>
                <w:rFonts w:ascii="Arial" w:eastAsia="Times New Roman" w:hAnsi="Arial" w:cs="Arial"/>
              </w:rPr>
            </w:pPr>
            <w:r w:rsidRPr="00B01850">
              <w:rPr>
                <w:rFonts w:ascii="Arial" w:eastAsia="Times New Roman" w:hAnsi="Arial" w:cs="Arial"/>
                <w:b/>
                <w:bCs/>
              </w:rPr>
              <w:lastRenderedPageBreak/>
              <w:t>Coordination et gestion des interventions d'urgence</w:t>
            </w:r>
          </w:p>
          <w:p w14:paraId="71E02F91" w14:textId="77777777" w:rsidR="00D14483" w:rsidRPr="00B01850" w:rsidRDefault="00D14483" w:rsidP="00214DCC">
            <w:pPr>
              <w:numPr>
                <w:ilvl w:val="0"/>
                <w:numId w:val="13"/>
              </w:numPr>
              <w:shd w:val="clear" w:color="auto" w:fill="FFFFFF"/>
              <w:spacing w:after="120" w:line="240" w:lineRule="auto"/>
              <w:jc w:val="both"/>
              <w:rPr>
                <w:rFonts w:ascii="Arial" w:eastAsia="Times New Roman" w:hAnsi="Arial" w:cs="Arial"/>
                <w:color w:val="000000"/>
              </w:rPr>
            </w:pPr>
            <w:r w:rsidRPr="00B01850">
              <w:rPr>
                <w:rFonts w:ascii="Arial" w:eastAsia="Times New Roman" w:hAnsi="Arial" w:cs="Arial"/>
                <w:color w:val="000000"/>
              </w:rPr>
              <w:t>Financement d'un renfort d'intervenants et d'équipes de réparation, à l'exclusion des responsables de l'application de la loi</w:t>
            </w:r>
          </w:p>
          <w:p w14:paraId="408DD0BA" w14:textId="77777777" w:rsidR="00D14483" w:rsidRPr="00B01850" w:rsidRDefault="00D14483" w:rsidP="00214DCC">
            <w:pPr>
              <w:numPr>
                <w:ilvl w:val="0"/>
                <w:numId w:val="13"/>
              </w:numPr>
              <w:shd w:val="clear" w:color="auto" w:fill="FFFFFF"/>
              <w:spacing w:after="120" w:line="240" w:lineRule="auto"/>
              <w:jc w:val="both"/>
              <w:rPr>
                <w:rFonts w:ascii="Arial" w:eastAsia="Times New Roman" w:hAnsi="Arial" w:cs="Arial"/>
                <w:color w:val="000000"/>
              </w:rPr>
            </w:pPr>
            <w:r w:rsidRPr="00B01850">
              <w:rPr>
                <w:rFonts w:ascii="Arial" w:eastAsia="Times New Roman" w:hAnsi="Arial" w:cs="Arial"/>
                <w:color w:val="000000"/>
              </w:rPr>
              <w:t>Soutien administratif aux abris et biens essentiels pour soutenir le fonctionnement des abris (couvre les aspects administratifs des opérations des abris, y compris le paiement des salaires des gestionnaires d'abris et du personnel chargé de superviser le fonctionnement des abris. Il comprend également l'acquisition des biens essentiels nécessaires à l'administration du logement, tels que les fournitures de bureau et le mobilier de base (par exemple, tables, chaises, lits de camp, etc.). L'exploitation directe des abris, y compris des activités telles que l'établissement de camps, les accords fonciers et les indemnisations, et la fourniture de services d'assainissement et de gestion des déchets, n'est pas incluse)</w:t>
            </w:r>
          </w:p>
          <w:p w14:paraId="1B8D3D93" w14:textId="77777777" w:rsidR="00D14483" w:rsidRPr="00B01850" w:rsidRDefault="00D14483" w:rsidP="00214DCC">
            <w:pPr>
              <w:numPr>
                <w:ilvl w:val="0"/>
                <w:numId w:val="13"/>
              </w:numPr>
              <w:shd w:val="clear" w:color="auto" w:fill="FFFFFF"/>
              <w:spacing w:after="120" w:line="240" w:lineRule="auto"/>
              <w:jc w:val="both"/>
              <w:rPr>
                <w:rFonts w:ascii="Arial" w:eastAsia="Times New Roman" w:hAnsi="Arial" w:cs="Arial"/>
                <w:color w:val="000000"/>
              </w:rPr>
            </w:pPr>
            <w:r w:rsidRPr="00B01850">
              <w:rPr>
                <w:rFonts w:ascii="Arial" w:eastAsia="Times New Roman" w:hAnsi="Arial" w:cs="Arial"/>
                <w:color w:val="000000"/>
              </w:rPr>
              <w:t>Coûts de transport supplémentaires (c'est-à-dire utilisation d'autres moyens de transport), augmentation des factures d'électricité pour le secteur public, heures supplémentaires du personnel et financement de l'assistance technique, y compris l'expertise spécialisée internationale et locale (conseil) pour soutenir le redressement et fournir une assistance technique juste à temps et la préparation de documents techniques pour la passation des marchés</w:t>
            </w:r>
          </w:p>
          <w:p w14:paraId="147FE741" w14:textId="77777777" w:rsidR="00D14483" w:rsidRPr="00B01850" w:rsidRDefault="00D14483" w:rsidP="00214DCC">
            <w:pPr>
              <w:numPr>
                <w:ilvl w:val="0"/>
                <w:numId w:val="13"/>
              </w:numPr>
              <w:shd w:val="clear" w:color="auto" w:fill="FFFFFF"/>
              <w:spacing w:after="120" w:line="240" w:lineRule="auto"/>
              <w:jc w:val="both"/>
              <w:rPr>
                <w:rFonts w:ascii="Arial" w:eastAsia="Times New Roman" w:hAnsi="Arial" w:cs="Arial"/>
                <w:color w:val="000000"/>
              </w:rPr>
            </w:pPr>
            <w:r w:rsidRPr="00B01850">
              <w:rPr>
                <w:rFonts w:ascii="Arial" w:eastAsia="Times New Roman" w:hAnsi="Arial" w:cs="Arial"/>
                <w:color w:val="000000"/>
              </w:rPr>
              <w:t>Coûts administratifs supplémentaires liés aux interventions d'urgence</w:t>
            </w:r>
          </w:p>
          <w:p w14:paraId="09D75A98" w14:textId="77777777" w:rsidR="00D14483" w:rsidRPr="00B01850" w:rsidRDefault="00D14483" w:rsidP="00214DCC">
            <w:pPr>
              <w:numPr>
                <w:ilvl w:val="0"/>
                <w:numId w:val="13"/>
              </w:numPr>
              <w:shd w:val="clear" w:color="auto" w:fill="FFFFFF"/>
              <w:spacing w:after="120" w:line="240" w:lineRule="auto"/>
              <w:jc w:val="both"/>
              <w:rPr>
                <w:rFonts w:ascii="Arial" w:eastAsia="Times New Roman" w:hAnsi="Arial" w:cs="Arial"/>
                <w:color w:val="000000"/>
              </w:rPr>
            </w:pPr>
            <w:r w:rsidRPr="00B01850">
              <w:rPr>
                <w:rFonts w:ascii="Arial" w:eastAsia="Times New Roman" w:hAnsi="Arial" w:cs="Arial"/>
                <w:color w:val="000000"/>
              </w:rPr>
              <w:t>Financement de la mise en œuvre des instruments environnementaux et sociaux</w:t>
            </w:r>
          </w:p>
          <w:p w14:paraId="37E951DE" w14:textId="7CCFFAD1" w:rsidR="008E1516" w:rsidRPr="00B01850" w:rsidRDefault="00D14483" w:rsidP="00214DCC">
            <w:pPr>
              <w:numPr>
                <w:ilvl w:val="0"/>
                <w:numId w:val="13"/>
              </w:numPr>
              <w:shd w:val="clear" w:color="auto" w:fill="FFFFFF"/>
              <w:spacing w:after="120" w:line="240" w:lineRule="auto"/>
              <w:jc w:val="both"/>
              <w:rPr>
                <w:rFonts w:ascii="Arial" w:eastAsia="Times New Roman" w:hAnsi="Arial" w:cs="Arial"/>
              </w:rPr>
            </w:pPr>
            <w:r w:rsidRPr="00B01850">
              <w:rPr>
                <w:rFonts w:ascii="Arial" w:eastAsia="Times New Roman" w:hAnsi="Arial" w:cs="Arial"/>
                <w:color w:val="000000"/>
              </w:rPr>
              <w:t>Coûts d'audit (financier et technique)</w:t>
            </w:r>
          </w:p>
        </w:tc>
      </w:tr>
    </w:tbl>
    <w:p w14:paraId="1A841809" w14:textId="77777777" w:rsidR="002A564F" w:rsidRPr="00B01850" w:rsidRDefault="002A564F" w:rsidP="004A4427">
      <w:pPr>
        <w:spacing w:after="0" w:line="240" w:lineRule="auto"/>
        <w:jc w:val="both"/>
        <w:rPr>
          <w:rFonts w:ascii="Arial" w:hAnsi="Arial" w:cs="Arial"/>
        </w:rPr>
      </w:pPr>
    </w:p>
    <w:p w14:paraId="16102655" w14:textId="67ED7A25" w:rsidR="00743B39" w:rsidRPr="00B01850" w:rsidRDefault="00762659" w:rsidP="004A4427">
      <w:pPr>
        <w:spacing w:after="0" w:line="240" w:lineRule="auto"/>
        <w:jc w:val="both"/>
        <w:rPr>
          <w:rFonts w:ascii="Arial" w:hAnsi="Arial" w:cs="Arial"/>
        </w:rPr>
      </w:pPr>
      <w:r w:rsidRPr="00B01850">
        <w:rPr>
          <w:rFonts w:ascii="Arial" w:hAnsi="Arial" w:cs="Arial"/>
        </w:rPr>
        <w:t>Pour chacune des Activités, les risques et effets potentiels suivants ont été identifiés et les mesures d'atténuation supplémentaires sont les suivantes :</w:t>
      </w:r>
    </w:p>
    <w:p w14:paraId="02042B8A" w14:textId="77777777" w:rsidR="007319E1" w:rsidRPr="00B01850" w:rsidRDefault="007319E1" w:rsidP="004A4427">
      <w:pPr>
        <w:spacing w:after="0" w:line="240" w:lineRule="auto"/>
        <w:jc w:val="both"/>
        <w:rPr>
          <w:rFonts w:ascii="Arial" w:hAnsi="Arial" w:cs="Arial"/>
        </w:rPr>
      </w:pPr>
    </w:p>
    <w:p w14:paraId="48827FB9" w14:textId="77777777" w:rsidR="002E5A73" w:rsidRPr="00B01850" w:rsidRDefault="002E5A73" w:rsidP="002E5A73">
      <w:pPr>
        <w:pStyle w:val="Caption"/>
        <w:rPr>
          <w:rFonts w:ascii="Arial" w:hAnsi="Arial" w:cs="Arial"/>
          <w:sz w:val="22"/>
          <w:szCs w:val="22"/>
        </w:rPr>
        <w:sectPr w:rsidR="002E5A73" w:rsidRPr="00B01850" w:rsidSect="00C273AA">
          <w:pgSz w:w="12240" w:h="15840"/>
          <w:pgMar w:top="1440" w:right="1440" w:bottom="1440" w:left="1440" w:header="720" w:footer="720" w:gutter="0"/>
          <w:cols w:space="720" w:equalWidth="0">
            <w:col w:w="9360"/>
          </w:cols>
          <w:docGrid w:linePitch="326"/>
        </w:sectPr>
      </w:pPr>
    </w:p>
    <w:p w14:paraId="0E0E0DB3" w14:textId="621EEEEB" w:rsidR="002E5A73" w:rsidRPr="006C25A4" w:rsidRDefault="002E5A73" w:rsidP="00214DCC">
      <w:pPr>
        <w:pStyle w:val="ListParagraph"/>
        <w:numPr>
          <w:ilvl w:val="0"/>
          <w:numId w:val="37"/>
        </w:numPr>
        <w:tabs>
          <w:tab w:val="left" w:pos="9000"/>
          <w:tab w:val="left" w:pos="9360"/>
          <w:tab w:val="left" w:pos="10530"/>
        </w:tabs>
        <w:spacing w:before="120" w:after="120"/>
        <w:ind w:right="-1080"/>
        <w:contextualSpacing w:val="0"/>
        <w:jc w:val="center"/>
        <w:rPr>
          <w:rFonts w:ascii="Arial" w:eastAsia="SimSun" w:hAnsi="Arial" w:cs="Arial"/>
          <w:b/>
          <w:highlight w:val="red"/>
        </w:rPr>
      </w:pPr>
      <w:bookmarkStart w:id="131" w:name="_Toc178919539"/>
      <w:bookmarkStart w:id="132" w:name="_Toc178919701"/>
      <w:r w:rsidRPr="006C25A4">
        <w:rPr>
          <w:rFonts w:ascii="Arial" w:eastAsia="SimSun" w:hAnsi="Arial" w:cs="Arial"/>
          <w:b/>
          <w:highlight w:val="red"/>
        </w:rPr>
        <w:lastRenderedPageBreak/>
        <w:t xml:space="preserve">Table </w:t>
      </w:r>
      <w:r w:rsidR="006C26A1" w:rsidRPr="006C25A4">
        <w:rPr>
          <w:rFonts w:ascii="Arial" w:eastAsia="SimSun" w:hAnsi="Arial" w:cs="Arial"/>
          <w:b/>
          <w:highlight w:val="red"/>
        </w:rPr>
        <w:t>5 </w:t>
      </w:r>
      <w:r w:rsidR="006C26A1" w:rsidRPr="006C25A4">
        <w:rPr>
          <w:rFonts w:ascii="Arial" w:eastAsia="SimSun" w:hAnsi="Arial" w:cs="Arial"/>
          <w:highlight w:val="red"/>
        </w:rPr>
        <w:t xml:space="preserve">: </w:t>
      </w:r>
      <w:r w:rsidRPr="006C25A4">
        <w:rPr>
          <w:rFonts w:ascii="Arial" w:eastAsia="SimSun" w:hAnsi="Arial" w:cs="Arial"/>
          <w:highlight w:val="red"/>
        </w:rPr>
        <w:t xml:space="preserve"> Risques et effets environnementaux et sociaux et mesures d'atténuation</w:t>
      </w:r>
      <w:r w:rsidR="006C26A1" w:rsidRPr="006C25A4">
        <w:rPr>
          <w:rFonts w:ascii="Arial" w:eastAsia="SimSun" w:hAnsi="Arial" w:cs="Arial"/>
          <w:highlight w:val="red"/>
        </w:rPr>
        <w:t xml:space="preserve"> s</w:t>
      </w:r>
      <w:r w:rsidRPr="006C25A4">
        <w:rPr>
          <w:rFonts w:ascii="Arial" w:eastAsia="SimSun" w:hAnsi="Arial" w:cs="Arial"/>
          <w:highlight w:val="red"/>
        </w:rPr>
        <w:t>upplémentaires</w:t>
      </w:r>
      <w:bookmarkEnd w:id="131"/>
      <w:bookmarkEnd w:id="132"/>
    </w:p>
    <w:tbl>
      <w:tblPr>
        <w:tblStyle w:val="TableGrid"/>
        <w:tblW w:w="13675" w:type="dxa"/>
        <w:tblLook w:val="04A0" w:firstRow="1" w:lastRow="0" w:firstColumn="1" w:lastColumn="0" w:noHBand="0" w:noVBand="1"/>
      </w:tblPr>
      <w:tblGrid>
        <w:gridCol w:w="3235"/>
        <w:gridCol w:w="5040"/>
        <w:gridCol w:w="5400"/>
      </w:tblGrid>
      <w:tr w:rsidR="00E357F8" w:rsidRPr="00B01850" w14:paraId="7C2EE169" w14:textId="77777777" w:rsidTr="00595C1D">
        <w:trPr>
          <w:trHeight w:val="432"/>
        </w:trPr>
        <w:tc>
          <w:tcPr>
            <w:tcW w:w="3235" w:type="dxa"/>
            <w:shd w:val="clear" w:color="auto" w:fill="FDE9D9" w:themeFill="accent6" w:themeFillTint="33"/>
            <w:vAlign w:val="center"/>
          </w:tcPr>
          <w:p w14:paraId="370883F1" w14:textId="7428CCB4" w:rsidR="00E357F8" w:rsidRPr="00B01850" w:rsidRDefault="00501EAC" w:rsidP="00501EAC">
            <w:pPr>
              <w:jc w:val="center"/>
              <w:rPr>
                <w:rFonts w:ascii="Arial" w:hAnsi="Arial" w:cs="Arial"/>
                <w:i/>
                <w:iCs/>
              </w:rPr>
            </w:pPr>
            <w:r w:rsidRPr="00B01850">
              <w:rPr>
                <w:rFonts w:ascii="Arial" w:hAnsi="Arial" w:cs="Arial"/>
                <w:i/>
                <w:iCs/>
              </w:rPr>
              <w:t>Activité/questions d'ordre général</w:t>
            </w:r>
          </w:p>
        </w:tc>
        <w:tc>
          <w:tcPr>
            <w:tcW w:w="5040" w:type="dxa"/>
            <w:shd w:val="clear" w:color="auto" w:fill="FDE9D9" w:themeFill="accent6" w:themeFillTint="33"/>
            <w:vAlign w:val="center"/>
          </w:tcPr>
          <w:p w14:paraId="1CEBAB76" w14:textId="6B497C4F" w:rsidR="00E357F8" w:rsidRPr="00B01850" w:rsidRDefault="00501EAC" w:rsidP="00501EAC">
            <w:pPr>
              <w:jc w:val="center"/>
              <w:rPr>
                <w:rFonts w:ascii="Arial" w:hAnsi="Arial" w:cs="Arial"/>
                <w:i/>
                <w:iCs/>
              </w:rPr>
            </w:pPr>
            <w:r w:rsidRPr="00B01850">
              <w:rPr>
                <w:rFonts w:ascii="Arial" w:hAnsi="Arial" w:cs="Arial"/>
                <w:i/>
                <w:iCs/>
              </w:rPr>
              <w:t>Risques et effets</w:t>
            </w:r>
          </w:p>
        </w:tc>
        <w:tc>
          <w:tcPr>
            <w:tcW w:w="5400" w:type="dxa"/>
            <w:shd w:val="clear" w:color="auto" w:fill="FDE9D9" w:themeFill="accent6" w:themeFillTint="33"/>
            <w:vAlign w:val="center"/>
          </w:tcPr>
          <w:p w14:paraId="5CBA8FE3" w14:textId="232C35C5" w:rsidR="00E357F8" w:rsidRPr="00B01850" w:rsidRDefault="00501EAC" w:rsidP="00501EAC">
            <w:pPr>
              <w:jc w:val="center"/>
              <w:rPr>
                <w:rFonts w:ascii="Arial" w:hAnsi="Arial" w:cs="Arial"/>
                <w:i/>
                <w:iCs/>
              </w:rPr>
            </w:pPr>
            <w:r w:rsidRPr="00B01850">
              <w:rPr>
                <w:rFonts w:ascii="Arial" w:hAnsi="Arial" w:cs="Arial"/>
                <w:i/>
                <w:iCs/>
              </w:rPr>
              <w:t>Mesures d'atténuation supplémentaires</w:t>
            </w:r>
          </w:p>
        </w:tc>
      </w:tr>
      <w:tr w:rsidR="00E357F8" w:rsidRPr="00B01850" w14:paraId="240B2189" w14:textId="77777777" w:rsidTr="00D27FB0">
        <w:tc>
          <w:tcPr>
            <w:tcW w:w="3235" w:type="dxa"/>
            <w:vAlign w:val="center"/>
          </w:tcPr>
          <w:p w14:paraId="33B21EE1" w14:textId="08FABB2F" w:rsidR="00E357F8" w:rsidRPr="00B01850" w:rsidRDefault="00E357F8" w:rsidP="00514CF8">
            <w:pPr>
              <w:jc w:val="both"/>
              <w:rPr>
                <w:rFonts w:ascii="Arial" w:hAnsi="Arial" w:cs="Arial"/>
              </w:rPr>
            </w:pPr>
            <w:r w:rsidRPr="00B01850">
              <w:rPr>
                <w:rFonts w:ascii="Arial" w:hAnsi="Arial" w:cs="Arial"/>
              </w:rPr>
              <w:t xml:space="preserve">Transferts monétaires aux ménages </w:t>
            </w:r>
          </w:p>
        </w:tc>
        <w:tc>
          <w:tcPr>
            <w:tcW w:w="5040" w:type="dxa"/>
            <w:vAlign w:val="center"/>
          </w:tcPr>
          <w:p w14:paraId="422414A4" w14:textId="045CFA14" w:rsidR="00E357F8" w:rsidRPr="00B01850" w:rsidRDefault="00D405F1">
            <w:pPr>
              <w:jc w:val="both"/>
              <w:rPr>
                <w:rFonts w:ascii="Arial" w:hAnsi="Arial" w:cs="Arial"/>
              </w:rPr>
            </w:pPr>
            <w:r w:rsidRPr="00B01850">
              <w:rPr>
                <w:rFonts w:ascii="Arial" w:hAnsi="Arial" w:cs="Arial"/>
              </w:rPr>
              <w:t xml:space="preserve">Les transferts monétaires suivront les procédures établies dans le cadre des Projets </w:t>
            </w:r>
            <w:r w:rsidR="00326801" w:rsidRPr="00B01850">
              <w:rPr>
                <w:rFonts w:ascii="Arial" w:hAnsi="Arial" w:cs="Arial"/>
              </w:rPr>
              <w:t xml:space="preserve">de Soutien au Programme de Réponse d'Urgence et </w:t>
            </w:r>
            <w:r w:rsidR="00B969DA" w:rsidRPr="00B01850">
              <w:rPr>
                <w:rStyle w:val="normaltextrun"/>
                <w:rFonts w:ascii="Arial" w:hAnsi="Arial" w:cs="Arial"/>
              </w:rPr>
              <w:t>NAFA -PRU-APN (P168777)</w:t>
            </w:r>
            <w:r w:rsidRPr="00B01850">
              <w:rPr>
                <w:rFonts w:ascii="Arial" w:hAnsi="Arial" w:cs="Arial"/>
              </w:rPr>
              <w:t xml:space="preserve">, qui comprennent l'identification et la prestation de services aux groupes vulnérables. </w:t>
            </w:r>
          </w:p>
          <w:p w14:paraId="42FA1079" w14:textId="0E2F64CC" w:rsidR="00D405F1" w:rsidRPr="00B01850" w:rsidRDefault="00ED7DF2" w:rsidP="00ED276F">
            <w:pPr>
              <w:pStyle w:val="ListParagraph"/>
              <w:numPr>
                <w:ilvl w:val="0"/>
                <w:numId w:val="4"/>
              </w:numPr>
              <w:jc w:val="both"/>
              <w:rPr>
                <w:rFonts w:ascii="Arial" w:hAnsi="Arial" w:cs="Arial"/>
              </w:rPr>
            </w:pPr>
            <w:r w:rsidRPr="00B01850">
              <w:rPr>
                <w:rFonts w:ascii="Arial" w:hAnsi="Arial" w:cs="Arial"/>
              </w:rPr>
              <w:t xml:space="preserve">Risque d'exclusion des bénéficiaires, en particulier des groupes vulnérables </w:t>
            </w:r>
          </w:p>
        </w:tc>
        <w:tc>
          <w:tcPr>
            <w:tcW w:w="5400" w:type="dxa"/>
            <w:vAlign w:val="center"/>
          </w:tcPr>
          <w:p w14:paraId="745489F2" w14:textId="566F35F3" w:rsidR="00237779" w:rsidRPr="00B01850" w:rsidRDefault="00237779" w:rsidP="00ED276F">
            <w:pPr>
              <w:pStyle w:val="ListParagraph"/>
              <w:numPr>
                <w:ilvl w:val="0"/>
                <w:numId w:val="4"/>
              </w:numPr>
              <w:jc w:val="both"/>
              <w:rPr>
                <w:rStyle w:val="normaltextrun"/>
                <w:rFonts w:ascii="Arial" w:hAnsi="Arial" w:cs="Arial"/>
              </w:rPr>
            </w:pPr>
            <w:r w:rsidRPr="00B01850">
              <w:rPr>
                <w:rStyle w:val="normaltextrun"/>
                <w:rFonts w:ascii="Arial" w:hAnsi="Arial" w:cs="Arial"/>
              </w:rPr>
              <w:t xml:space="preserve">Mise en œuvre des procédures du </w:t>
            </w:r>
            <w:r w:rsidR="00B969DA" w:rsidRPr="00B01850">
              <w:rPr>
                <w:rStyle w:val="normaltextrun"/>
                <w:rFonts w:ascii="Arial" w:hAnsi="Arial" w:cs="Arial"/>
              </w:rPr>
              <w:t>NAFA -PRU-APN (P168777)</w:t>
            </w:r>
            <w:r w:rsidRPr="00B01850">
              <w:rPr>
                <w:rStyle w:val="normaltextrun"/>
                <w:rFonts w:ascii="Arial" w:hAnsi="Arial" w:cs="Arial"/>
              </w:rPr>
              <w:t xml:space="preserve"> pour la distribution d'espèces (voir Manuel CERP)</w:t>
            </w:r>
          </w:p>
          <w:p w14:paraId="10F3F219" w14:textId="0DD96852" w:rsidR="00A17C23" w:rsidRPr="00B01850" w:rsidRDefault="00D405F1" w:rsidP="00ED276F">
            <w:pPr>
              <w:pStyle w:val="ListParagraph"/>
              <w:numPr>
                <w:ilvl w:val="0"/>
                <w:numId w:val="4"/>
              </w:numPr>
              <w:jc w:val="both"/>
              <w:rPr>
                <w:rStyle w:val="normaltextrun"/>
                <w:rFonts w:ascii="Arial" w:hAnsi="Arial" w:cs="Arial"/>
              </w:rPr>
            </w:pPr>
            <w:r w:rsidRPr="00B01850">
              <w:rPr>
                <w:rStyle w:val="normaltextrun"/>
                <w:rFonts w:ascii="Arial" w:hAnsi="Arial" w:cs="Arial"/>
              </w:rPr>
              <w:t xml:space="preserve">Mise en œuvre de la mobilisation des parties prenantes conformément au PMPP du </w:t>
            </w:r>
            <w:r w:rsidR="00B969DA" w:rsidRPr="00B01850">
              <w:rPr>
                <w:rStyle w:val="normaltextrun"/>
                <w:rFonts w:ascii="Arial" w:hAnsi="Arial" w:cs="Arial"/>
              </w:rPr>
              <w:t>NAFA -PRU-APN (P168777)</w:t>
            </w:r>
          </w:p>
          <w:p w14:paraId="5A23A203" w14:textId="67A939FA" w:rsidR="00D405F1" w:rsidRPr="00B01850" w:rsidRDefault="00B969DA" w:rsidP="00ED276F">
            <w:pPr>
              <w:pStyle w:val="ListParagraph"/>
              <w:numPr>
                <w:ilvl w:val="0"/>
                <w:numId w:val="4"/>
              </w:numPr>
              <w:jc w:val="both"/>
              <w:rPr>
                <w:rStyle w:val="normaltextrun"/>
                <w:rFonts w:ascii="Arial" w:hAnsi="Arial" w:cs="Arial"/>
              </w:rPr>
            </w:pPr>
            <w:r w:rsidRPr="00B01850">
              <w:rPr>
                <w:rStyle w:val="normaltextrun"/>
                <w:rFonts w:ascii="Arial" w:hAnsi="Arial" w:cs="Arial"/>
              </w:rPr>
              <w:t xml:space="preserve">S’appuyer le Mécanisme National de Gestion des Réclamations (MNGR) coordonner par l’Agence Guinéenne de Financement des Collectivité </w:t>
            </w:r>
            <w:r w:rsidR="00B4184C" w:rsidRPr="00B01850">
              <w:rPr>
                <w:rStyle w:val="normaltextrun"/>
                <w:rFonts w:ascii="Arial" w:hAnsi="Arial" w:cs="Arial"/>
              </w:rPr>
              <w:t xml:space="preserve">(voir annexe 4) </w:t>
            </w:r>
          </w:p>
        </w:tc>
      </w:tr>
      <w:tr w:rsidR="00E357F8" w:rsidRPr="00B01850" w14:paraId="58088EF0" w14:textId="77777777" w:rsidTr="00D27FB0">
        <w:tc>
          <w:tcPr>
            <w:tcW w:w="3235" w:type="dxa"/>
            <w:vAlign w:val="center"/>
          </w:tcPr>
          <w:p w14:paraId="5EF31680" w14:textId="2C4AC7F6" w:rsidR="00237779" w:rsidRPr="00B01850" w:rsidRDefault="00A17C23" w:rsidP="00A17C23">
            <w:pPr>
              <w:shd w:val="clear" w:color="auto" w:fill="FFFFFF"/>
              <w:spacing w:before="100" w:beforeAutospacing="1" w:after="100" w:afterAutospacing="1"/>
              <w:jc w:val="both"/>
              <w:rPr>
                <w:rFonts w:ascii="Arial" w:hAnsi="Arial" w:cs="Arial"/>
                <w:bCs/>
              </w:rPr>
            </w:pPr>
            <w:r w:rsidRPr="00B01850">
              <w:rPr>
                <w:rFonts w:ascii="Arial" w:hAnsi="Arial" w:cs="Arial"/>
                <w:bCs/>
              </w:rPr>
              <w:t>Acquisition de denrées alimentaires de base (</w:t>
            </w:r>
            <w:r w:rsidR="00AA2E8A" w:rsidRPr="00B01850">
              <w:rPr>
                <w:rFonts w:ascii="Arial" w:hAnsi="Arial" w:cs="Arial"/>
                <w:bCs/>
              </w:rPr>
              <w:t>riz</w:t>
            </w:r>
            <w:r w:rsidR="00FC6947" w:rsidRPr="00B01850">
              <w:rPr>
                <w:rFonts w:ascii="Arial" w:hAnsi="Arial" w:cs="Arial"/>
                <w:bCs/>
              </w:rPr>
              <w:t>, maï</w:t>
            </w:r>
            <w:r w:rsidR="003233C4" w:rsidRPr="00B01850">
              <w:rPr>
                <w:rFonts w:ascii="Arial" w:hAnsi="Arial" w:cs="Arial"/>
                <w:bCs/>
              </w:rPr>
              <w:t>s</w:t>
            </w:r>
            <w:r w:rsidR="00AA2E8A" w:rsidRPr="00B01850">
              <w:rPr>
                <w:rFonts w:ascii="Arial" w:hAnsi="Arial" w:cs="Arial"/>
                <w:bCs/>
              </w:rPr>
              <w:t xml:space="preserve"> et </w:t>
            </w:r>
            <w:r w:rsidRPr="00B01850">
              <w:rPr>
                <w:rFonts w:ascii="Arial" w:hAnsi="Arial" w:cs="Arial"/>
                <w:bCs/>
              </w:rPr>
              <w:t>céréales, etc.)</w:t>
            </w:r>
          </w:p>
          <w:p w14:paraId="30B7436E" w14:textId="17389F02" w:rsidR="00E357F8" w:rsidRPr="00B01850" w:rsidRDefault="00E357F8" w:rsidP="00237779">
            <w:pPr>
              <w:shd w:val="clear" w:color="auto" w:fill="FFFFFF"/>
              <w:spacing w:before="100" w:beforeAutospacing="1" w:after="100" w:afterAutospacing="1"/>
              <w:jc w:val="both"/>
              <w:rPr>
                <w:rFonts w:ascii="Arial" w:hAnsi="Arial" w:cs="Arial"/>
              </w:rPr>
            </w:pPr>
          </w:p>
        </w:tc>
        <w:tc>
          <w:tcPr>
            <w:tcW w:w="5040" w:type="dxa"/>
            <w:vAlign w:val="center"/>
          </w:tcPr>
          <w:p w14:paraId="7F7BEDBC" w14:textId="7D404C40" w:rsidR="00237779" w:rsidRPr="00B01850" w:rsidRDefault="00237779" w:rsidP="00237779">
            <w:pPr>
              <w:jc w:val="both"/>
              <w:rPr>
                <w:rFonts w:ascii="Arial" w:hAnsi="Arial" w:cs="Arial"/>
              </w:rPr>
            </w:pPr>
            <w:r w:rsidRPr="00B01850">
              <w:rPr>
                <w:rFonts w:ascii="Arial" w:hAnsi="Arial" w:cs="Arial"/>
              </w:rPr>
              <w:t>L'acquisition de denrées alimentaires de base se concentre sur l'achat de produits alimentaires par des organismes gouvernementaux sélectionnés, des institutions des Nations Unies</w:t>
            </w:r>
            <w:r w:rsidR="00A25E05" w:rsidRPr="00B01850">
              <w:rPr>
                <w:rFonts w:ascii="Arial" w:hAnsi="Arial" w:cs="Arial"/>
              </w:rPr>
              <w:t xml:space="preserve"> (PAM)</w:t>
            </w:r>
            <w:r w:rsidRPr="00B01850">
              <w:rPr>
                <w:rFonts w:ascii="Arial" w:hAnsi="Arial" w:cs="Arial"/>
              </w:rPr>
              <w:t xml:space="preserve"> ou d'autres organismes d'exécution. Il n'inclura ni le stockage ni la distribution.</w:t>
            </w:r>
          </w:p>
          <w:p w14:paraId="0D3E7320" w14:textId="6E623FA8" w:rsidR="008551DF" w:rsidRPr="00B01850" w:rsidRDefault="008551DF" w:rsidP="00F862D5">
            <w:pPr>
              <w:spacing w:before="120"/>
              <w:jc w:val="both"/>
              <w:rPr>
                <w:rFonts w:ascii="Arial" w:hAnsi="Arial" w:cs="Arial"/>
              </w:rPr>
            </w:pPr>
            <w:r w:rsidRPr="00B01850">
              <w:rPr>
                <w:rFonts w:ascii="Arial" w:hAnsi="Arial" w:cs="Arial"/>
              </w:rPr>
              <w:t xml:space="preserve">Cette activité qui est sensée s’appuyer sur les prestataires locaux </w:t>
            </w:r>
            <w:r w:rsidR="006D691B" w:rsidRPr="00B01850">
              <w:rPr>
                <w:rFonts w:ascii="Arial" w:hAnsi="Arial" w:cs="Arial"/>
              </w:rPr>
              <w:t xml:space="preserve">ou internationaux </w:t>
            </w:r>
            <w:r w:rsidRPr="00B01850">
              <w:rPr>
                <w:rFonts w:ascii="Arial" w:hAnsi="Arial" w:cs="Arial"/>
              </w:rPr>
              <w:t>présentera les risques ci-après :</w:t>
            </w:r>
          </w:p>
          <w:p w14:paraId="5C68838E" w14:textId="7155964B" w:rsidR="00237779" w:rsidRPr="00B01850" w:rsidRDefault="00237779" w:rsidP="00ED276F">
            <w:pPr>
              <w:pStyle w:val="ListParagraph"/>
              <w:numPr>
                <w:ilvl w:val="0"/>
                <w:numId w:val="4"/>
              </w:numPr>
              <w:jc w:val="both"/>
              <w:rPr>
                <w:rFonts w:ascii="Arial" w:hAnsi="Arial" w:cs="Arial"/>
              </w:rPr>
            </w:pPr>
            <w:r w:rsidRPr="00B01850">
              <w:rPr>
                <w:rFonts w:ascii="Arial" w:hAnsi="Arial" w:cs="Arial"/>
              </w:rPr>
              <w:t>Risques liés à la main-d'œuvre, conditions de travail des fournisseurs</w:t>
            </w:r>
          </w:p>
          <w:p w14:paraId="3AE91F2C" w14:textId="74655FC0" w:rsidR="00A17C23" w:rsidRPr="00B01850" w:rsidRDefault="00A17C23" w:rsidP="00ED276F">
            <w:pPr>
              <w:pStyle w:val="ListParagraph"/>
              <w:numPr>
                <w:ilvl w:val="0"/>
                <w:numId w:val="4"/>
              </w:numPr>
              <w:jc w:val="both"/>
              <w:rPr>
                <w:rFonts w:ascii="Arial" w:hAnsi="Arial" w:cs="Arial"/>
              </w:rPr>
            </w:pPr>
            <w:r w:rsidRPr="00B01850">
              <w:rPr>
                <w:rFonts w:ascii="Arial" w:hAnsi="Arial" w:cs="Arial"/>
              </w:rPr>
              <w:t xml:space="preserve">Risques liés à la circulation </w:t>
            </w:r>
            <w:r w:rsidR="00C12034" w:rsidRPr="00B01850">
              <w:rPr>
                <w:rFonts w:ascii="Arial" w:hAnsi="Arial" w:cs="Arial"/>
              </w:rPr>
              <w:t xml:space="preserve">routière </w:t>
            </w:r>
            <w:r w:rsidRPr="00B01850">
              <w:rPr>
                <w:rFonts w:ascii="Arial" w:hAnsi="Arial" w:cs="Arial"/>
              </w:rPr>
              <w:t>pendant le transport des marchandises</w:t>
            </w:r>
          </w:p>
          <w:p w14:paraId="30C15AB5" w14:textId="33B45F89" w:rsidR="00BF0739" w:rsidRPr="00B01850" w:rsidRDefault="00231A86" w:rsidP="00ED276F">
            <w:pPr>
              <w:pStyle w:val="ListParagraph"/>
              <w:numPr>
                <w:ilvl w:val="0"/>
                <w:numId w:val="4"/>
              </w:numPr>
              <w:jc w:val="both"/>
              <w:rPr>
                <w:rFonts w:ascii="Arial" w:hAnsi="Arial" w:cs="Arial"/>
              </w:rPr>
            </w:pPr>
            <w:r w:rsidRPr="00B01850">
              <w:rPr>
                <w:rFonts w:ascii="Arial" w:hAnsi="Arial" w:cs="Arial"/>
              </w:rPr>
              <w:t>Risques en aval de la production de déchets par le biais de l'emballage</w:t>
            </w:r>
            <w:r w:rsidR="00FC30D2" w:rsidRPr="00B01850">
              <w:rPr>
                <w:rFonts w:ascii="Arial" w:hAnsi="Arial" w:cs="Arial"/>
              </w:rPr>
              <w:t>.</w:t>
            </w:r>
          </w:p>
        </w:tc>
        <w:tc>
          <w:tcPr>
            <w:tcW w:w="5400" w:type="dxa"/>
            <w:vAlign w:val="center"/>
          </w:tcPr>
          <w:p w14:paraId="15B8FF81" w14:textId="77777777" w:rsidR="00A17C23" w:rsidRPr="00B01850" w:rsidRDefault="00E357F8" w:rsidP="00ED276F">
            <w:pPr>
              <w:pStyle w:val="ListParagraph"/>
              <w:numPr>
                <w:ilvl w:val="0"/>
                <w:numId w:val="4"/>
              </w:numPr>
              <w:jc w:val="both"/>
              <w:rPr>
                <w:rFonts w:ascii="Arial" w:hAnsi="Arial" w:cs="Arial"/>
              </w:rPr>
            </w:pPr>
            <w:r w:rsidRPr="00B01850">
              <w:rPr>
                <w:rFonts w:ascii="Arial" w:hAnsi="Arial" w:cs="Arial"/>
              </w:rPr>
              <w:t xml:space="preserve">Définir la procédure de passation des marchés pour assurer l'achat rapide des quantités requises de nourriture et d'eau. </w:t>
            </w:r>
          </w:p>
          <w:p w14:paraId="45A29135" w14:textId="3FA40D7F" w:rsidR="00A17C23" w:rsidRPr="00B01850" w:rsidRDefault="00E357F8" w:rsidP="00ED276F">
            <w:pPr>
              <w:pStyle w:val="ListParagraph"/>
              <w:numPr>
                <w:ilvl w:val="0"/>
                <w:numId w:val="4"/>
              </w:numPr>
              <w:jc w:val="both"/>
              <w:rPr>
                <w:rFonts w:ascii="Arial" w:hAnsi="Arial" w:cs="Arial"/>
              </w:rPr>
            </w:pPr>
            <w:r w:rsidRPr="00B01850">
              <w:rPr>
                <w:rFonts w:ascii="Arial" w:hAnsi="Arial" w:cs="Arial"/>
              </w:rPr>
              <w:t>Dans la mesure du possible, exécuter des accords pour des volumes spécifiques.</w:t>
            </w:r>
          </w:p>
          <w:p w14:paraId="4FD33F34" w14:textId="06F52DB7" w:rsidR="00A17C23" w:rsidRPr="00B01850" w:rsidRDefault="00A17C23" w:rsidP="00ED276F">
            <w:pPr>
              <w:pStyle w:val="ListParagraph"/>
              <w:numPr>
                <w:ilvl w:val="0"/>
                <w:numId w:val="4"/>
              </w:numPr>
              <w:jc w:val="both"/>
              <w:rPr>
                <w:rStyle w:val="normaltextrun"/>
                <w:rFonts w:ascii="Arial" w:hAnsi="Arial" w:cs="Arial"/>
              </w:rPr>
            </w:pPr>
            <w:r w:rsidRPr="00B01850">
              <w:rPr>
                <w:rStyle w:val="normaltextrun"/>
                <w:rFonts w:ascii="Arial" w:hAnsi="Arial" w:cs="Arial"/>
              </w:rPr>
              <w:t xml:space="preserve">Mettre en œuvre le cadre de gestion </w:t>
            </w:r>
            <w:r w:rsidR="00120004" w:rsidRPr="00B01850">
              <w:rPr>
                <w:rFonts w:ascii="Arial" w:hAnsi="Arial" w:cs="Arial"/>
              </w:rPr>
              <w:t>de la sécurité routière</w:t>
            </w:r>
            <w:r w:rsidR="00120004" w:rsidRPr="00B01850">
              <w:rPr>
                <w:rStyle w:val="normaltextrun"/>
                <w:rFonts w:ascii="Arial" w:hAnsi="Arial" w:cs="Arial"/>
              </w:rPr>
              <w:t xml:space="preserve"> </w:t>
            </w:r>
            <w:r w:rsidRPr="00B01850">
              <w:rPr>
                <w:rStyle w:val="normaltextrun"/>
                <w:rFonts w:ascii="Arial" w:hAnsi="Arial" w:cs="Arial"/>
              </w:rPr>
              <w:t>(</w:t>
            </w:r>
            <w:r w:rsidR="00B213D0" w:rsidRPr="00B01850">
              <w:rPr>
                <w:rStyle w:val="normaltextrun"/>
                <w:rFonts w:ascii="Arial" w:hAnsi="Arial" w:cs="Arial"/>
              </w:rPr>
              <w:t xml:space="preserve">voir </w:t>
            </w:r>
            <w:r w:rsidRPr="00B01850">
              <w:rPr>
                <w:rStyle w:val="normaltextrun"/>
                <w:rFonts w:ascii="Arial" w:hAnsi="Arial" w:cs="Arial"/>
              </w:rPr>
              <w:t>annexe 7)</w:t>
            </w:r>
          </w:p>
          <w:p w14:paraId="7AEA9E72" w14:textId="062808F6" w:rsidR="00A17C23" w:rsidRPr="00B01850" w:rsidRDefault="00ED7DF2" w:rsidP="00ED276F">
            <w:pPr>
              <w:pStyle w:val="ListParagraph"/>
              <w:numPr>
                <w:ilvl w:val="0"/>
                <w:numId w:val="4"/>
              </w:numPr>
              <w:jc w:val="both"/>
              <w:rPr>
                <w:rStyle w:val="normaltextrun"/>
                <w:rFonts w:ascii="Arial" w:hAnsi="Arial" w:cs="Arial"/>
              </w:rPr>
            </w:pPr>
            <w:r w:rsidRPr="00B01850">
              <w:rPr>
                <w:rStyle w:val="normaltextrun"/>
                <w:rFonts w:ascii="Arial" w:hAnsi="Arial" w:cs="Arial"/>
              </w:rPr>
              <w:t xml:space="preserve">Se conformer </w:t>
            </w:r>
            <w:r w:rsidR="00A6052E" w:rsidRPr="00B01850">
              <w:rPr>
                <w:rStyle w:val="normaltextrun"/>
                <w:rFonts w:ascii="Arial" w:hAnsi="Arial" w:cs="Arial"/>
              </w:rPr>
              <w:t>aux</w:t>
            </w:r>
            <w:r w:rsidRPr="00B01850">
              <w:rPr>
                <w:rStyle w:val="normaltextrun"/>
                <w:rFonts w:ascii="Arial" w:hAnsi="Arial" w:cs="Arial"/>
              </w:rPr>
              <w:t xml:space="preserve"> procédure</w:t>
            </w:r>
            <w:r w:rsidR="00A6052E" w:rsidRPr="00B01850">
              <w:rPr>
                <w:rStyle w:val="normaltextrun"/>
                <w:rFonts w:ascii="Arial" w:hAnsi="Arial" w:cs="Arial"/>
              </w:rPr>
              <w:t>s</w:t>
            </w:r>
            <w:r w:rsidRPr="00B01850">
              <w:rPr>
                <w:rStyle w:val="normaltextrun"/>
                <w:rFonts w:ascii="Arial" w:hAnsi="Arial" w:cs="Arial"/>
              </w:rPr>
              <w:t xml:space="preserve"> de gestion de la main-d'œuvre </w:t>
            </w:r>
            <w:r w:rsidR="00A6052E" w:rsidRPr="00B01850">
              <w:rPr>
                <w:rStyle w:val="normaltextrun"/>
                <w:rFonts w:ascii="Arial" w:hAnsi="Arial" w:cs="Arial"/>
              </w:rPr>
              <w:t xml:space="preserve">du NAFA -PRU-APN (P168777) </w:t>
            </w:r>
            <w:r w:rsidR="00363860" w:rsidRPr="00B01850">
              <w:rPr>
                <w:rStyle w:val="normaltextrun"/>
                <w:rFonts w:ascii="Arial" w:hAnsi="Arial" w:cs="Arial"/>
              </w:rPr>
              <w:t>qui figure à l’</w:t>
            </w:r>
            <w:r w:rsidRPr="00B01850">
              <w:rPr>
                <w:rStyle w:val="normaltextrun"/>
                <w:rFonts w:ascii="Arial" w:hAnsi="Arial" w:cs="Arial"/>
              </w:rPr>
              <w:t>annexe 2</w:t>
            </w:r>
            <w:r w:rsidR="00363860" w:rsidRPr="00B01850">
              <w:rPr>
                <w:rStyle w:val="normaltextrun"/>
                <w:rFonts w:ascii="Arial" w:hAnsi="Arial" w:cs="Arial"/>
              </w:rPr>
              <w:t>.</w:t>
            </w:r>
          </w:p>
          <w:p w14:paraId="01A2A7B5" w14:textId="6CB4AFEC" w:rsidR="00E357F8" w:rsidRPr="00B01850" w:rsidRDefault="00A17C23" w:rsidP="00ED276F">
            <w:pPr>
              <w:pStyle w:val="ListParagraph"/>
              <w:numPr>
                <w:ilvl w:val="0"/>
                <w:numId w:val="4"/>
              </w:numPr>
              <w:jc w:val="both"/>
              <w:rPr>
                <w:rFonts w:ascii="Arial" w:hAnsi="Arial" w:cs="Arial"/>
              </w:rPr>
            </w:pPr>
            <w:r w:rsidRPr="00B01850">
              <w:rPr>
                <w:rStyle w:val="normaltextrun"/>
                <w:rFonts w:ascii="Arial" w:hAnsi="Arial" w:cs="Arial"/>
              </w:rPr>
              <w:t xml:space="preserve">Mettre en œuvre le </w:t>
            </w:r>
            <w:r w:rsidR="00D830AC" w:rsidRPr="00B01850">
              <w:rPr>
                <w:rFonts w:ascii="Arial" w:hAnsi="Arial" w:cs="Arial"/>
              </w:rPr>
              <w:t>Cadre de gestion des déchets</w:t>
            </w:r>
            <w:r w:rsidR="00D830AC" w:rsidRPr="00B01850">
              <w:rPr>
                <w:rStyle w:val="normaltextrun"/>
                <w:rFonts w:ascii="Arial" w:hAnsi="Arial" w:cs="Arial"/>
              </w:rPr>
              <w:t xml:space="preserve"> </w:t>
            </w:r>
            <w:r w:rsidRPr="00B01850">
              <w:rPr>
                <w:rStyle w:val="normaltextrun"/>
                <w:rFonts w:ascii="Arial" w:hAnsi="Arial" w:cs="Arial"/>
              </w:rPr>
              <w:t>(voir annexe 5)</w:t>
            </w:r>
          </w:p>
        </w:tc>
      </w:tr>
      <w:tr w:rsidR="00E357F8" w:rsidRPr="00B01850" w14:paraId="60C8742E" w14:textId="77777777" w:rsidTr="00D27FB0">
        <w:tc>
          <w:tcPr>
            <w:tcW w:w="3235" w:type="dxa"/>
            <w:vAlign w:val="center"/>
          </w:tcPr>
          <w:p w14:paraId="003D6697" w14:textId="5D8619ED" w:rsidR="00635E68" w:rsidRDefault="00635E68" w:rsidP="00635E68">
            <w:pPr>
              <w:jc w:val="center"/>
              <w:rPr>
                <w:rFonts w:ascii="Arial" w:hAnsi="Arial" w:cs="Arial"/>
              </w:rPr>
            </w:pPr>
            <w:r>
              <w:rPr>
                <w:rFonts w:ascii="Arial" w:hAnsi="Arial" w:cs="Arial"/>
              </w:rPr>
              <w:t>Fourniture de services essentiels :</w:t>
            </w:r>
          </w:p>
          <w:p w14:paraId="418502BB" w14:textId="76CF0D47" w:rsidR="00E357F8" w:rsidRPr="00B01850" w:rsidRDefault="00623B84" w:rsidP="00D27FB0">
            <w:pPr>
              <w:jc w:val="both"/>
              <w:rPr>
                <w:rFonts w:ascii="Arial" w:hAnsi="Arial" w:cs="Arial"/>
              </w:rPr>
            </w:pPr>
            <w:r w:rsidRPr="00B01850">
              <w:rPr>
                <w:rFonts w:ascii="Arial" w:hAnsi="Arial" w:cs="Arial"/>
              </w:rPr>
              <w:t xml:space="preserve">Achat de produits pharmaceutiques, de médicaments, de fournitures médicales (à l'exclusion du chlore), d'équipements médicaux, équipements de protection individuelle (EPI) et de divers outils de diagnostic, à l'exclusion </w:t>
            </w:r>
            <w:r w:rsidRPr="00B01850">
              <w:rPr>
                <w:rFonts w:ascii="Arial" w:hAnsi="Arial" w:cs="Arial"/>
              </w:rPr>
              <w:lastRenderedPageBreak/>
              <w:t>de tout équipement contenant des matières radioactives.</w:t>
            </w:r>
          </w:p>
          <w:p w14:paraId="5B607244" w14:textId="26C6A11E" w:rsidR="00E357F8" w:rsidRPr="00B01850" w:rsidRDefault="00E357F8" w:rsidP="00D27FB0">
            <w:pPr>
              <w:jc w:val="both"/>
              <w:rPr>
                <w:rFonts w:ascii="Arial" w:hAnsi="Arial" w:cs="Arial"/>
              </w:rPr>
            </w:pPr>
          </w:p>
        </w:tc>
        <w:tc>
          <w:tcPr>
            <w:tcW w:w="5040" w:type="dxa"/>
            <w:vAlign w:val="center"/>
          </w:tcPr>
          <w:p w14:paraId="33118667" w14:textId="7F23AC4E" w:rsidR="00231F15" w:rsidRPr="00B01850" w:rsidRDefault="00623B84" w:rsidP="00623B84">
            <w:pPr>
              <w:adjustRightInd w:val="0"/>
              <w:snapToGrid w:val="0"/>
              <w:jc w:val="both"/>
              <w:rPr>
                <w:rFonts w:ascii="Arial" w:hAnsi="Arial" w:cs="Arial"/>
              </w:rPr>
            </w:pPr>
            <w:r w:rsidRPr="00B01850">
              <w:rPr>
                <w:rFonts w:ascii="Arial" w:hAnsi="Arial" w:cs="Arial"/>
              </w:rPr>
              <w:lastRenderedPageBreak/>
              <w:t xml:space="preserve">Les types de médicaments ou d'équipements médicaux sont inconnus à ce stade. L'activité sera probablement mise en œuvre par le biais du ministère de la Santé ou en coordination avec lui. Il peut être mis en œuvre par des organismes gouvernementaux, des agences des Nations Unies ou d'autres organismes d'exécution. Les activités porteront uniquement sur l'achat, mais pas sur le stockage ou la distribution des médicaments et des fournitures. </w:t>
            </w:r>
          </w:p>
          <w:p w14:paraId="1A515AA5" w14:textId="77777777" w:rsidR="00623B84" w:rsidRPr="00B01850" w:rsidRDefault="00623B84" w:rsidP="00623B84">
            <w:pPr>
              <w:adjustRightInd w:val="0"/>
              <w:snapToGrid w:val="0"/>
              <w:jc w:val="both"/>
              <w:rPr>
                <w:rFonts w:ascii="Arial" w:hAnsi="Arial" w:cs="Arial"/>
              </w:rPr>
            </w:pPr>
          </w:p>
          <w:p w14:paraId="44BBD850" w14:textId="7BB08800" w:rsidR="00623B84" w:rsidRPr="00B01850" w:rsidRDefault="00623B84" w:rsidP="00ED276F">
            <w:pPr>
              <w:pStyle w:val="ListParagraph"/>
              <w:numPr>
                <w:ilvl w:val="0"/>
                <w:numId w:val="4"/>
              </w:numPr>
              <w:ind w:left="433"/>
              <w:jc w:val="both"/>
              <w:rPr>
                <w:rFonts w:ascii="Arial" w:hAnsi="Arial" w:cs="Arial"/>
              </w:rPr>
            </w:pPr>
            <w:r w:rsidRPr="00B01850">
              <w:rPr>
                <w:rFonts w:ascii="Arial" w:hAnsi="Arial" w:cs="Arial"/>
              </w:rPr>
              <w:lastRenderedPageBreak/>
              <w:t>Risques liés à la main-d'œuvre, conditions de travail des fournisseurs</w:t>
            </w:r>
            <w:r w:rsidR="004308F0" w:rsidRPr="00B01850">
              <w:rPr>
                <w:rFonts w:ascii="Arial" w:hAnsi="Arial" w:cs="Arial"/>
              </w:rPr>
              <w:t> ;</w:t>
            </w:r>
          </w:p>
          <w:p w14:paraId="1696775A" w14:textId="44CDDBB6" w:rsidR="00231F15" w:rsidRPr="00B01850" w:rsidRDefault="00623B84" w:rsidP="00ED276F">
            <w:pPr>
              <w:pStyle w:val="ListParagraph"/>
              <w:numPr>
                <w:ilvl w:val="0"/>
                <w:numId w:val="4"/>
              </w:numPr>
              <w:adjustRightInd w:val="0"/>
              <w:snapToGrid w:val="0"/>
              <w:ind w:left="523"/>
              <w:jc w:val="both"/>
              <w:rPr>
                <w:rFonts w:ascii="Arial" w:hAnsi="Arial" w:cs="Arial"/>
              </w:rPr>
            </w:pPr>
            <w:r w:rsidRPr="00B01850">
              <w:rPr>
                <w:rFonts w:ascii="Arial" w:hAnsi="Arial" w:cs="Arial"/>
              </w:rPr>
              <w:t>Risques en aval liés à la production de déchets médicaux</w:t>
            </w:r>
            <w:r w:rsidR="004308F0" w:rsidRPr="00B01850">
              <w:rPr>
                <w:rFonts w:ascii="Arial" w:hAnsi="Arial" w:cs="Arial"/>
              </w:rPr>
              <w:t> ;</w:t>
            </w:r>
          </w:p>
          <w:p w14:paraId="541A4330" w14:textId="03B5A86B" w:rsidR="00623B84" w:rsidRPr="00B01850" w:rsidRDefault="00623B84" w:rsidP="00ED276F">
            <w:pPr>
              <w:pStyle w:val="ListParagraph"/>
              <w:numPr>
                <w:ilvl w:val="0"/>
                <w:numId w:val="4"/>
              </w:numPr>
              <w:ind w:left="523"/>
              <w:jc w:val="both"/>
              <w:rPr>
                <w:rFonts w:ascii="Arial" w:hAnsi="Arial" w:cs="Arial"/>
              </w:rPr>
            </w:pPr>
            <w:r w:rsidRPr="00B01850">
              <w:rPr>
                <w:rFonts w:ascii="Arial" w:hAnsi="Arial" w:cs="Arial"/>
              </w:rPr>
              <w:t xml:space="preserve">Risques liés à la circulation </w:t>
            </w:r>
            <w:r w:rsidR="00C12034" w:rsidRPr="00B01850">
              <w:rPr>
                <w:rFonts w:ascii="Arial" w:hAnsi="Arial" w:cs="Arial"/>
              </w:rPr>
              <w:t xml:space="preserve">routière </w:t>
            </w:r>
            <w:r w:rsidRPr="00B01850">
              <w:rPr>
                <w:rFonts w:ascii="Arial" w:hAnsi="Arial" w:cs="Arial"/>
              </w:rPr>
              <w:t>pendant le transport des marchandises</w:t>
            </w:r>
            <w:r w:rsidR="004308F0" w:rsidRPr="00B01850">
              <w:rPr>
                <w:rFonts w:ascii="Arial" w:hAnsi="Arial" w:cs="Arial"/>
              </w:rPr>
              <w:t> ;</w:t>
            </w:r>
          </w:p>
          <w:p w14:paraId="571FD4E4" w14:textId="31DE785A" w:rsidR="004308F0" w:rsidRPr="00B01850" w:rsidRDefault="004308F0" w:rsidP="00ED276F">
            <w:pPr>
              <w:pStyle w:val="ListParagraph"/>
              <w:numPr>
                <w:ilvl w:val="0"/>
                <w:numId w:val="4"/>
              </w:numPr>
              <w:ind w:left="523"/>
              <w:jc w:val="both"/>
              <w:rPr>
                <w:rFonts w:ascii="Arial" w:hAnsi="Arial" w:cs="Arial"/>
              </w:rPr>
            </w:pPr>
            <w:r w:rsidRPr="00B01850">
              <w:rPr>
                <w:rFonts w:ascii="Arial" w:hAnsi="Arial" w:cs="Arial"/>
              </w:rPr>
              <w:t>Risques liés à la qualité des produits acquis.</w:t>
            </w:r>
          </w:p>
          <w:p w14:paraId="6A7CE2EB" w14:textId="77777777" w:rsidR="00623B84" w:rsidRPr="00B01850" w:rsidRDefault="00623B84" w:rsidP="00623B84">
            <w:pPr>
              <w:pStyle w:val="ListParagraph"/>
              <w:adjustRightInd w:val="0"/>
              <w:snapToGrid w:val="0"/>
              <w:jc w:val="both"/>
              <w:rPr>
                <w:rFonts w:ascii="Arial" w:hAnsi="Arial" w:cs="Arial"/>
              </w:rPr>
            </w:pPr>
          </w:p>
          <w:p w14:paraId="1414A113" w14:textId="77777777" w:rsidR="00E357F8" w:rsidRPr="00B01850" w:rsidRDefault="00E357F8" w:rsidP="00623B84">
            <w:pPr>
              <w:pStyle w:val="ListParagraph"/>
              <w:jc w:val="both"/>
              <w:rPr>
                <w:rFonts w:ascii="Arial" w:hAnsi="Arial" w:cs="Arial"/>
              </w:rPr>
            </w:pPr>
          </w:p>
        </w:tc>
        <w:tc>
          <w:tcPr>
            <w:tcW w:w="5400" w:type="dxa"/>
            <w:vAlign w:val="center"/>
          </w:tcPr>
          <w:p w14:paraId="276F37A0" w14:textId="65EF6205" w:rsidR="00F15DC8" w:rsidRPr="00B01850" w:rsidRDefault="00E357F8" w:rsidP="00ED276F">
            <w:pPr>
              <w:pStyle w:val="ListParagraph"/>
              <w:numPr>
                <w:ilvl w:val="0"/>
                <w:numId w:val="4"/>
              </w:numPr>
              <w:jc w:val="both"/>
              <w:rPr>
                <w:rFonts w:ascii="Arial" w:hAnsi="Arial" w:cs="Arial"/>
              </w:rPr>
            </w:pPr>
            <w:r w:rsidRPr="00B01850">
              <w:rPr>
                <w:rFonts w:ascii="Arial" w:hAnsi="Arial" w:cs="Arial"/>
              </w:rPr>
              <w:lastRenderedPageBreak/>
              <w:t xml:space="preserve">Définir la procédure de passation des marchés pour assurer l'achat rapide des quantités requises de médicaments. Dans la mesure du possible, </w:t>
            </w:r>
            <w:r w:rsidR="00F25E94" w:rsidRPr="00B01850">
              <w:rPr>
                <w:rFonts w:ascii="Arial" w:hAnsi="Arial" w:cs="Arial"/>
              </w:rPr>
              <w:t xml:space="preserve">établir </w:t>
            </w:r>
            <w:r w:rsidRPr="00B01850">
              <w:rPr>
                <w:rFonts w:ascii="Arial" w:hAnsi="Arial" w:cs="Arial"/>
              </w:rPr>
              <w:t>des accords pour des volumes spécifiques.</w:t>
            </w:r>
          </w:p>
          <w:p w14:paraId="4B035BD7" w14:textId="57F7B03C" w:rsidR="00F15DC8" w:rsidRPr="00B01850" w:rsidRDefault="00E357F8" w:rsidP="00ED276F">
            <w:pPr>
              <w:pStyle w:val="ListParagraph"/>
              <w:numPr>
                <w:ilvl w:val="0"/>
                <w:numId w:val="4"/>
              </w:numPr>
              <w:jc w:val="both"/>
              <w:rPr>
                <w:rFonts w:ascii="Arial" w:hAnsi="Arial" w:cs="Arial"/>
              </w:rPr>
            </w:pPr>
            <w:r w:rsidRPr="00B01850">
              <w:rPr>
                <w:rFonts w:ascii="Arial" w:hAnsi="Arial" w:cs="Arial"/>
              </w:rPr>
              <w:t>Médicaments achetés avant l'achat (si possible)</w:t>
            </w:r>
            <w:r w:rsidR="00F25E94" w:rsidRPr="00B01850">
              <w:rPr>
                <w:rFonts w:ascii="Arial" w:hAnsi="Arial" w:cs="Arial"/>
              </w:rPr>
              <w:t> ;</w:t>
            </w:r>
          </w:p>
          <w:p w14:paraId="36E029D3" w14:textId="6F4D7F8A" w:rsidR="00F15DC8" w:rsidRPr="00B01850" w:rsidRDefault="00E357F8" w:rsidP="00ED276F">
            <w:pPr>
              <w:pStyle w:val="ListParagraph"/>
              <w:numPr>
                <w:ilvl w:val="0"/>
                <w:numId w:val="4"/>
              </w:numPr>
              <w:jc w:val="both"/>
              <w:rPr>
                <w:rFonts w:ascii="Arial" w:hAnsi="Arial" w:cs="Arial"/>
              </w:rPr>
            </w:pPr>
            <w:r w:rsidRPr="00B01850">
              <w:rPr>
                <w:rFonts w:ascii="Arial" w:hAnsi="Arial" w:cs="Arial"/>
              </w:rPr>
              <w:t>S'assurer que les médicaments sont entreposés conformément aux spécifications du fabricant, y compris les contrôles de température et d'humidité, les mesures de sécurité, les étagères et les étiquettes appropriées</w:t>
            </w:r>
            <w:r w:rsidR="00F25E94" w:rsidRPr="00B01850">
              <w:rPr>
                <w:rFonts w:ascii="Arial" w:hAnsi="Arial" w:cs="Arial"/>
              </w:rPr>
              <w:t> ;</w:t>
            </w:r>
          </w:p>
          <w:p w14:paraId="7E88D49F" w14:textId="01CE265D" w:rsidR="00F15DC8" w:rsidRPr="00B01850" w:rsidRDefault="00623B84" w:rsidP="00ED276F">
            <w:pPr>
              <w:pStyle w:val="ListParagraph"/>
              <w:numPr>
                <w:ilvl w:val="0"/>
                <w:numId w:val="4"/>
              </w:numPr>
              <w:jc w:val="both"/>
              <w:rPr>
                <w:rFonts w:ascii="Arial" w:hAnsi="Arial" w:cs="Arial"/>
              </w:rPr>
            </w:pPr>
            <w:r w:rsidRPr="00B01850">
              <w:rPr>
                <w:rFonts w:ascii="Arial" w:hAnsi="Arial" w:cs="Arial"/>
              </w:rPr>
              <w:lastRenderedPageBreak/>
              <w:t>Veiller à ce que seuls les organismes agréés transportent ou stockent des médicaments.</w:t>
            </w:r>
            <w:r w:rsidR="00E41B0A" w:rsidRPr="00B01850">
              <w:rPr>
                <w:rFonts w:ascii="Arial" w:hAnsi="Arial" w:cs="Arial"/>
              </w:rPr>
              <w:t xml:space="preserve"> </w:t>
            </w:r>
            <w:r w:rsidRPr="00B01850">
              <w:rPr>
                <w:rFonts w:ascii="Arial" w:hAnsi="Arial" w:cs="Arial"/>
              </w:rPr>
              <w:t>Les véhicules utilisés pour le transport des médicaments doivent répondre à des normes spécifiques, notamment en matière de gestion de la chaîne du froid et de documentation</w:t>
            </w:r>
            <w:r w:rsidR="00E41B0A" w:rsidRPr="00B01850">
              <w:rPr>
                <w:rFonts w:ascii="Arial" w:hAnsi="Arial" w:cs="Arial"/>
              </w:rPr>
              <w:t>.</w:t>
            </w:r>
          </w:p>
          <w:p w14:paraId="2DDA4ADF" w14:textId="5CA28185" w:rsidR="000A18BE" w:rsidRPr="00B01850" w:rsidRDefault="000A18BE" w:rsidP="00ED276F">
            <w:pPr>
              <w:pStyle w:val="ListParagraph"/>
              <w:numPr>
                <w:ilvl w:val="0"/>
                <w:numId w:val="4"/>
              </w:numPr>
              <w:jc w:val="both"/>
              <w:rPr>
                <w:rFonts w:ascii="Arial" w:hAnsi="Arial" w:cs="Arial"/>
              </w:rPr>
            </w:pPr>
            <w:r w:rsidRPr="00B01850">
              <w:rPr>
                <w:rFonts w:ascii="Arial" w:hAnsi="Arial" w:cs="Arial"/>
              </w:rPr>
              <w:t>Mettre en œuvre les procédures de gestion de la main-d'œuvre (voir annexe 2)</w:t>
            </w:r>
            <w:r w:rsidR="00E41B0A" w:rsidRPr="00B01850">
              <w:rPr>
                <w:rFonts w:ascii="Arial" w:hAnsi="Arial" w:cs="Arial"/>
              </w:rPr>
              <w:t>.</w:t>
            </w:r>
          </w:p>
          <w:p w14:paraId="5395B549" w14:textId="52CF55A3" w:rsidR="00623B84" w:rsidRPr="00B01850" w:rsidRDefault="00623B84" w:rsidP="00ED276F">
            <w:pPr>
              <w:pStyle w:val="ListParagraph"/>
              <w:numPr>
                <w:ilvl w:val="0"/>
                <w:numId w:val="4"/>
              </w:numPr>
              <w:jc w:val="both"/>
              <w:rPr>
                <w:rFonts w:ascii="Arial" w:hAnsi="Arial" w:cs="Arial"/>
              </w:rPr>
            </w:pPr>
            <w:r w:rsidRPr="00B01850">
              <w:rPr>
                <w:rFonts w:ascii="Arial" w:hAnsi="Arial" w:cs="Arial"/>
              </w:rPr>
              <w:t>Mettre en œuvre un cadre</w:t>
            </w:r>
            <w:r w:rsidR="00E41B0A" w:rsidRPr="00B01850">
              <w:rPr>
                <w:rFonts w:ascii="Arial" w:hAnsi="Arial" w:cs="Arial"/>
              </w:rPr>
              <w:t xml:space="preserve"> de gestion de la sécurité routière </w:t>
            </w:r>
            <w:r w:rsidRPr="00B01850">
              <w:rPr>
                <w:rFonts w:ascii="Arial" w:hAnsi="Arial" w:cs="Arial"/>
              </w:rPr>
              <w:t>(voir annexe 7)</w:t>
            </w:r>
            <w:r w:rsidR="00E41B0A" w:rsidRPr="00B01850">
              <w:rPr>
                <w:rFonts w:ascii="Arial" w:hAnsi="Arial" w:cs="Arial"/>
              </w:rPr>
              <w:t>.</w:t>
            </w:r>
            <w:r w:rsidRPr="00B01850">
              <w:rPr>
                <w:rFonts w:ascii="Arial" w:hAnsi="Arial" w:cs="Arial"/>
              </w:rPr>
              <w:t xml:space="preserve"> </w:t>
            </w:r>
          </w:p>
          <w:p w14:paraId="4171D1DB" w14:textId="42CA2355" w:rsidR="00F15DC8" w:rsidRPr="00B01850" w:rsidRDefault="00F15DC8" w:rsidP="00ED276F">
            <w:pPr>
              <w:pStyle w:val="ListParagraph"/>
              <w:numPr>
                <w:ilvl w:val="0"/>
                <w:numId w:val="4"/>
              </w:numPr>
              <w:jc w:val="both"/>
              <w:rPr>
                <w:rFonts w:ascii="Arial" w:hAnsi="Arial" w:cs="Arial"/>
              </w:rPr>
            </w:pPr>
            <w:r w:rsidRPr="00B01850">
              <w:rPr>
                <w:rFonts w:ascii="Arial" w:hAnsi="Arial" w:cs="Arial"/>
              </w:rPr>
              <w:t>S'assurer que tous les médicaments à acquérir sont conformes aux spécifications techniques pertinentes, y compris les exigences du fabricant, les lignes directrices pertinentes de l'OMS et les BPISA</w:t>
            </w:r>
            <w:r w:rsidR="00D06ED3" w:rsidRPr="00B01850">
              <w:rPr>
                <w:rFonts w:ascii="Arial" w:hAnsi="Arial" w:cs="Arial"/>
              </w:rPr>
              <w:t>.</w:t>
            </w:r>
          </w:p>
          <w:p w14:paraId="1E0C8148" w14:textId="2F1B4853" w:rsidR="00231F15" w:rsidRPr="00B01850" w:rsidRDefault="00F15DC8" w:rsidP="00ED276F">
            <w:pPr>
              <w:pStyle w:val="ListParagraph"/>
              <w:numPr>
                <w:ilvl w:val="0"/>
                <w:numId w:val="4"/>
              </w:numPr>
              <w:jc w:val="both"/>
              <w:rPr>
                <w:rFonts w:ascii="Arial" w:hAnsi="Arial" w:cs="Arial"/>
              </w:rPr>
            </w:pPr>
            <w:r w:rsidRPr="00B01850">
              <w:rPr>
                <w:rFonts w:ascii="Arial" w:hAnsi="Arial" w:cs="Arial"/>
              </w:rPr>
              <w:t xml:space="preserve">Mettre en œuvre un cadre de gestion des déchets médicaux (annexe 5). </w:t>
            </w:r>
          </w:p>
        </w:tc>
      </w:tr>
      <w:tr w:rsidR="00E357F8" w:rsidRPr="00B01850" w14:paraId="711265E8" w14:textId="77777777" w:rsidTr="00D27FB0">
        <w:tc>
          <w:tcPr>
            <w:tcW w:w="3235" w:type="dxa"/>
            <w:vAlign w:val="center"/>
          </w:tcPr>
          <w:p w14:paraId="051DFE6D" w14:textId="07596CC5" w:rsidR="00E357F8" w:rsidRPr="00B01850" w:rsidRDefault="00623B84" w:rsidP="00D07D24">
            <w:pPr>
              <w:jc w:val="both"/>
              <w:rPr>
                <w:rFonts w:ascii="Arial" w:hAnsi="Arial" w:cs="Arial"/>
              </w:rPr>
            </w:pPr>
            <w:r w:rsidRPr="00B01850">
              <w:rPr>
                <w:rFonts w:ascii="Arial" w:hAnsi="Arial" w:cs="Arial"/>
              </w:rPr>
              <w:lastRenderedPageBreak/>
              <w:t>Acquisition de médicaments vétérinaires et de fournitures, y compris des trousses de premiers soins pour animaux, des médicaments, des vaccins et des fournitures médicales</w:t>
            </w:r>
            <w:r w:rsidR="00FA0CE9" w:rsidRPr="00B01850">
              <w:rPr>
                <w:rFonts w:ascii="Arial" w:hAnsi="Arial" w:cs="Arial"/>
              </w:rPr>
              <w:t>.</w:t>
            </w:r>
          </w:p>
        </w:tc>
        <w:tc>
          <w:tcPr>
            <w:tcW w:w="5040" w:type="dxa"/>
            <w:vAlign w:val="center"/>
          </w:tcPr>
          <w:p w14:paraId="7A2771E8" w14:textId="4AC1E071" w:rsidR="00623B84" w:rsidRPr="00B01850" w:rsidRDefault="00623B84" w:rsidP="00623B84">
            <w:pPr>
              <w:adjustRightInd w:val="0"/>
              <w:snapToGrid w:val="0"/>
              <w:jc w:val="both"/>
              <w:rPr>
                <w:rFonts w:ascii="Arial" w:hAnsi="Arial" w:cs="Arial"/>
              </w:rPr>
            </w:pPr>
            <w:r w:rsidRPr="00B01850">
              <w:rPr>
                <w:rFonts w:ascii="Arial" w:hAnsi="Arial" w:cs="Arial"/>
              </w:rPr>
              <w:t>Les types de médicaments ou d'équipements médicaux sont inconnus à ce stade. L'activité sera probablement mise en œuvre par l'intermédiaire du ministère de l'Agriculture</w:t>
            </w:r>
            <w:r w:rsidR="007F7589" w:rsidRPr="00B01850">
              <w:rPr>
                <w:rFonts w:ascii="Arial" w:hAnsi="Arial" w:cs="Arial"/>
              </w:rPr>
              <w:t xml:space="preserve"> et de l’élevage</w:t>
            </w:r>
            <w:r w:rsidR="00AF3CC6" w:rsidRPr="00B01850">
              <w:rPr>
                <w:rFonts w:ascii="Arial" w:hAnsi="Arial" w:cs="Arial"/>
              </w:rPr>
              <w:t xml:space="preserve"> et ses services techniques </w:t>
            </w:r>
            <w:r w:rsidRPr="00B01850">
              <w:rPr>
                <w:rFonts w:ascii="Arial" w:hAnsi="Arial" w:cs="Arial"/>
              </w:rPr>
              <w:t>ou en coordination avec</w:t>
            </w:r>
            <w:r w:rsidR="00AF3CC6" w:rsidRPr="00B01850">
              <w:rPr>
                <w:rFonts w:ascii="Arial" w:hAnsi="Arial" w:cs="Arial"/>
              </w:rPr>
              <w:t xml:space="preserve"> eux</w:t>
            </w:r>
            <w:r w:rsidRPr="00B01850">
              <w:rPr>
                <w:rFonts w:ascii="Arial" w:hAnsi="Arial" w:cs="Arial"/>
              </w:rPr>
              <w:t>. Il peut être mis en œuvre par des organismes gouvernementaux, des agences des Nations Unies ou d'autres organismes d'exécution. Les activités porteront uniquement sur l'achat, mais pas sur le stockage ou la distribution des médicaments et des fournitures.</w:t>
            </w:r>
          </w:p>
          <w:p w14:paraId="4F47CF38" w14:textId="77777777" w:rsidR="00623B84" w:rsidRPr="00B01850" w:rsidRDefault="00623B84" w:rsidP="00623B84">
            <w:pPr>
              <w:rPr>
                <w:rFonts w:ascii="Arial" w:hAnsi="Arial" w:cs="Arial"/>
              </w:rPr>
            </w:pPr>
          </w:p>
          <w:p w14:paraId="3EDC27B4" w14:textId="05AD3202" w:rsidR="00DD3635" w:rsidRPr="00B01850" w:rsidRDefault="00DD3635" w:rsidP="00ED276F">
            <w:pPr>
              <w:pStyle w:val="ListParagraph"/>
              <w:numPr>
                <w:ilvl w:val="0"/>
                <w:numId w:val="4"/>
              </w:numPr>
              <w:jc w:val="both"/>
              <w:rPr>
                <w:rFonts w:ascii="Arial" w:hAnsi="Arial" w:cs="Arial"/>
              </w:rPr>
            </w:pPr>
            <w:r w:rsidRPr="00B01850">
              <w:rPr>
                <w:rFonts w:ascii="Arial" w:hAnsi="Arial" w:cs="Arial"/>
              </w:rPr>
              <w:t>Risques liés à la main-d'œuvre, conditions de travail des fournisseurs</w:t>
            </w:r>
            <w:r w:rsidR="00BB1460" w:rsidRPr="00B01850">
              <w:rPr>
                <w:rFonts w:ascii="Arial" w:hAnsi="Arial" w:cs="Arial"/>
              </w:rPr>
              <w:t> ;</w:t>
            </w:r>
          </w:p>
          <w:p w14:paraId="1EEBFC82" w14:textId="7EA553B2" w:rsidR="00DD3635" w:rsidRPr="00B01850" w:rsidRDefault="00DD3635" w:rsidP="00ED276F">
            <w:pPr>
              <w:pStyle w:val="ListParagraph"/>
              <w:numPr>
                <w:ilvl w:val="0"/>
                <w:numId w:val="4"/>
              </w:numPr>
              <w:adjustRightInd w:val="0"/>
              <w:snapToGrid w:val="0"/>
              <w:jc w:val="both"/>
              <w:rPr>
                <w:rFonts w:ascii="Arial" w:hAnsi="Arial" w:cs="Arial"/>
              </w:rPr>
            </w:pPr>
            <w:r w:rsidRPr="00B01850">
              <w:rPr>
                <w:rFonts w:ascii="Arial" w:hAnsi="Arial" w:cs="Arial"/>
              </w:rPr>
              <w:t>Risques en aval liés à la production de déchets médicaux</w:t>
            </w:r>
            <w:r w:rsidR="00BB1460" w:rsidRPr="00B01850">
              <w:rPr>
                <w:rFonts w:ascii="Arial" w:hAnsi="Arial" w:cs="Arial"/>
              </w:rPr>
              <w:t> ;</w:t>
            </w:r>
          </w:p>
          <w:p w14:paraId="5E42D214" w14:textId="3BAC1D51" w:rsidR="00DD3635" w:rsidRPr="00B01850" w:rsidRDefault="00DD3635" w:rsidP="00ED276F">
            <w:pPr>
              <w:pStyle w:val="ListParagraph"/>
              <w:numPr>
                <w:ilvl w:val="0"/>
                <w:numId w:val="4"/>
              </w:numPr>
              <w:jc w:val="both"/>
              <w:rPr>
                <w:rFonts w:ascii="Arial" w:hAnsi="Arial" w:cs="Arial"/>
              </w:rPr>
            </w:pPr>
            <w:r w:rsidRPr="00B01850">
              <w:rPr>
                <w:rFonts w:ascii="Arial" w:hAnsi="Arial" w:cs="Arial"/>
              </w:rPr>
              <w:t>Risques liés à la circulation</w:t>
            </w:r>
            <w:r w:rsidR="00BB1460" w:rsidRPr="00B01850">
              <w:rPr>
                <w:rFonts w:ascii="Arial" w:hAnsi="Arial" w:cs="Arial"/>
              </w:rPr>
              <w:t xml:space="preserve"> routière</w:t>
            </w:r>
            <w:r w:rsidRPr="00B01850">
              <w:rPr>
                <w:rFonts w:ascii="Arial" w:hAnsi="Arial" w:cs="Arial"/>
              </w:rPr>
              <w:t xml:space="preserve"> pendant le transport des marchandises</w:t>
            </w:r>
            <w:r w:rsidR="00BB1460" w:rsidRPr="00B01850">
              <w:rPr>
                <w:rFonts w:ascii="Arial" w:hAnsi="Arial" w:cs="Arial"/>
              </w:rPr>
              <w:t>.</w:t>
            </w:r>
          </w:p>
          <w:p w14:paraId="6022172C" w14:textId="21F13DCA" w:rsidR="00304F72" w:rsidRPr="00B01850" w:rsidRDefault="00304F72" w:rsidP="00DD3635">
            <w:pPr>
              <w:adjustRightInd w:val="0"/>
              <w:snapToGrid w:val="0"/>
              <w:jc w:val="both"/>
              <w:rPr>
                <w:rFonts w:ascii="Arial" w:hAnsi="Arial" w:cs="Arial"/>
              </w:rPr>
            </w:pPr>
          </w:p>
        </w:tc>
        <w:tc>
          <w:tcPr>
            <w:tcW w:w="5400" w:type="dxa"/>
            <w:vAlign w:val="center"/>
          </w:tcPr>
          <w:p w14:paraId="1C975C71" w14:textId="31E30F98" w:rsidR="00FA5F85" w:rsidRPr="00B01850" w:rsidRDefault="00E357F8" w:rsidP="00ED276F">
            <w:pPr>
              <w:pStyle w:val="ListParagraph"/>
              <w:numPr>
                <w:ilvl w:val="0"/>
                <w:numId w:val="4"/>
              </w:numPr>
              <w:jc w:val="both"/>
              <w:rPr>
                <w:rFonts w:ascii="Arial" w:hAnsi="Arial" w:cs="Arial"/>
              </w:rPr>
            </w:pPr>
            <w:r w:rsidRPr="00B01850">
              <w:rPr>
                <w:rFonts w:ascii="Arial" w:hAnsi="Arial" w:cs="Arial"/>
              </w:rPr>
              <w:t xml:space="preserve">Définir la procédure de passation des marchés permettant d'assurer l'achat rapide des quantités requises de médicaments vétérinaires. Dans la mesure du possible, </w:t>
            </w:r>
            <w:r w:rsidR="00E069A4" w:rsidRPr="00B01850">
              <w:rPr>
                <w:rFonts w:ascii="Arial" w:hAnsi="Arial" w:cs="Arial"/>
              </w:rPr>
              <w:t xml:space="preserve">établir et </w:t>
            </w:r>
            <w:r w:rsidRPr="00B01850">
              <w:rPr>
                <w:rFonts w:ascii="Arial" w:hAnsi="Arial" w:cs="Arial"/>
              </w:rPr>
              <w:t>exécuter des accords pour des volumes spécifiques</w:t>
            </w:r>
            <w:r w:rsidR="00E069A4" w:rsidRPr="00B01850">
              <w:rPr>
                <w:rFonts w:ascii="Arial" w:hAnsi="Arial" w:cs="Arial"/>
              </w:rPr>
              <w:t> ;</w:t>
            </w:r>
          </w:p>
          <w:p w14:paraId="58A17B36" w14:textId="57F5D0B2" w:rsidR="00FA5F85" w:rsidRPr="00B01850" w:rsidRDefault="00E357F8" w:rsidP="00ED276F">
            <w:pPr>
              <w:pStyle w:val="ListParagraph"/>
              <w:numPr>
                <w:ilvl w:val="0"/>
                <w:numId w:val="4"/>
              </w:numPr>
              <w:jc w:val="both"/>
              <w:rPr>
                <w:rFonts w:ascii="Arial" w:hAnsi="Arial" w:cs="Arial"/>
              </w:rPr>
            </w:pPr>
            <w:r w:rsidRPr="00B01850">
              <w:rPr>
                <w:rFonts w:ascii="Arial" w:hAnsi="Arial" w:cs="Arial"/>
              </w:rPr>
              <w:t>Médicaments achetés à l'avance (si possible)</w:t>
            </w:r>
            <w:r w:rsidR="00E069A4" w:rsidRPr="00B01850">
              <w:rPr>
                <w:rFonts w:ascii="Arial" w:hAnsi="Arial" w:cs="Arial"/>
              </w:rPr>
              <w:t> ;</w:t>
            </w:r>
          </w:p>
          <w:p w14:paraId="78EEB330" w14:textId="06A107DA" w:rsidR="00A8717F" w:rsidRPr="00B01850" w:rsidRDefault="00A8717F" w:rsidP="00ED276F">
            <w:pPr>
              <w:pStyle w:val="ListParagraph"/>
              <w:numPr>
                <w:ilvl w:val="0"/>
                <w:numId w:val="4"/>
              </w:numPr>
              <w:jc w:val="both"/>
              <w:rPr>
                <w:rFonts w:ascii="Arial" w:hAnsi="Arial" w:cs="Arial"/>
              </w:rPr>
            </w:pPr>
            <w:r w:rsidRPr="00B01850">
              <w:rPr>
                <w:rFonts w:ascii="Arial" w:hAnsi="Arial" w:cs="Arial"/>
              </w:rPr>
              <w:t>S'assurer que les médicaments sont entreposés conformément aux spécifications du fabricant, y compris les contrôles de température et d'humidité, les mesures de sécurité, les étagères et les étiquettes appropriées</w:t>
            </w:r>
            <w:r w:rsidR="00E069A4" w:rsidRPr="00B01850">
              <w:rPr>
                <w:rFonts w:ascii="Arial" w:hAnsi="Arial" w:cs="Arial"/>
              </w:rPr>
              <w:t> ;</w:t>
            </w:r>
          </w:p>
          <w:p w14:paraId="2ECC6299" w14:textId="6FB1AC2B" w:rsidR="00A8717F" w:rsidRPr="00B01850" w:rsidRDefault="00A8717F" w:rsidP="00ED276F">
            <w:pPr>
              <w:pStyle w:val="ListParagraph"/>
              <w:numPr>
                <w:ilvl w:val="0"/>
                <w:numId w:val="4"/>
              </w:numPr>
              <w:jc w:val="both"/>
              <w:rPr>
                <w:rFonts w:ascii="Arial" w:hAnsi="Arial" w:cs="Arial"/>
              </w:rPr>
            </w:pPr>
            <w:r w:rsidRPr="00B01850">
              <w:rPr>
                <w:rFonts w:ascii="Arial" w:hAnsi="Arial" w:cs="Arial"/>
              </w:rPr>
              <w:t>Les véhicules utilisés pour le transport des médicaments doivent répondre à des normes spécifiques, y compris le froid</w:t>
            </w:r>
            <w:r w:rsidR="00E069A4" w:rsidRPr="00B01850">
              <w:rPr>
                <w:rFonts w:ascii="Arial" w:hAnsi="Arial" w:cs="Arial"/>
              </w:rPr>
              <w:t> ;</w:t>
            </w:r>
          </w:p>
          <w:p w14:paraId="55DBCF41" w14:textId="737D24DC" w:rsidR="00A8717F" w:rsidRPr="00B01850" w:rsidRDefault="00A8717F" w:rsidP="00ED276F">
            <w:pPr>
              <w:pStyle w:val="ListParagraph"/>
              <w:numPr>
                <w:ilvl w:val="0"/>
                <w:numId w:val="4"/>
              </w:numPr>
              <w:jc w:val="both"/>
              <w:rPr>
                <w:rFonts w:ascii="Arial" w:hAnsi="Arial" w:cs="Arial"/>
              </w:rPr>
            </w:pPr>
            <w:r w:rsidRPr="00B01850">
              <w:rPr>
                <w:rFonts w:ascii="Arial" w:hAnsi="Arial" w:cs="Arial"/>
              </w:rPr>
              <w:t>Mettre en œuvre un cadre de gestion des déchets médicaux (annexe 5)</w:t>
            </w:r>
            <w:r w:rsidR="00E069A4" w:rsidRPr="00B01850">
              <w:rPr>
                <w:rFonts w:ascii="Arial" w:hAnsi="Arial" w:cs="Arial"/>
              </w:rPr>
              <w:t> ;</w:t>
            </w:r>
          </w:p>
          <w:p w14:paraId="0F088053" w14:textId="7DE16F26" w:rsidR="000A18BE" w:rsidRPr="00B01850" w:rsidRDefault="000A18BE" w:rsidP="00ED276F">
            <w:pPr>
              <w:pStyle w:val="ListParagraph"/>
              <w:numPr>
                <w:ilvl w:val="0"/>
                <w:numId w:val="4"/>
              </w:numPr>
              <w:jc w:val="both"/>
              <w:rPr>
                <w:rFonts w:ascii="Arial" w:hAnsi="Arial" w:cs="Arial"/>
              </w:rPr>
            </w:pPr>
            <w:r w:rsidRPr="00B01850">
              <w:rPr>
                <w:rFonts w:ascii="Arial" w:hAnsi="Arial" w:cs="Arial"/>
              </w:rPr>
              <w:t xml:space="preserve">Mettre en œuvre les procédures de gestion de la main-d'œuvre (voir annexe 2) </w:t>
            </w:r>
          </w:p>
          <w:p w14:paraId="6AB65CC8" w14:textId="39DA3FD7" w:rsidR="00DD3635" w:rsidRPr="00B01850" w:rsidRDefault="00DD3635" w:rsidP="00ED276F">
            <w:pPr>
              <w:pStyle w:val="ListParagraph"/>
              <w:numPr>
                <w:ilvl w:val="0"/>
                <w:numId w:val="4"/>
              </w:numPr>
              <w:jc w:val="both"/>
              <w:rPr>
                <w:rFonts w:ascii="Arial" w:hAnsi="Arial" w:cs="Arial"/>
              </w:rPr>
            </w:pPr>
            <w:r w:rsidRPr="00B01850">
              <w:rPr>
                <w:rFonts w:ascii="Arial" w:hAnsi="Arial" w:cs="Arial"/>
              </w:rPr>
              <w:t xml:space="preserve">Mettre en œuvre un </w:t>
            </w:r>
            <w:r w:rsidR="007F7589" w:rsidRPr="00B01850">
              <w:rPr>
                <w:rFonts w:ascii="Arial" w:hAnsi="Arial" w:cs="Arial"/>
              </w:rPr>
              <w:t>cadre de gestion de la sécurité routière</w:t>
            </w:r>
            <w:r w:rsidRPr="00B01850">
              <w:rPr>
                <w:rFonts w:ascii="Arial" w:hAnsi="Arial" w:cs="Arial"/>
              </w:rPr>
              <w:t xml:space="preserve"> (voir annexe 7)</w:t>
            </w:r>
            <w:r w:rsidR="00E069A4" w:rsidRPr="00B01850">
              <w:rPr>
                <w:rFonts w:ascii="Arial" w:hAnsi="Arial" w:cs="Arial"/>
              </w:rPr>
              <w:t>.</w:t>
            </w:r>
          </w:p>
        </w:tc>
      </w:tr>
      <w:tr w:rsidR="00DD3635" w:rsidRPr="00B01850" w14:paraId="3AEA4FA7" w14:textId="77777777" w:rsidTr="00E17123">
        <w:tc>
          <w:tcPr>
            <w:tcW w:w="3235" w:type="dxa"/>
            <w:vAlign w:val="center"/>
          </w:tcPr>
          <w:p w14:paraId="3C695DFD" w14:textId="4BE1C93F" w:rsidR="00DD3635" w:rsidRPr="00B01850" w:rsidRDefault="0EBBEC8E" w:rsidP="00383AE2">
            <w:pPr>
              <w:jc w:val="both"/>
              <w:rPr>
                <w:rFonts w:ascii="Arial" w:hAnsi="Arial" w:cs="Arial"/>
              </w:rPr>
            </w:pPr>
            <w:r w:rsidRPr="00B01850">
              <w:rPr>
                <w:rFonts w:ascii="Arial" w:hAnsi="Arial" w:cs="Arial"/>
              </w:rPr>
              <w:t>Achat d'intrants agricoles, tels que semences, aliments pour le bétail</w:t>
            </w:r>
          </w:p>
        </w:tc>
        <w:tc>
          <w:tcPr>
            <w:tcW w:w="5040" w:type="dxa"/>
            <w:vAlign w:val="center"/>
          </w:tcPr>
          <w:p w14:paraId="2A531284" w14:textId="7E1CB534" w:rsidR="00DD3635" w:rsidRPr="00B01850" w:rsidRDefault="00DD3635" w:rsidP="00623B84">
            <w:pPr>
              <w:adjustRightInd w:val="0"/>
              <w:snapToGrid w:val="0"/>
              <w:jc w:val="both"/>
              <w:rPr>
                <w:rFonts w:ascii="Arial" w:hAnsi="Arial" w:cs="Arial"/>
              </w:rPr>
            </w:pPr>
            <w:r w:rsidRPr="00B01850">
              <w:rPr>
                <w:rFonts w:ascii="Arial" w:hAnsi="Arial" w:cs="Arial"/>
              </w:rPr>
              <w:t xml:space="preserve">L'activité sera probablement mise en œuvre par l'intermédiaire du ministère de l'Agriculture, d'une institution des Nations Unies ou d'autres organismes </w:t>
            </w:r>
            <w:r w:rsidRPr="00B01850">
              <w:rPr>
                <w:rFonts w:ascii="Arial" w:hAnsi="Arial" w:cs="Arial"/>
              </w:rPr>
              <w:lastRenderedPageBreak/>
              <w:t>d'exécution, ou en coordination avec eux. Les activités porteront uniquement sur la passation des marchés, mais pas sur le stockage ou la distribution des biens.</w:t>
            </w:r>
          </w:p>
          <w:p w14:paraId="560E4609" w14:textId="77777777" w:rsidR="00DD3635" w:rsidRPr="00B01850" w:rsidRDefault="00DD3635" w:rsidP="00ED276F">
            <w:pPr>
              <w:pStyle w:val="ListParagraph"/>
              <w:numPr>
                <w:ilvl w:val="0"/>
                <w:numId w:val="4"/>
              </w:numPr>
              <w:jc w:val="both"/>
              <w:rPr>
                <w:rFonts w:ascii="Arial" w:hAnsi="Arial" w:cs="Arial"/>
              </w:rPr>
            </w:pPr>
            <w:r w:rsidRPr="00B01850">
              <w:rPr>
                <w:rFonts w:ascii="Arial" w:hAnsi="Arial" w:cs="Arial"/>
              </w:rPr>
              <w:t xml:space="preserve">Risques liés à la main-d'œuvre, conditions de travail des fournisseurs </w:t>
            </w:r>
          </w:p>
          <w:p w14:paraId="7CA198B7" w14:textId="4C879638" w:rsidR="00DD3635" w:rsidRPr="00B01850" w:rsidRDefault="236A5EDC" w:rsidP="00ED276F">
            <w:pPr>
              <w:pStyle w:val="ListParagraph"/>
              <w:numPr>
                <w:ilvl w:val="0"/>
                <w:numId w:val="4"/>
              </w:numPr>
              <w:adjustRightInd w:val="0"/>
              <w:snapToGrid w:val="0"/>
              <w:jc w:val="both"/>
              <w:rPr>
                <w:rFonts w:ascii="Arial" w:hAnsi="Arial" w:cs="Arial"/>
              </w:rPr>
            </w:pPr>
            <w:r w:rsidRPr="00B01850">
              <w:rPr>
                <w:rFonts w:ascii="Arial" w:hAnsi="Arial" w:cs="Arial"/>
              </w:rPr>
              <w:t>Risques pour la santé et la sécurité en aval liés aux intrants agricoles</w:t>
            </w:r>
          </w:p>
          <w:p w14:paraId="31478482" w14:textId="3407C55D" w:rsidR="00DD3635" w:rsidRPr="00B01850" w:rsidRDefault="00DD3635" w:rsidP="00ED276F">
            <w:pPr>
              <w:pStyle w:val="ListParagraph"/>
              <w:numPr>
                <w:ilvl w:val="0"/>
                <w:numId w:val="4"/>
              </w:numPr>
              <w:jc w:val="both"/>
              <w:rPr>
                <w:rFonts w:ascii="Arial" w:hAnsi="Arial" w:cs="Arial"/>
              </w:rPr>
            </w:pPr>
            <w:r w:rsidRPr="00B01850">
              <w:rPr>
                <w:rFonts w:ascii="Arial" w:hAnsi="Arial" w:cs="Arial"/>
              </w:rPr>
              <w:t>Risques liés à la circulation pendant le transport des marchandises</w:t>
            </w:r>
          </w:p>
        </w:tc>
        <w:tc>
          <w:tcPr>
            <w:tcW w:w="5400" w:type="dxa"/>
            <w:vAlign w:val="center"/>
          </w:tcPr>
          <w:p w14:paraId="5AD6980D" w14:textId="2A1A22C2" w:rsidR="009577D8" w:rsidRPr="00B01850" w:rsidRDefault="009577D8" w:rsidP="00ED276F">
            <w:pPr>
              <w:pStyle w:val="ListParagraph"/>
              <w:numPr>
                <w:ilvl w:val="0"/>
                <w:numId w:val="4"/>
              </w:numPr>
              <w:jc w:val="both"/>
              <w:rPr>
                <w:rFonts w:ascii="Arial" w:hAnsi="Arial" w:cs="Arial"/>
              </w:rPr>
            </w:pPr>
            <w:r w:rsidRPr="00B01850">
              <w:rPr>
                <w:rFonts w:ascii="Arial" w:hAnsi="Arial" w:cs="Arial"/>
              </w:rPr>
              <w:lastRenderedPageBreak/>
              <w:t xml:space="preserve">Mettre en œuvre les procédures de gestion de la main-d'œuvre (voir annexe 2) </w:t>
            </w:r>
          </w:p>
          <w:p w14:paraId="120DE741" w14:textId="71BFED2B" w:rsidR="000A18BE" w:rsidRPr="00B01850" w:rsidRDefault="009577D8" w:rsidP="00ED276F">
            <w:pPr>
              <w:pStyle w:val="ListParagraph"/>
              <w:numPr>
                <w:ilvl w:val="0"/>
                <w:numId w:val="4"/>
              </w:numPr>
              <w:jc w:val="both"/>
              <w:rPr>
                <w:rFonts w:ascii="Arial" w:hAnsi="Arial" w:cs="Arial"/>
              </w:rPr>
            </w:pPr>
            <w:r w:rsidRPr="00B01850">
              <w:rPr>
                <w:rFonts w:ascii="Arial" w:hAnsi="Arial" w:cs="Arial"/>
              </w:rPr>
              <w:lastRenderedPageBreak/>
              <w:t xml:space="preserve">Mettre en œuvre un </w:t>
            </w:r>
            <w:r w:rsidR="007F7589" w:rsidRPr="00B01850">
              <w:rPr>
                <w:rFonts w:ascii="Arial" w:hAnsi="Arial" w:cs="Arial"/>
              </w:rPr>
              <w:t>cadre de gestion de la sécurité routière</w:t>
            </w:r>
            <w:r w:rsidRPr="00B01850">
              <w:rPr>
                <w:rFonts w:ascii="Arial" w:hAnsi="Arial" w:cs="Arial"/>
              </w:rPr>
              <w:t xml:space="preserve"> (voir annexe 7)</w:t>
            </w:r>
          </w:p>
          <w:p w14:paraId="1FB341A6" w14:textId="4F39A6C7" w:rsidR="00DD3635" w:rsidRPr="00B01850" w:rsidRDefault="000A18BE" w:rsidP="00ED276F">
            <w:pPr>
              <w:pStyle w:val="ListParagraph"/>
              <w:numPr>
                <w:ilvl w:val="0"/>
                <w:numId w:val="4"/>
              </w:numPr>
              <w:jc w:val="both"/>
              <w:rPr>
                <w:rFonts w:ascii="Arial" w:hAnsi="Arial" w:cs="Arial"/>
              </w:rPr>
            </w:pPr>
            <w:r w:rsidRPr="00B01850">
              <w:rPr>
                <w:rFonts w:ascii="Arial" w:hAnsi="Arial" w:cs="Arial"/>
              </w:rPr>
              <w:t>Mettre en œuvre le cadre de santé et de sécurité (voir l'annexe 3)</w:t>
            </w:r>
          </w:p>
        </w:tc>
      </w:tr>
      <w:tr w:rsidR="009577D8" w:rsidRPr="00B01850" w14:paraId="37585910" w14:textId="77777777" w:rsidTr="00E17123">
        <w:tc>
          <w:tcPr>
            <w:tcW w:w="3235" w:type="dxa"/>
            <w:vAlign w:val="center"/>
          </w:tcPr>
          <w:p w14:paraId="1EC1445D" w14:textId="59165190" w:rsidR="00462B32" w:rsidRPr="00B01850" w:rsidRDefault="0B2BD693" w:rsidP="00E17123">
            <w:pPr>
              <w:jc w:val="both"/>
              <w:rPr>
                <w:rFonts w:ascii="Arial" w:hAnsi="Arial" w:cs="Arial"/>
              </w:rPr>
            </w:pPr>
            <w:r w:rsidRPr="00B01850">
              <w:rPr>
                <w:rFonts w:ascii="Arial" w:hAnsi="Arial" w:cs="Arial"/>
              </w:rPr>
              <w:lastRenderedPageBreak/>
              <w:t xml:space="preserve">Acquisition de fournitures essentielles telles que : </w:t>
            </w:r>
          </w:p>
          <w:p w14:paraId="37C54065" w14:textId="0A718670" w:rsidR="00462B32" w:rsidRPr="00B01850" w:rsidRDefault="0B2BD693" w:rsidP="00E17123">
            <w:pPr>
              <w:jc w:val="both"/>
              <w:rPr>
                <w:rFonts w:ascii="Arial" w:hAnsi="Arial" w:cs="Arial"/>
              </w:rPr>
            </w:pPr>
            <w:r w:rsidRPr="00B01850">
              <w:rPr>
                <w:rFonts w:ascii="Arial" w:hAnsi="Arial" w:cs="Arial"/>
              </w:rPr>
              <w:t xml:space="preserve">Les ponts Bailey, les tentes, les sacs de couchage, les trousses d'hygiène personnelle, les trousses de ménage, etc. </w:t>
            </w:r>
          </w:p>
          <w:p w14:paraId="44C7AB1B" w14:textId="77777777" w:rsidR="00462B32" w:rsidRPr="00B01850" w:rsidRDefault="00462B32" w:rsidP="00E17123">
            <w:pPr>
              <w:jc w:val="both"/>
              <w:rPr>
                <w:rFonts w:ascii="Arial" w:hAnsi="Arial" w:cs="Arial"/>
              </w:rPr>
            </w:pPr>
          </w:p>
          <w:p w14:paraId="5F33B452" w14:textId="5B790482" w:rsidR="009577D8" w:rsidRPr="00B01850" w:rsidRDefault="00462B32" w:rsidP="00E17123">
            <w:pPr>
              <w:jc w:val="both"/>
              <w:rPr>
                <w:rFonts w:ascii="Arial" w:hAnsi="Arial" w:cs="Arial"/>
              </w:rPr>
            </w:pPr>
            <w:r w:rsidRPr="00B01850">
              <w:rPr>
                <w:rFonts w:ascii="Arial" w:hAnsi="Arial" w:cs="Arial"/>
              </w:rPr>
              <w:t xml:space="preserve">Location de matériel léger pour le dégagement de l'accès (enlèvement des rochers et des débris, par exemple). L'équipement léger comprend des pelles ou des génératrices.  </w:t>
            </w:r>
          </w:p>
          <w:p w14:paraId="52592C47" w14:textId="7A8CBEB5" w:rsidR="00462B32" w:rsidRPr="00B01850" w:rsidRDefault="00462B32" w:rsidP="00E17123">
            <w:pPr>
              <w:jc w:val="both"/>
              <w:rPr>
                <w:rFonts w:ascii="Arial" w:hAnsi="Arial" w:cs="Arial"/>
              </w:rPr>
            </w:pPr>
            <w:r w:rsidRPr="00B01850">
              <w:rPr>
                <w:rFonts w:ascii="Arial" w:hAnsi="Arial" w:cs="Arial"/>
              </w:rPr>
              <w:t>Achat de fourneaux verts</w:t>
            </w:r>
          </w:p>
        </w:tc>
        <w:tc>
          <w:tcPr>
            <w:tcW w:w="5040" w:type="dxa"/>
            <w:vAlign w:val="center"/>
          </w:tcPr>
          <w:p w14:paraId="464AA4BA" w14:textId="403AE250" w:rsidR="009577D8" w:rsidRPr="00B01850" w:rsidRDefault="6710B285" w:rsidP="00E17123">
            <w:pPr>
              <w:adjustRightInd w:val="0"/>
              <w:snapToGrid w:val="0"/>
              <w:jc w:val="both"/>
              <w:rPr>
                <w:rFonts w:ascii="Arial" w:hAnsi="Arial" w:cs="Arial"/>
              </w:rPr>
            </w:pPr>
            <w:r w:rsidRPr="00B01850">
              <w:rPr>
                <w:rFonts w:ascii="Arial" w:hAnsi="Arial" w:cs="Arial"/>
              </w:rPr>
              <w:t>L'activité sera probablement mise en œuvre par un organisme gouvernemental, un organisme des Nations Unies ou d'autres organismes d'exécution. Les activités porteront uniquement sur la passation des marchés, mais pas sur la distribution des biens ni sur l'installation de ponts de basse-cour.</w:t>
            </w:r>
          </w:p>
          <w:p w14:paraId="17D0EB28" w14:textId="5EDBA65C" w:rsidR="00423F89" w:rsidRPr="00B01850" w:rsidRDefault="00423F89" w:rsidP="00E17123">
            <w:pPr>
              <w:adjustRightInd w:val="0"/>
              <w:snapToGrid w:val="0"/>
              <w:jc w:val="both"/>
              <w:rPr>
                <w:rFonts w:ascii="Arial" w:hAnsi="Arial" w:cs="Arial"/>
              </w:rPr>
            </w:pPr>
          </w:p>
          <w:p w14:paraId="12B9C4B6" w14:textId="77777777" w:rsidR="00423F89" w:rsidRPr="00B01850" w:rsidRDefault="00423F89" w:rsidP="00ED276F">
            <w:pPr>
              <w:pStyle w:val="ListParagraph"/>
              <w:numPr>
                <w:ilvl w:val="0"/>
                <w:numId w:val="4"/>
              </w:numPr>
              <w:jc w:val="both"/>
              <w:rPr>
                <w:rFonts w:ascii="Arial" w:hAnsi="Arial" w:cs="Arial"/>
              </w:rPr>
            </w:pPr>
            <w:r w:rsidRPr="00B01850">
              <w:rPr>
                <w:rFonts w:ascii="Arial" w:hAnsi="Arial" w:cs="Arial"/>
              </w:rPr>
              <w:t xml:space="preserve">Risques liés à la main-d'œuvre, conditions de travail des fournisseurs </w:t>
            </w:r>
          </w:p>
          <w:p w14:paraId="7946545B" w14:textId="77777777" w:rsidR="009577D8" w:rsidRPr="00B01850" w:rsidRDefault="00423F89" w:rsidP="00ED276F">
            <w:pPr>
              <w:pStyle w:val="ListParagraph"/>
              <w:numPr>
                <w:ilvl w:val="0"/>
                <w:numId w:val="4"/>
              </w:numPr>
              <w:jc w:val="both"/>
              <w:rPr>
                <w:rFonts w:ascii="Arial" w:hAnsi="Arial" w:cs="Arial"/>
              </w:rPr>
            </w:pPr>
            <w:r w:rsidRPr="00B01850">
              <w:rPr>
                <w:rFonts w:ascii="Arial" w:hAnsi="Arial" w:cs="Arial"/>
              </w:rPr>
              <w:t xml:space="preserve">Risques liés à la circulation pendant le transport des </w:t>
            </w:r>
            <w:r w:rsidR="00774CF8" w:rsidRPr="00B01850">
              <w:rPr>
                <w:rFonts w:ascii="Arial" w:hAnsi="Arial" w:cs="Arial"/>
              </w:rPr>
              <w:t>équipements</w:t>
            </w:r>
          </w:p>
          <w:p w14:paraId="42048758" w14:textId="7116B2F8" w:rsidR="00BA2CD3" w:rsidRPr="00B01850" w:rsidRDefault="00BA2CD3" w:rsidP="00ED276F">
            <w:pPr>
              <w:pStyle w:val="ListParagraph"/>
              <w:numPr>
                <w:ilvl w:val="0"/>
                <w:numId w:val="4"/>
              </w:numPr>
              <w:jc w:val="both"/>
              <w:rPr>
                <w:rFonts w:ascii="Arial" w:hAnsi="Arial" w:cs="Arial"/>
              </w:rPr>
            </w:pPr>
            <w:r w:rsidRPr="00B01850">
              <w:rPr>
                <w:rFonts w:ascii="Arial" w:hAnsi="Arial" w:cs="Arial"/>
              </w:rPr>
              <w:t>Risques liés à la gestion des déchets</w:t>
            </w:r>
          </w:p>
        </w:tc>
        <w:tc>
          <w:tcPr>
            <w:tcW w:w="5400" w:type="dxa"/>
            <w:vAlign w:val="center"/>
          </w:tcPr>
          <w:p w14:paraId="59FE9903" w14:textId="21D2075D" w:rsidR="00423F89" w:rsidRPr="00B01850" w:rsidRDefault="00423F89" w:rsidP="00ED276F">
            <w:pPr>
              <w:pStyle w:val="ListParagraph"/>
              <w:numPr>
                <w:ilvl w:val="0"/>
                <w:numId w:val="4"/>
              </w:numPr>
              <w:jc w:val="both"/>
              <w:rPr>
                <w:rFonts w:ascii="Arial" w:hAnsi="Arial" w:cs="Arial"/>
              </w:rPr>
            </w:pPr>
            <w:r w:rsidRPr="00B01850">
              <w:rPr>
                <w:rFonts w:ascii="Arial" w:hAnsi="Arial" w:cs="Arial"/>
              </w:rPr>
              <w:t xml:space="preserve">Mettre en œuvre les procédures de gestion de la main-d'œuvre (voir annexe 2) </w:t>
            </w:r>
          </w:p>
          <w:p w14:paraId="1740FDBB" w14:textId="0EDCB4FB" w:rsidR="00423F89" w:rsidRPr="00B01850" w:rsidRDefault="00423F89" w:rsidP="00ED276F">
            <w:pPr>
              <w:pStyle w:val="ListParagraph"/>
              <w:numPr>
                <w:ilvl w:val="0"/>
                <w:numId w:val="4"/>
              </w:numPr>
              <w:jc w:val="both"/>
              <w:rPr>
                <w:rFonts w:ascii="Arial" w:hAnsi="Arial" w:cs="Arial"/>
              </w:rPr>
            </w:pPr>
            <w:r w:rsidRPr="00B01850">
              <w:rPr>
                <w:rFonts w:ascii="Arial" w:hAnsi="Arial" w:cs="Arial"/>
              </w:rPr>
              <w:t xml:space="preserve">Mettre en œuvre un </w:t>
            </w:r>
            <w:r w:rsidR="007F7589" w:rsidRPr="00B01850">
              <w:rPr>
                <w:rFonts w:ascii="Arial" w:hAnsi="Arial" w:cs="Arial"/>
              </w:rPr>
              <w:t xml:space="preserve">cadre de gestion de la sécurité routière </w:t>
            </w:r>
            <w:r w:rsidRPr="00B01850">
              <w:rPr>
                <w:rFonts w:ascii="Arial" w:hAnsi="Arial" w:cs="Arial"/>
              </w:rPr>
              <w:t>(voir annexe 7)</w:t>
            </w:r>
          </w:p>
          <w:p w14:paraId="5BB1521E" w14:textId="1CB6C498" w:rsidR="00BA2CD3" w:rsidRPr="00B01850" w:rsidRDefault="00BA2CD3" w:rsidP="00ED276F">
            <w:pPr>
              <w:pStyle w:val="ListParagraph"/>
              <w:numPr>
                <w:ilvl w:val="0"/>
                <w:numId w:val="4"/>
              </w:numPr>
              <w:jc w:val="both"/>
              <w:rPr>
                <w:rFonts w:ascii="Arial" w:hAnsi="Arial" w:cs="Arial"/>
              </w:rPr>
            </w:pPr>
            <w:r w:rsidRPr="00B01850">
              <w:rPr>
                <w:rFonts w:ascii="Arial" w:hAnsi="Arial" w:cs="Arial"/>
              </w:rPr>
              <w:t>Mettre en œuvre le cadre de gestion des déchets</w:t>
            </w:r>
            <w:r w:rsidR="00F65A92" w:rsidRPr="00B01850">
              <w:rPr>
                <w:rFonts w:ascii="Arial" w:hAnsi="Arial" w:cs="Arial"/>
              </w:rPr>
              <w:t xml:space="preserve"> (voir annexe 3)</w:t>
            </w:r>
          </w:p>
          <w:p w14:paraId="75CFE0FE" w14:textId="46A21F97" w:rsidR="0007613B" w:rsidRPr="00B01850" w:rsidRDefault="0007613B" w:rsidP="00ED276F">
            <w:pPr>
              <w:pStyle w:val="ListParagraph"/>
              <w:numPr>
                <w:ilvl w:val="0"/>
                <w:numId w:val="4"/>
              </w:numPr>
              <w:jc w:val="both"/>
              <w:rPr>
                <w:rFonts w:ascii="Arial" w:hAnsi="Arial" w:cs="Arial"/>
              </w:rPr>
            </w:pPr>
            <w:r w:rsidRPr="00B01850">
              <w:rPr>
                <w:rFonts w:ascii="Arial" w:hAnsi="Arial" w:cs="Arial"/>
              </w:rPr>
              <w:t>Mettre en œuvre le Mécanisme de Gestion des Réclamations (voir annexe 4)</w:t>
            </w:r>
          </w:p>
          <w:p w14:paraId="42C915DB" w14:textId="77777777" w:rsidR="009577D8" w:rsidRPr="00B01850" w:rsidRDefault="009577D8" w:rsidP="00E17123">
            <w:pPr>
              <w:pStyle w:val="ListParagraph"/>
              <w:jc w:val="both"/>
              <w:rPr>
                <w:rFonts w:ascii="Arial" w:hAnsi="Arial" w:cs="Arial"/>
              </w:rPr>
            </w:pPr>
          </w:p>
        </w:tc>
      </w:tr>
      <w:tr w:rsidR="00E357F8" w:rsidRPr="00B01850" w14:paraId="51691954" w14:textId="77777777" w:rsidTr="00E17123">
        <w:tc>
          <w:tcPr>
            <w:tcW w:w="3235" w:type="dxa"/>
            <w:vAlign w:val="center"/>
          </w:tcPr>
          <w:p w14:paraId="7479CB5F" w14:textId="27054558" w:rsidR="00E357F8" w:rsidRPr="00B01850" w:rsidRDefault="5E470E0D" w:rsidP="00E17123">
            <w:pPr>
              <w:jc w:val="both"/>
              <w:rPr>
                <w:rFonts w:ascii="Arial" w:hAnsi="Arial" w:cs="Arial"/>
              </w:rPr>
            </w:pPr>
            <w:r w:rsidRPr="00B01850">
              <w:rPr>
                <w:rFonts w:ascii="Arial" w:hAnsi="Arial" w:cs="Arial"/>
              </w:rPr>
              <w:t>Administration des abris, y compris</w:t>
            </w:r>
            <w:r w:rsidR="00F5361A" w:rsidRPr="00B01850">
              <w:rPr>
                <w:rFonts w:ascii="Arial" w:hAnsi="Arial" w:cs="Arial"/>
              </w:rPr>
              <w:t xml:space="preserve"> acquisition des biens nécessaires à l'administration du fonctionnement des abris</w:t>
            </w:r>
          </w:p>
        </w:tc>
        <w:tc>
          <w:tcPr>
            <w:tcW w:w="5040" w:type="dxa"/>
            <w:vAlign w:val="center"/>
          </w:tcPr>
          <w:p w14:paraId="11F0950E" w14:textId="77777777" w:rsidR="00E357F8" w:rsidRPr="00B01850" w:rsidRDefault="00563480" w:rsidP="00ED276F">
            <w:pPr>
              <w:pStyle w:val="ListParagraph"/>
              <w:numPr>
                <w:ilvl w:val="0"/>
                <w:numId w:val="4"/>
              </w:numPr>
              <w:jc w:val="both"/>
              <w:rPr>
                <w:rFonts w:ascii="Arial" w:hAnsi="Arial" w:cs="Arial"/>
              </w:rPr>
            </w:pPr>
            <w:r w:rsidRPr="00B01850">
              <w:rPr>
                <w:rFonts w:ascii="Arial" w:hAnsi="Arial" w:cs="Arial"/>
              </w:rPr>
              <w:t>Risques liés à la gestion et aux conditions de travail</w:t>
            </w:r>
          </w:p>
          <w:p w14:paraId="5DC7C7B7" w14:textId="53F83675" w:rsidR="00462B32" w:rsidRPr="00B01850" w:rsidRDefault="00462B32" w:rsidP="00ED276F">
            <w:pPr>
              <w:pStyle w:val="ListParagraph"/>
              <w:numPr>
                <w:ilvl w:val="0"/>
                <w:numId w:val="4"/>
              </w:numPr>
              <w:jc w:val="both"/>
              <w:rPr>
                <w:rFonts w:ascii="Arial" w:hAnsi="Arial" w:cs="Arial"/>
              </w:rPr>
            </w:pPr>
            <w:r w:rsidRPr="00B01850">
              <w:rPr>
                <w:rFonts w:ascii="Arial" w:hAnsi="Arial" w:cs="Arial"/>
              </w:rPr>
              <w:t>Risques liés à la SST pour les équipes d'appoint et de réparation</w:t>
            </w:r>
          </w:p>
        </w:tc>
        <w:tc>
          <w:tcPr>
            <w:tcW w:w="5400" w:type="dxa"/>
            <w:vAlign w:val="center"/>
          </w:tcPr>
          <w:p w14:paraId="1D518B80" w14:textId="54B25B73" w:rsidR="00E357F8" w:rsidRPr="00B01850" w:rsidRDefault="00462B32" w:rsidP="00ED276F">
            <w:pPr>
              <w:pStyle w:val="ListParagraph"/>
              <w:numPr>
                <w:ilvl w:val="0"/>
                <w:numId w:val="4"/>
              </w:numPr>
              <w:jc w:val="both"/>
              <w:rPr>
                <w:rFonts w:ascii="Arial" w:hAnsi="Arial" w:cs="Arial"/>
              </w:rPr>
            </w:pPr>
            <w:r w:rsidRPr="00B01850">
              <w:rPr>
                <w:rFonts w:ascii="Arial" w:hAnsi="Arial" w:cs="Arial"/>
              </w:rPr>
              <w:t>Mise en œuvre des procédures de gestion de la main-d'œuvre (</w:t>
            </w:r>
            <w:r w:rsidR="00C708AA" w:rsidRPr="00B01850">
              <w:rPr>
                <w:rFonts w:ascii="Arial" w:hAnsi="Arial" w:cs="Arial"/>
              </w:rPr>
              <w:t xml:space="preserve">voir </w:t>
            </w:r>
            <w:r w:rsidRPr="00B01850">
              <w:rPr>
                <w:rFonts w:ascii="Arial" w:hAnsi="Arial" w:cs="Arial"/>
              </w:rPr>
              <w:t xml:space="preserve">annexe </w:t>
            </w:r>
            <w:r w:rsidR="00C708AA" w:rsidRPr="00B01850">
              <w:rPr>
                <w:rFonts w:ascii="Arial" w:hAnsi="Arial" w:cs="Arial"/>
              </w:rPr>
              <w:t>2</w:t>
            </w:r>
            <w:r w:rsidRPr="00B01850">
              <w:rPr>
                <w:rFonts w:ascii="Arial" w:hAnsi="Arial" w:cs="Arial"/>
              </w:rPr>
              <w:t>)</w:t>
            </w:r>
            <w:r w:rsidR="008D793C" w:rsidRPr="00B01850">
              <w:rPr>
                <w:rFonts w:ascii="Arial" w:hAnsi="Arial" w:cs="Arial"/>
              </w:rPr>
              <w:t>.</w:t>
            </w:r>
          </w:p>
          <w:p w14:paraId="7F7BF4BE" w14:textId="0CDEBB57" w:rsidR="00462B32" w:rsidRPr="00B01850" w:rsidRDefault="00462B32" w:rsidP="00ED276F">
            <w:pPr>
              <w:pStyle w:val="ListParagraph"/>
              <w:numPr>
                <w:ilvl w:val="0"/>
                <w:numId w:val="4"/>
              </w:numPr>
              <w:jc w:val="both"/>
              <w:rPr>
                <w:rFonts w:ascii="Arial" w:hAnsi="Arial" w:cs="Arial"/>
              </w:rPr>
            </w:pPr>
            <w:r w:rsidRPr="00B01850">
              <w:rPr>
                <w:rFonts w:ascii="Arial" w:hAnsi="Arial" w:cs="Arial"/>
              </w:rPr>
              <w:t>Mettre en œuvre le cadre de santé et de sécurité (voir l'annexe 3)</w:t>
            </w:r>
            <w:r w:rsidR="008D793C" w:rsidRPr="00B01850">
              <w:rPr>
                <w:rFonts w:ascii="Arial" w:hAnsi="Arial" w:cs="Arial"/>
              </w:rPr>
              <w:t>.</w:t>
            </w:r>
          </w:p>
        </w:tc>
      </w:tr>
      <w:tr w:rsidR="006119B3" w:rsidRPr="00B01850" w14:paraId="6C89DA8D" w14:textId="77777777" w:rsidTr="00E17123">
        <w:tc>
          <w:tcPr>
            <w:tcW w:w="3235" w:type="dxa"/>
            <w:vAlign w:val="center"/>
          </w:tcPr>
          <w:p w14:paraId="7F9241F7" w14:textId="77777777" w:rsidR="006119B3" w:rsidRPr="00B01850" w:rsidRDefault="006119B3" w:rsidP="000A1204">
            <w:pPr>
              <w:shd w:val="clear" w:color="auto" w:fill="FFFFFF"/>
              <w:spacing w:after="120"/>
              <w:jc w:val="center"/>
              <w:rPr>
                <w:rFonts w:ascii="Arial" w:hAnsi="Arial" w:cs="Arial"/>
                <w:b/>
                <w:bCs/>
              </w:rPr>
            </w:pPr>
            <w:r w:rsidRPr="00B01850">
              <w:rPr>
                <w:rFonts w:ascii="Arial" w:hAnsi="Arial" w:cs="Arial"/>
                <w:bCs/>
                <w:iCs/>
              </w:rPr>
              <w:t>Procédures d'évacuation</w:t>
            </w:r>
          </w:p>
          <w:p w14:paraId="2292C422" w14:textId="7A4F7ED0" w:rsidR="006119B3" w:rsidRPr="00B01850" w:rsidRDefault="004975CC" w:rsidP="00F36F78">
            <w:pPr>
              <w:shd w:val="clear" w:color="auto" w:fill="FFFFFF"/>
              <w:spacing w:after="120"/>
              <w:jc w:val="both"/>
              <w:rPr>
                <w:rFonts w:ascii="Arial" w:hAnsi="Arial" w:cs="Arial"/>
                <w:b/>
                <w:bCs/>
              </w:rPr>
            </w:pPr>
            <w:r w:rsidRPr="00B01850">
              <w:rPr>
                <w:rFonts w:ascii="Arial" w:hAnsi="Arial" w:cs="Arial"/>
                <w:color w:val="000000"/>
                <w:shd w:val="clear" w:color="auto" w:fill="FFFFFF"/>
              </w:rPr>
              <w:t xml:space="preserve">Soutien administratif aux abris et biens essentiels pour soutenir le fonctionnement des abris (couvre les aspects administratifs des opérations des abris, y compris le paiement des salaires des gestionnaires d'abris et du personnel chargé de superviser le fonctionnement des abris. Il comprend également l'acquisition des biens essentiels nécessaires </w:t>
            </w:r>
            <w:r w:rsidRPr="00B01850">
              <w:rPr>
                <w:rFonts w:ascii="Arial" w:hAnsi="Arial" w:cs="Arial"/>
                <w:color w:val="000000"/>
                <w:shd w:val="clear" w:color="auto" w:fill="FFFFFF"/>
              </w:rPr>
              <w:lastRenderedPageBreak/>
              <w:t>à l'administration du logement, tels que les fournitures de bureau et le mobilier de base</w:t>
            </w:r>
            <w:r w:rsidR="000A1204" w:rsidRPr="00B01850">
              <w:rPr>
                <w:rFonts w:ascii="Arial" w:hAnsi="Arial" w:cs="Arial"/>
                <w:color w:val="000000"/>
                <w:shd w:val="clear" w:color="auto" w:fill="FFFFFF"/>
              </w:rPr>
              <w:t xml:space="preserve"> </w:t>
            </w:r>
            <w:r w:rsidRPr="00B01850">
              <w:rPr>
                <w:rFonts w:ascii="Arial" w:hAnsi="Arial" w:cs="Arial"/>
                <w:color w:val="000000"/>
                <w:shd w:val="clear" w:color="auto" w:fill="FFFFFF"/>
              </w:rPr>
              <w:t xml:space="preserve">(par exemple, tables, chaises, lits de camp, etc.). </w:t>
            </w:r>
          </w:p>
        </w:tc>
        <w:tc>
          <w:tcPr>
            <w:tcW w:w="5040" w:type="dxa"/>
            <w:vAlign w:val="center"/>
          </w:tcPr>
          <w:p w14:paraId="604DA5BF" w14:textId="6442FDD6" w:rsidR="006119B3" w:rsidRPr="00B01850" w:rsidRDefault="0033426D" w:rsidP="00ED276F">
            <w:pPr>
              <w:pStyle w:val="ListParagraph"/>
              <w:numPr>
                <w:ilvl w:val="0"/>
                <w:numId w:val="4"/>
              </w:numPr>
              <w:jc w:val="both"/>
              <w:rPr>
                <w:rFonts w:ascii="Arial" w:hAnsi="Arial" w:cs="Arial"/>
              </w:rPr>
            </w:pPr>
            <w:r w:rsidRPr="00B01850">
              <w:rPr>
                <w:rFonts w:ascii="Arial" w:hAnsi="Arial" w:cs="Arial"/>
              </w:rPr>
              <w:lastRenderedPageBreak/>
              <w:t>Risque d'exclusion des groupes vulnérables lors de l'évacuation</w:t>
            </w:r>
          </w:p>
          <w:p w14:paraId="40F5DF2C" w14:textId="71434B82" w:rsidR="00500FBD" w:rsidRPr="00B01850" w:rsidRDefault="00500FBD" w:rsidP="00F36F78">
            <w:pPr>
              <w:adjustRightInd w:val="0"/>
              <w:snapToGrid w:val="0"/>
              <w:jc w:val="both"/>
              <w:rPr>
                <w:rFonts w:ascii="Arial" w:hAnsi="Arial" w:cs="Arial"/>
              </w:rPr>
            </w:pPr>
            <w:r w:rsidRPr="00B01850">
              <w:rPr>
                <w:rFonts w:ascii="Arial" w:hAnsi="Arial" w:cs="Arial"/>
              </w:rPr>
              <w:t>L'activité sera probablement mise en œuvre par un organisme gouvernemental, un organisme des Nations Unies ou d'autres organismes d'exécution. Les activités porteront uniquement sur l'achat de biens ou le paiement des salaires.</w:t>
            </w:r>
          </w:p>
          <w:p w14:paraId="59556039" w14:textId="77777777" w:rsidR="00075E29" w:rsidRPr="00B01850" w:rsidRDefault="00075E29" w:rsidP="00F36F78">
            <w:pPr>
              <w:adjustRightInd w:val="0"/>
              <w:snapToGrid w:val="0"/>
              <w:jc w:val="both"/>
              <w:rPr>
                <w:rFonts w:ascii="Arial" w:hAnsi="Arial" w:cs="Arial"/>
              </w:rPr>
            </w:pPr>
          </w:p>
          <w:p w14:paraId="40612096" w14:textId="37E09139" w:rsidR="00075E29" w:rsidRPr="00B01850" w:rsidRDefault="00075E29" w:rsidP="00ED276F">
            <w:pPr>
              <w:pStyle w:val="ListParagraph"/>
              <w:numPr>
                <w:ilvl w:val="0"/>
                <w:numId w:val="4"/>
              </w:numPr>
              <w:jc w:val="both"/>
              <w:rPr>
                <w:rFonts w:ascii="Arial" w:hAnsi="Arial" w:cs="Arial"/>
              </w:rPr>
            </w:pPr>
            <w:r w:rsidRPr="00B01850">
              <w:rPr>
                <w:rFonts w:ascii="Arial" w:hAnsi="Arial" w:cs="Arial"/>
              </w:rPr>
              <w:t>Risques liés à la main-d'œuvre, conditions de travail des fournisseurs et des travailleurs</w:t>
            </w:r>
          </w:p>
          <w:p w14:paraId="7D95B46C" w14:textId="7337887F" w:rsidR="00075E29" w:rsidRPr="00B01850" w:rsidRDefault="00075E29" w:rsidP="00ED276F">
            <w:pPr>
              <w:pStyle w:val="ListParagraph"/>
              <w:numPr>
                <w:ilvl w:val="0"/>
                <w:numId w:val="4"/>
              </w:numPr>
              <w:jc w:val="both"/>
              <w:rPr>
                <w:rFonts w:ascii="Arial" w:hAnsi="Arial" w:cs="Arial"/>
              </w:rPr>
            </w:pPr>
            <w:r w:rsidRPr="00B01850">
              <w:rPr>
                <w:rFonts w:ascii="Arial" w:hAnsi="Arial" w:cs="Arial"/>
              </w:rPr>
              <w:t>Risques liés à la circulation pendant le transport des marchandises</w:t>
            </w:r>
          </w:p>
          <w:p w14:paraId="6E19F8D3" w14:textId="77777777" w:rsidR="00075E29" w:rsidRPr="00B01850" w:rsidRDefault="00075E29" w:rsidP="00F36F78">
            <w:pPr>
              <w:adjustRightInd w:val="0"/>
              <w:snapToGrid w:val="0"/>
              <w:jc w:val="both"/>
              <w:rPr>
                <w:rFonts w:ascii="Arial" w:hAnsi="Arial" w:cs="Arial"/>
              </w:rPr>
            </w:pPr>
          </w:p>
          <w:p w14:paraId="737B1448" w14:textId="2A02E0C0" w:rsidR="0033426D" w:rsidRPr="00B01850" w:rsidRDefault="0033426D" w:rsidP="00F36F78">
            <w:pPr>
              <w:jc w:val="both"/>
              <w:rPr>
                <w:rFonts w:ascii="Arial" w:hAnsi="Arial" w:cs="Arial"/>
              </w:rPr>
            </w:pPr>
          </w:p>
        </w:tc>
        <w:tc>
          <w:tcPr>
            <w:tcW w:w="5400" w:type="dxa"/>
            <w:vAlign w:val="center"/>
          </w:tcPr>
          <w:p w14:paraId="2BA7DDBC" w14:textId="674D323C" w:rsidR="006119B3" w:rsidRPr="00B01850" w:rsidRDefault="0033426D" w:rsidP="00ED276F">
            <w:pPr>
              <w:pStyle w:val="ListParagraph"/>
              <w:numPr>
                <w:ilvl w:val="0"/>
                <w:numId w:val="4"/>
              </w:numPr>
              <w:jc w:val="both"/>
              <w:rPr>
                <w:rFonts w:ascii="Arial" w:hAnsi="Arial" w:cs="Arial"/>
              </w:rPr>
            </w:pPr>
            <w:r w:rsidRPr="00B01850">
              <w:rPr>
                <w:rFonts w:ascii="Arial" w:hAnsi="Arial" w:cs="Arial"/>
              </w:rPr>
              <w:lastRenderedPageBreak/>
              <w:t>Fournir toutes les informations nécessaires adaptées aux groupes vulnérables, conformément au PMPP.</w:t>
            </w:r>
          </w:p>
          <w:p w14:paraId="0352723C" w14:textId="2FC53D69" w:rsidR="00C708AA" w:rsidRPr="00B01850" w:rsidRDefault="00C708AA" w:rsidP="00ED276F">
            <w:pPr>
              <w:pStyle w:val="ListParagraph"/>
              <w:numPr>
                <w:ilvl w:val="0"/>
                <w:numId w:val="4"/>
              </w:numPr>
              <w:jc w:val="both"/>
              <w:rPr>
                <w:rFonts w:ascii="Arial" w:hAnsi="Arial" w:cs="Arial"/>
              </w:rPr>
            </w:pPr>
            <w:r w:rsidRPr="00B01850">
              <w:rPr>
                <w:rFonts w:ascii="Arial" w:hAnsi="Arial" w:cs="Arial"/>
              </w:rPr>
              <w:t>Mise en œuvre des procédures de gestion de la main-d'œuvre (voir annexe 2).</w:t>
            </w:r>
          </w:p>
          <w:p w14:paraId="53C5F661" w14:textId="7A7E78A6" w:rsidR="0033426D" w:rsidRPr="00B01850" w:rsidRDefault="0033426D" w:rsidP="004A4427">
            <w:pPr>
              <w:jc w:val="both"/>
              <w:rPr>
                <w:rFonts w:ascii="Arial" w:hAnsi="Arial" w:cs="Arial"/>
              </w:rPr>
            </w:pPr>
          </w:p>
        </w:tc>
      </w:tr>
      <w:tr w:rsidR="0033426D" w:rsidRPr="00B01850" w14:paraId="3EAA43ED" w14:textId="77777777" w:rsidTr="00E17123">
        <w:tc>
          <w:tcPr>
            <w:tcW w:w="3235" w:type="dxa"/>
            <w:vAlign w:val="center"/>
          </w:tcPr>
          <w:p w14:paraId="01B7F3B7" w14:textId="40A50475" w:rsidR="0033426D" w:rsidRPr="00B01850" w:rsidRDefault="00075E29" w:rsidP="0033426D">
            <w:pPr>
              <w:shd w:val="clear" w:color="auto" w:fill="FFFFFF"/>
              <w:spacing w:after="120"/>
              <w:jc w:val="both"/>
              <w:rPr>
                <w:rFonts w:ascii="Arial" w:hAnsi="Arial" w:cs="Arial"/>
                <w:bCs/>
                <w:iCs/>
              </w:rPr>
            </w:pPr>
            <w:r w:rsidRPr="00B01850">
              <w:rPr>
                <w:rFonts w:ascii="Arial" w:hAnsi="Arial" w:cs="Arial"/>
                <w:color w:val="000000"/>
              </w:rPr>
              <w:t>Coûts de transport supplémentaires (c'est-à-dire utilisation d'autres moyens de transport), augmentation des factures d'électricité pour le secteur public, heures supplémentaires du personnel et financement de l'assistance technique, y compris l'expertise spécialisée internationale et locale (conseil) pour soutenir le redressement et fournir une assistance technique juste à temps et la préparation de documents techniques pour la passation des marchés</w:t>
            </w:r>
            <w:r w:rsidR="008F5507" w:rsidRPr="00B01850">
              <w:rPr>
                <w:rFonts w:ascii="Arial" w:hAnsi="Arial" w:cs="Arial"/>
                <w:color w:val="000000"/>
              </w:rPr>
              <w:t>.</w:t>
            </w:r>
          </w:p>
        </w:tc>
        <w:tc>
          <w:tcPr>
            <w:tcW w:w="5040" w:type="dxa"/>
            <w:vAlign w:val="center"/>
          </w:tcPr>
          <w:p w14:paraId="56849AD8" w14:textId="77777777" w:rsidR="0033426D" w:rsidRPr="00B01850" w:rsidRDefault="00075E29" w:rsidP="00075E29">
            <w:pPr>
              <w:jc w:val="both"/>
              <w:rPr>
                <w:rFonts w:ascii="Arial" w:hAnsi="Arial" w:cs="Arial"/>
              </w:rPr>
            </w:pPr>
            <w:r w:rsidRPr="00B01850">
              <w:rPr>
                <w:rFonts w:ascii="Arial" w:hAnsi="Arial" w:cs="Arial"/>
              </w:rPr>
              <w:t>L'activité sera probablement mise en œuvre par un organisme gouvernemental, un organisme des Nations Unies ou d'autres organismes d'exécution. L'assistance technique ne comprend aucun produit de fond comportant des risques et des impacts environnementaux et sociaux en aval.</w:t>
            </w:r>
          </w:p>
          <w:p w14:paraId="6A76EC70" w14:textId="77777777" w:rsidR="00075E29" w:rsidRPr="00B01850" w:rsidRDefault="00075E29" w:rsidP="00075E29">
            <w:pPr>
              <w:jc w:val="both"/>
              <w:rPr>
                <w:rFonts w:ascii="Arial" w:hAnsi="Arial" w:cs="Arial"/>
              </w:rPr>
            </w:pPr>
          </w:p>
          <w:p w14:paraId="6F5979A6" w14:textId="1BD18686" w:rsidR="00075E29" w:rsidRPr="00B01850" w:rsidRDefault="00075E29" w:rsidP="00ED276F">
            <w:pPr>
              <w:pStyle w:val="ListParagraph"/>
              <w:numPr>
                <w:ilvl w:val="0"/>
                <w:numId w:val="4"/>
              </w:numPr>
              <w:jc w:val="both"/>
              <w:rPr>
                <w:rFonts w:ascii="Arial" w:hAnsi="Arial" w:cs="Arial"/>
              </w:rPr>
            </w:pPr>
            <w:r w:rsidRPr="00B01850">
              <w:rPr>
                <w:rFonts w:ascii="Arial" w:hAnsi="Arial" w:cs="Arial"/>
              </w:rPr>
              <w:t>Risques liés à la main-d'œuvre, conditions de travail des travailleurs</w:t>
            </w:r>
          </w:p>
          <w:p w14:paraId="1923577E" w14:textId="3432AF0C" w:rsidR="00075E29" w:rsidRPr="00B01850" w:rsidRDefault="00075E29" w:rsidP="00ED276F">
            <w:pPr>
              <w:pStyle w:val="ListParagraph"/>
              <w:numPr>
                <w:ilvl w:val="0"/>
                <w:numId w:val="4"/>
              </w:numPr>
              <w:jc w:val="both"/>
              <w:rPr>
                <w:rFonts w:ascii="Arial" w:hAnsi="Arial" w:cs="Arial"/>
              </w:rPr>
            </w:pPr>
            <w:r w:rsidRPr="00B01850">
              <w:rPr>
                <w:rFonts w:ascii="Arial" w:hAnsi="Arial" w:cs="Arial"/>
              </w:rPr>
              <w:t>Financement des risques liés à la circulation pendant le transport</w:t>
            </w:r>
          </w:p>
          <w:p w14:paraId="3BF3F5A4" w14:textId="77777777" w:rsidR="00075E29" w:rsidRPr="00B01850" w:rsidRDefault="00075E29" w:rsidP="00075E29">
            <w:pPr>
              <w:jc w:val="both"/>
              <w:rPr>
                <w:rFonts w:ascii="Arial" w:hAnsi="Arial" w:cs="Arial"/>
              </w:rPr>
            </w:pPr>
          </w:p>
          <w:p w14:paraId="090D7173" w14:textId="519AE061" w:rsidR="00075E29" w:rsidRPr="00B01850" w:rsidRDefault="00075E29" w:rsidP="00075E29">
            <w:pPr>
              <w:jc w:val="both"/>
              <w:rPr>
                <w:rFonts w:ascii="Arial" w:hAnsi="Arial" w:cs="Arial"/>
              </w:rPr>
            </w:pPr>
          </w:p>
        </w:tc>
        <w:tc>
          <w:tcPr>
            <w:tcW w:w="5400" w:type="dxa"/>
            <w:vAlign w:val="center"/>
          </w:tcPr>
          <w:p w14:paraId="3ECB1CEB" w14:textId="11AEE03D" w:rsidR="00075E29" w:rsidRPr="00B01850" w:rsidRDefault="00075E29" w:rsidP="00ED276F">
            <w:pPr>
              <w:pStyle w:val="ListParagraph"/>
              <w:numPr>
                <w:ilvl w:val="0"/>
                <w:numId w:val="4"/>
              </w:numPr>
              <w:jc w:val="both"/>
              <w:rPr>
                <w:rFonts w:ascii="Arial" w:hAnsi="Arial" w:cs="Arial"/>
              </w:rPr>
            </w:pPr>
            <w:r w:rsidRPr="00B01850">
              <w:rPr>
                <w:rFonts w:ascii="Arial" w:hAnsi="Arial" w:cs="Arial"/>
              </w:rPr>
              <w:t xml:space="preserve">Mise en œuvre des procédures de gestion de la main-d'œuvre (annexe 2) </w:t>
            </w:r>
          </w:p>
          <w:p w14:paraId="41788656" w14:textId="5CF85DBB" w:rsidR="00075E29" w:rsidRPr="00B01850" w:rsidRDefault="00075E29" w:rsidP="00ED276F">
            <w:pPr>
              <w:pStyle w:val="ListParagraph"/>
              <w:numPr>
                <w:ilvl w:val="0"/>
                <w:numId w:val="4"/>
              </w:numPr>
              <w:jc w:val="both"/>
              <w:rPr>
                <w:rFonts w:ascii="Arial" w:hAnsi="Arial" w:cs="Arial"/>
              </w:rPr>
            </w:pPr>
            <w:r w:rsidRPr="00B01850">
              <w:rPr>
                <w:rFonts w:ascii="Arial" w:hAnsi="Arial" w:cs="Arial"/>
              </w:rPr>
              <w:t xml:space="preserve">Mettre en œuvre un </w:t>
            </w:r>
            <w:r w:rsidR="008D793C" w:rsidRPr="00B01850">
              <w:rPr>
                <w:rFonts w:ascii="Arial" w:hAnsi="Arial" w:cs="Arial"/>
              </w:rPr>
              <w:t xml:space="preserve">Cadre de gestion de la sécurité routière </w:t>
            </w:r>
            <w:r w:rsidRPr="00B01850">
              <w:rPr>
                <w:rFonts w:ascii="Arial" w:hAnsi="Arial" w:cs="Arial"/>
              </w:rPr>
              <w:t xml:space="preserve">(voir annexe 7) </w:t>
            </w:r>
          </w:p>
          <w:p w14:paraId="63C60492" w14:textId="17723934" w:rsidR="0033426D" w:rsidRPr="00B01850" w:rsidRDefault="0033426D" w:rsidP="00075E29">
            <w:pPr>
              <w:jc w:val="both"/>
              <w:rPr>
                <w:rFonts w:ascii="Arial" w:hAnsi="Arial" w:cs="Arial"/>
              </w:rPr>
            </w:pPr>
          </w:p>
        </w:tc>
      </w:tr>
    </w:tbl>
    <w:p w14:paraId="10A0ADA3" w14:textId="77777777" w:rsidR="00762659" w:rsidRPr="00B01850" w:rsidRDefault="00762659" w:rsidP="004A4427">
      <w:pPr>
        <w:spacing w:after="0" w:line="240" w:lineRule="auto"/>
        <w:jc w:val="both"/>
        <w:rPr>
          <w:rFonts w:ascii="Arial" w:hAnsi="Arial" w:cs="Arial"/>
        </w:rPr>
      </w:pPr>
    </w:p>
    <w:p w14:paraId="50DA69B9" w14:textId="7708870C" w:rsidR="24B2D188" w:rsidRPr="00B01850" w:rsidRDefault="24B2D188" w:rsidP="004A4427">
      <w:pPr>
        <w:spacing w:after="0" w:line="240" w:lineRule="auto"/>
        <w:jc w:val="both"/>
        <w:rPr>
          <w:rFonts w:ascii="Arial" w:eastAsia="Times New Roman" w:hAnsi="Arial" w:cs="Arial"/>
        </w:rPr>
      </w:pPr>
    </w:p>
    <w:p w14:paraId="19F84532" w14:textId="77777777" w:rsidR="00124419" w:rsidRPr="00B01850" w:rsidRDefault="00124419" w:rsidP="004A4427">
      <w:pPr>
        <w:spacing w:after="0" w:line="240" w:lineRule="auto"/>
        <w:jc w:val="both"/>
        <w:rPr>
          <w:rFonts w:ascii="Arial" w:eastAsia="Times New Roman" w:hAnsi="Arial" w:cs="Arial"/>
          <w:b/>
          <w:bCs/>
        </w:rPr>
        <w:sectPr w:rsidR="00124419" w:rsidRPr="00B01850" w:rsidSect="00494DC5">
          <w:pgSz w:w="15840" w:h="12240" w:orient="landscape"/>
          <w:pgMar w:top="1440" w:right="1440" w:bottom="1440" w:left="1440" w:header="720" w:footer="720" w:gutter="0"/>
          <w:cols w:space="720" w:equalWidth="0">
            <w:col w:w="9360"/>
          </w:cols>
          <w:docGrid w:linePitch="326"/>
        </w:sectPr>
      </w:pPr>
    </w:p>
    <w:p w14:paraId="6B03D6AE" w14:textId="0B87E1F8" w:rsidR="00CC2043" w:rsidRPr="00B01850" w:rsidRDefault="00CC2043" w:rsidP="00A6052E">
      <w:pPr>
        <w:spacing w:after="0" w:line="240" w:lineRule="auto"/>
        <w:jc w:val="center"/>
        <w:rPr>
          <w:rFonts w:ascii="Arial" w:eastAsia="Times New Roman" w:hAnsi="Arial" w:cs="Arial"/>
          <w:b/>
          <w:bCs/>
        </w:rPr>
      </w:pPr>
      <w:r w:rsidRPr="00B01850">
        <w:rPr>
          <w:rFonts w:ascii="Arial" w:eastAsia="Times New Roman" w:hAnsi="Arial" w:cs="Arial"/>
          <w:b/>
          <w:bCs/>
        </w:rPr>
        <w:lastRenderedPageBreak/>
        <w:t xml:space="preserve">Liste </w:t>
      </w:r>
      <w:r w:rsidR="00B1152B" w:rsidRPr="00B01850">
        <w:rPr>
          <w:rFonts w:ascii="Arial" w:eastAsia="Times New Roman" w:hAnsi="Arial" w:cs="Arial"/>
          <w:b/>
          <w:bCs/>
        </w:rPr>
        <w:t xml:space="preserve">indicative </w:t>
      </w:r>
      <w:r w:rsidRPr="00B01850">
        <w:rPr>
          <w:rFonts w:ascii="Arial" w:eastAsia="Times New Roman" w:hAnsi="Arial" w:cs="Arial"/>
          <w:b/>
          <w:bCs/>
        </w:rPr>
        <w:t>négative</w:t>
      </w:r>
      <w:r w:rsidR="00B1152B" w:rsidRPr="00B01850">
        <w:rPr>
          <w:rFonts w:ascii="Arial" w:eastAsia="Times New Roman" w:hAnsi="Arial" w:cs="Arial"/>
          <w:b/>
          <w:bCs/>
        </w:rPr>
        <w:t xml:space="preserve"> d’activités</w:t>
      </w:r>
    </w:p>
    <w:p w14:paraId="7282FDEF" w14:textId="44D140E9" w:rsidR="00814395" w:rsidRPr="00B01850" w:rsidRDefault="00814395" w:rsidP="00A6052E">
      <w:pPr>
        <w:spacing w:after="0" w:line="240" w:lineRule="auto"/>
        <w:jc w:val="both"/>
        <w:rPr>
          <w:rFonts w:ascii="Arial" w:eastAsia="Times New Roman" w:hAnsi="Arial" w:cs="Arial"/>
        </w:rPr>
      </w:pPr>
      <w:r w:rsidRPr="00B01850">
        <w:rPr>
          <w:rFonts w:ascii="Arial" w:eastAsia="Times New Roman" w:hAnsi="Arial" w:cs="Arial"/>
        </w:rPr>
        <w:t>Les fournitures, services ou activités suivants sont interdits dans le cadre de ce projet :</w:t>
      </w:r>
    </w:p>
    <w:p w14:paraId="19C5C1E9" w14:textId="65EBB792"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 xml:space="preserve">Acquisition de biens et services par l'intermédiaire des forces de sécurité (y compris, mais sans s'y limiter, les Forces de défense et de police du </w:t>
      </w:r>
      <w:r w:rsidR="00083181" w:rsidRPr="00B01850">
        <w:rPr>
          <w:rFonts w:ascii="Arial" w:hAnsi="Arial" w:cs="Arial"/>
          <w:sz w:val="22"/>
          <w:szCs w:val="22"/>
        </w:rPr>
        <w:t>Guinée</w:t>
      </w:r>
      <w:r w:rsidRPr="00B01850">
        <w:rPr>
          <w:rFonts w:ascii="Arial" w:hAnsi="Arial" w:cs="Arial"/>
          <w:sz w:val="22"/>
          <w:szCs w:val="22"/>
        </w:rPr>
        <w:t xml:space="preserve">, les agents forestiers, les agents de protection de la faune et les gardes forestiers, etc.). </w:t>
      </w:r>
    </w:p>
    <w:p w14:paraId="52ACBA38"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 xml:space="preserve">Paiement des heures supplémentaires des membres des forces de sécurité (comme indiqué ci-dessus). </w:t>
      </w:r>
    </w:p>
    <w:p w14:paraId="4770E77C"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 xml:space="preserve">Recours au travail carcéral, au travail des enfants ou au travail forcé </w:t>
      </w:r>
    </w:p>
    <w:p w14:paraId="516D6486"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 xml:space="preserve">Tous les travaux de génie civil, y compris, mais sans s'y limiter, les forages, les systèmes d'approvisionnement en eau, les systèmes d'irrigation, les réparations temporaires des routes, la réparation/remise en état des infrastructures et des bâtiments. </w:t>
      </w:r>
    </w:p>
    <w:p w14:paraId="769447A9" w14:textId="38748E42" w:rsidR="347FA596" w:rsidRPr="00B01850" w:rsidRDefault="347FA596"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Installation de ponts Bailey</w:t>
      </w:r>
    </w:p>
    <w:p w14:paraId="6CB658C5"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 xml:space="preserve">Construction ou remise en état d'installations de stockage </w:t>
      </w:r>
    </w:p>
    <w:p w14:paraId="2A787395"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 xml:space="preserve">Activités impliquant l'acquisition de terres, des restrictions à l'utilisation de terres ou la réinstallation (à la fois temporaire et permanente). </w:t>
      </w:r>
    </w:p>
    <w:p w14:paraId="69F6D1E6"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 xml:space="preserve">Activités menées dans les zones protégées et sensibles, y compris les berges des fleuves, les zones clés pour la biodiversité et les habitats critiques.  </w:t>
      </w:r>
    </w:p>
    <w:p w14:paraId="3CDF5C4A"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 xml:space="preserve">Activités menées dans des sites connus du patrimoine culturel reconnu au niveau national ou international. </w:t>
      </w:r>
    </w:p>
    <w:p w14:paraId="5FE466C3"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 xml:space="preserve">Toute activité nécessitant une évaluation des risques et/ou des impacts environnementaux et sociaux spécifiques au site.  </w:t>
      </w:r>
    </w:p>
    <w:p w14:paraId="5847258C"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 xml:space="preserve">Gestion des déchets sanitaires. </w:t>
      </w:r>
    </w:p>
    <w:p w14:paraId="3C785C7A"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Achat, stockage ou distribution de combustible.</w:t>
      </w:r>
    </w:p>
    <w:p w14:paraId="70808E62"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Achat, stockage ou distribution de produits contenant du chlore ou d'autres substances dangereuses.</w:t>
      </w:r>
    </w:p>
    <w:p w14:paraId="0EE32C2F"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 xml:space="preserve">Stockage et distribution de médicaments et de médicaments vétérinaires. </w:t>
      </w:r>
    </w:p>
    <w:p w14:paraId="3C22ADD0"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 xml:space="preserve">Exploitation directe des abris, y compris des activités telles que l'établissement de camps, les accords fonciers et les indemnisations, et la fourniture de services d'assainissement et de gestion des déchets. </w:t>
      </w:r>
    </w:p>
    <w:p w14:paraId="1972DAE2"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Production ou commerce de tout produit ou activité considéré illégal en vertu des lois ou réglementations du pays hôte ou des conventions et accords internationaux, ou faisant l'objet d'interdictions internationales, comme les produits pharmaceutiques, les pesticides/herbicides, les substances qui appauvrissent la couche d'ozone, les PCB, les espèces sauvages ou les produits réglementés par la CITES.</w:t>
      </w:r>
    </w:p>
    <w:p w14:paraId="6643CD2B"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Production ou commerce d'armes et de munitions.</w:t>
      </w:r>
    </w:p>
    <w:p w14:paraId="5222C5E2"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Production ou commerce de boissons alcoolisées.</w:t>
      </w:r>
    </w:p>
    <w:p w14:paraId="1B0E5216"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Production ou commerce de tabac.</w:t>
      </w:r>
    </w:p>
    <w:p w14:paraId="0F6FC773"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Jeux de hasard, casinos et entreprises équivalentes.</w:t>
      </w:r>
    </w:p>
    <w:p w14:paraId="4E4335C2"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Production ou commerce de matières radioactives. Cela ne s'applique pas à l'achat de matériel médical, de matériel de contrôle de la qualité (de mesure) et de tout matériel dont l'Association considère que la source radioactive est insignifiante et/ou suffisamment protégée.</w:t>
      </w:r>
    </w:p>
    <w:p w14:paraId="0372290C"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Production ou commerce de fibres d'amiante non liées. Cette disposition ne s'applique pas à l'achat et à l'utilisation de feuilles contenant de l'amiante-ciment lié, lorsque leur teneur en amiante est inférieure à 20 %.</w:t>
      </w:r>
    </w:p>
    <w:p w14:paraId="4D9D7578" w14:textId="77777777" w:rsidR="00671AFE" w:rsidRPr="00B01850" w:rsidRDefault="00671AFE" w:rsidP="00214DCC">
      <w:pPr>
        <w:pStyle w:val="BodyText1"/>
        <w:numPr>
          <w:ilvl w:val="0"/>
          <w:numId w:val="24"/>
        </w:numPr>
        <w:pBdr>
          <w:top w:val="single" w:sz="4" w:space="1" w:color="auto"/>
          <w:left w:val="single" w:sz="4" w:space="1" w:color="auto"/>
          <w:bottom w:val="single" w:sz="4" w:space="1" w:color="auto"/>
          <w:right w:val="single" w:sz="4" w:space="1" w:color="auto"/>
          <w:between w:val="single" w:sz="4" w:space="1" w:color="auto"/>
          <w:bar w:val="single" w:sz="4" w:color="auto"/>
        </w:pBdr>
        <w:spacing w:after="0" w:line="240" w:lineRule="auto"/>
        <w:ind w:left="270" w:hanging="270"/>
        <w:rPr>
          <w:rFonts w:ascii="Arial" w:hAnsi="Arial" w:cs="Arial"/>
          <w:sz w:val="22"/>
          <w:szCs w:val="22"/>
        </w:rPr>
      </w:pPr>
      <w:r w:rsidRPr="00B01850">
        <w:rPr>
          <w:rFonts w:ascii="Arial" w:hAnsi="Arial" w:cs="Arial"/>
          <w:sz w:val="22"/>
          <w:szCs w:val="22"/>
        </w:rPr>
        <w:t>Pêche au filet dérivant en milieu marin à l'aide de filets de plus de 2,5 km de longueur.</w:t>
      </w:r>
    </w:p>
    <w:p w14:paraId="7E266C66" w14:textId="05B2FE0F" w:rsidR="00717261" w:rsidRPr="00B01850" w:rsidRDefault="0076126C" w:rsidP="009C7E13">
      <w:pPr>
        <w:pStyle w:val="Heading1"/>
        <w:rPr>
          <w:rFonts w:ascii="Arial" w:hAnsi="Arial" w:cs="Arial"/>
          <w:color w:val="auto"/>
          <w:sz w:val="22"/>
          <w:szCs w:val="22"/>
        </w:rPr>
      </w:pPr>
      <w:bookmarkStart w:id="133" w:name="_Toc1907858095"/>
      <w:bookmarkStart w:id="134" w:name="_Toc197382155"/>
      <w:r w:rsidRPr="00B01850">
        <w:rPr>
          <w:rFonts w:ascii="Arial" w:hAnsi="Arial" w:cs="Arial"/>
          <w:b/>
          <w:bCs/>
          <w:color w:val="auto"/>
          <w:sz w:val="22"/>
          <w:szCs w:val="22"/>
        </w:rPr>
        <w:lastRenderedPageBreak/>
        <w:t>SECTION 6</w:t>
      </w:r>
      <w:r w:rsidRPr="00B01850">
        <w:rPr>
          <w:rFonts w:ascii="Arial" w:hAnsi="Arial" w:cs="Arial"/>
          <w:color w:val="auto"/>
          <w:sz w:val="22"/>
          <w:szCs w:val="22"/>
        </w:rPr>
        <w:t xml:space="preserve"> : PROCÉDURES DE TRAITEMENT DES QUESTIONS ENVIRONNEMENTALES ET SOCIALES</w:t>
      </w:r>
      <w:bookmarkEnd w:id="133"/>
      <w:bookmarkEnd w:id="134"/>
    </w:p>
    <w:p w14:paraId="3EA74E0A" w14:textId="77777777" w:rsidR="009C7E13" w:rsidRPr="00B01850" w:rsidRDefault="009C7E13" w:rsidP="004A4427">
      <w:pPr>
        <w:spacing w:after="0" w:line="240" w:lineRule="auto"/>
        <w:jc w:val="both"/>
        <w:rPr>
          <w:rFonts w:ascii="Arial" w:hAnsi="Arial" w:cs="Arial"/>
        </w:rPr>
      </w:pPr>
    </w:p>
    <w:p w14:paraId="62C0D843" w14:textId="77777777" w:rsidR="006F5D63" w:rsidRPr="00B01850" w:rsidRDefault="006F5D63" w:rsidP="004A4427">
      <w:pPr>
        <w:spacing w:after="0" w:line="240" w:lineRule="auto"/>
        <w:jc w:val="both"/>
        <w:rPr>
          <w:rFonts w:ascii="Arial" w:hAnsi="Arial" w:cs="Arial"/>
        </w:rPr>
      </w:pPr>
      <w:r w:rsidRPr="00B01850">
        <w:rPr>
          <w:rFonts w:ascii="Arial" w:hAnsi="Arial" w:cs="Arial"/>
        </w:rPr>
        <w:t>Conformément aux risques et effets environnementaux identifiés, le présent Plan de Gestion Environnementale et Sociale (</w:t>
      </w:r>
      <w:r w:rsidR="0015182E" w:rsidRPr="00B01850">
        <w:rPr>
          <w:rFonts w:ascii="Arial" w:hAnsi="Arial" w:cs="Arial"/>
        </w:rPr>
        <w:t>PGES</w:t>
      </w:r>
      <w:r w:rsidRPr="00B01850">
        <w:rPr>
          <w:rFonts w:ascii="Arial" w:hAnsi="Arial" w:cs="Arial"/>
        </w:rPr>
        <w:t>)</w:t>
      </w:r>
      <w:r w:rsidR="0015182E" w:rsidRPr="00B01850">
        <w:rPr>
          <w:rFonts w:ascii="Arial" w:hAnsi="Arial" w:cs="Arial"/>
        </w:rPr>
        <w:t xml:space="preserve"> </w:t>
      </w:r>
      <w:r w:rsidRPr="00B01850">
        <w:rPr>
          <w:rFonts w:ascii="Arial" w:hAnsi="Arial" w:cs="Arial"/>
        </w:rPr>
        <w:t xml:space="preserve">indique </w:t>
      </w:r>
      <w:r w:rsidR="0015182E" w:rsidRPr="00B01850">
        <w:rPr>
          <w:rFonts w:ascii="Arial" w:hAnsi="Arial" w:cs="Arial"/>
        </w:rPr>
        <w:t xml:space="preserve">les </w:t>
      </w:r>
      <w:r w:rsidRPr="00B01850">
        <w:rPr>
          <w:rFonts w:ascii="Arial" w:hAnsi="Arial" w:cs="Arial"/>
        </w:rPr>
        <w:t xml:space="preserve">principales </w:t>
      </w:r>
      <w:r w:rsidR="0015182E" w:rsidRPr="00B01850">
        <w:rPr>
          <w:rFonts w:ascii="Arial" w:hAnsi="Arial" w:cs="Arial"/>
        </w:rPr>
        <w:t xml:space="preserve">mesures d'atténuation </w:t>
      </w:r>
      <w:r w:rsidRPr="00B01850">
        <w:rPr>
          <w:rFonts w:ascii="Arial" w:hAnsi="Arial" w:cs="Arial"/>
        </w:rPr>
        <w:t>à mettre en œuvre durant l’exécution du projet.</w:t>
      </w:r>
    </w:p>
    <w:p w14:paraId="3071503F" w14:textId="77777777" w:rsidR="001064C8" w:rsidRPr="00B01850" w:rsidRDefault="001064C8" w:rsidP="006F5D63">
      <w:pPr>
        <w:spacing w:before="120" w:after="0" w:line="240" w:lineRule="auto"/>
        <w:jc w:val="both"/>
        <w:rPr>
          <w:rFonts w:ascii="Arial" w:hAnsi="Arial" w:cs="Arial"/>
        </w:rPr>
      </w:pPr>
      <w:r w:rsidRPr="00B01850">
        <w:rPr>
          <w:rFonts w:ascii="Arial" w:hAnsi="Arial" w:cs="Arial"/>
        </w:rPr>
        <w:t xml:space="preserve">En effet, il convient de signaler que les activités éligibles au CERP et qui pourraient être sollicitées par le gouvernement en cas d’intervention d’urgence restent assez variables et pourraient porter sur </w:t>
      </w:r>
      <w:r w:rsidR="0015182E" w:rsidRPr="00B01850">
        <w:rPr>
          <w:rFonts w:ascii="Arial" w:hAnsi="Arial" w:cs="Arial"/>
        </w:rPr>
        <w:t>une catastrophe naturelle ou d'origine humaine, comme un ouragan, un tremblement de terre, une inondation, un conflit, une pandémie ou un choc économique ou financier violent.</w:t>
      </w:r>
    </w:p>
    <w:p w14:paraId="78ABE03F" w14:textId="7A445591" w:rsidR="00816747" w:rsidRPr="00B01850" w:rsidRDefault="001064C8" w:rsidP="006F5D63">
      <w:pPr>
        <w:spacing w:before="120" w:after="0" w:line="240" w:lineRule="auto"/>
        <w:jc w:val="both"/>
        <w:rPr>
          <w:rFonts w:ascii="Arial" w:hAnsi="Arial" w:cs="Arial"/>
        </w:rPr>
      </w:pPr>
      <w:r w:rsidRPr="00B01850">
        <w:rPr>
          <w:rFonts w:ascii="Arial" w:hAnsi="Arial" w:cs="Arial"/>
        </w:rPr>
        <w:t xml:space="preserve">Dans ce cadre, le service </w:t>
      </w:r>
      <w:r w:rsidR="007722A7" w:rsidRPr="00B01850">
        <w:rPr>
          <w:rFonts w:ascii="Arial" w:hAnsi="Arial" w:cs="Arial"/>
        </w:rPr>
        <w:t xml:space="preserve">technique qui sera sollicité pour l’exécution des activités dépendra du risque ou de la catastrophe, </w:t>
      </w:r>
      <w:r w:rsidR="0015182E" w:rsidRPr="00B01850">
        <w:rPr>
          <w:rFonts w:ascii="Arial" w:hAnsi="Arial" w:cs="Arial"/>
        </w:rPr>
        <w:t xml:space="preserve">du type d'intervention d'urgence </w:t>
      </w:r>
      <w:r w:rsidR="007722A7" w:rsidRPr="00B01850">
        <w:rPr>
          <w:rFonts w:ascii="Arial" w:hAnsi="Arial" w:cs="Arial"/>
        </w:rPr>
        <w:t xml:space="preserve">et des activités spécifiques </w:t>
      </w:r>
      <w:r w:rsidR="0015182E" w:rsidRPr="00B01850">
        <w:rPr>
          <w:rFonts w:ascii="Arial" w:hAnsi="Arial" w:cs="Arial"/>
        </w:rPr>
        <w:t>que le gouvernement</w:t>
      </w:r>
      <w:r w:rsidR="007722A7" w:rsidRPr="00B01850">
        <w:rPr>
          <w:rFonts w:ascii="Arial" w:hAnsi="Arial" w:cs="Arial"/>
        </w:rPr>
        <w:t xml:space="preserve"> trouve adéquates dans la gestion de cette crise. </w:t>
      </w:r>
      <w:r w:rsidR="007C3EBB" w:rsidRPr="00B01850">
        <w:rPr>
          <w:rFonts w:ascii="Arial" w:hAnsi="Arial" w:cs="Arial"/>
        </w:rPr>
        <w:t>Le cadre institutionnel mentionné à la section 4 fournit les détails sur ces services techniques.</w:t>
      </w:r>
    </w:p>
    <w:p w14:paraId="771ED667" w14:textId="77777777" w:rsidR="009C7E13" w:rsidRPr="00B01850" w:rsidRDefault="009C7E13" w:rsidP="004A4427">
      <w:pPr>
        <w:spacing w:after="0" w:line="240" w:lineRule="auto"/>
        <w:jc w:val="both"/>
        <w:rPr>
          <w:rFonts w:ascii="Arial" w:hAnsi="Arial" w:cs="Arial"/>
        </w:rPr>
      </w:pPr>
    </w:p>
    <w:p w14:paraId="101D99A0" w14:textId="5AF7BA9E" w:rsidR="00452C64" w:rsidRPr="00B01850" w:rsidRDefault="00CC4BDD" w:rsidP="004A4427">
      <w:pPr>
        <w:spacing w:after="0" w:line="240" w:lineRule="auto"/>
        <w:jc w:val="both"/>
        <w:rPr>
          <w:rFonts w:ascii="Arial" w:eastAsia="Times New Roman" w:hAnsi="Arial" w:cs="Arial"/>
        </w:rPr>
      </w:pPr>
      <w:r w:rsidRPr="00B01850">
        <w:rPr>
          <w:rFonts w:ascii="Arial" w:hAnsi="Arial" w:cs="Arial"/>
        </w:rPr>
        <w:t xml:space="preserve">Une fois le CERP activé, </w:t>
      </w:r>
      <w:r w:rsidR="00D72296" w:rsidRPr="00B01850">
        <w:rPr>
          <w:rFonts w:ascii="Arial" w:hAnsi="Arial" w:cs="Arial"/>
        </w:rPr>
        <w:t xml:space="preserve">l’UGP du Projet de Soutien au Programme de Réponse d'Urgence – NAFA </w:t>
      </w:r>
      <w:r w:rsidR="00344C23" w:rsidRPr="00B01850">
        <w:rPr>
          <w:rFonts w:ascii="Arial" w:hAnsi="Arial" w:cs="Arial"/>
        </w:rPr>
        <w:t>- PRU-APN</w:t>
      </w:r>
      <w:r w:rsidR="00D72296" w:rsidRPr="00B01850">
        <w:rPr>
          <w:rFonts w:ascii="Arial" w:hAnsi="Arial" w:cs="Arial"/>
        </w:rPr>
        <w:t xml:space="preserve"> </w:t>
      </w:r>
      <w:r w:rsidR="00344C23" w:rsidRPr="00B01850">
        <w:rPr>
          <w:rFonts w:ascii="Arial" w:hAnsi="Arial" w:cs="Arial"/>
        </w:rPr>
        <w:t xml:space="preserve">(P168777) </w:t>
      </w:r>
      <w:r w:rsidRPr="00B01850">
        <w:rPr>
          <w:rFonts w:ascii="Arial" w:hAnsi="Arial" w:cs="Arial"/>
        </w:rPr>
        <w:t>commencera à mettre en œuvre l</w:t>
      </w:r>
      <w:r w:rsidR="00D10476" w:rsidRPr="00B01850">
        <w:rPr>
          <w:rFonts w:ascii="Arial" w:hAnsi="Arial" w:cs="Arial"/>
        </w:rPr>
        <w:t xml:space="preserve">es </w:t>
      </w:r>
      <w:r w:rsidRPr="00B01850">
        <w:rPr>
          <w:rFonts w:ascii="Arial" w:hAnsi="Arial" w:cs="Arial"/>
        </w:rPr>
        <w:t>activité</w:t>
      </w:r>
      <w:r w:rsidR="00D10476" w:rsidRPr="00B01850">
        <w:rPr>
          <w:rFonts w:ascii="Arial" w:hAnsi="Arial" w:cs="Arial"/>
        </w:rPr>
        <w:t>s</w:t>
      </w:r>
      <w:r w:rsidRPr="00B01850">
        <w:rPr>
          <w:rFonts w:ascii="Arial" w:hAnsi="Arial" w:cs="Arial"/>
        </w:rPr>
        <w:t xml:space="preserve">. </w:t>
      </w:r>
      <w:r w:rsidR="00D10476" w:rsidRPr="00B01850">
        <w:rPr>
          <w:rFonts w:ascii="Arial" w:hAnsi="Arial" w:cs="Arial"/>
        </w:rPr>
        <w:t xml:space="preserve">Mais avant le début de la mise en œuvre des activités, une analyse des </w:t>
      </w:r>
      <w:r w:rsidRPr="00B01850">
        <w:rPr>
          <w:rFonts w:ascii="Arial" w:hAnsi="Arial" w:cs="Arial"/>
        </w:rPr>
        <w:t xml:space="preserve">principaux risques et effets environnementaux et sociaux </w:t>
      </w:r>
      <w:r w:rsidR="00D10476" w:rsidRPr="00B01850">
        <w:rPr>
          <w:rFonts w:ascii="Arial" w:hAnsi="Arial" w:cs="Arial"/>
        </w:rPr>
        <w:t xml:space="preserve">sera effectuée afin de s’assurer qu’ils </w:t>
      </w:r>
      <w:r w:rsidRPr="00B01850">
        <w:rPr>
          <w:rFonts w:ascii="Arial" w:hAnsi="Arial" w:cs="Arial"/>
        </w:rPr>
        <w:t xml:space="preserve">seront atténués </w:t>
      </w:r>
      <w:r w:rsidR="00D10476" w:rsidRPr="00B01850">
        <w:rPr>
          <w:rFonts w:ascii="Arial" w:hAnsi="Arial" w:cs="Arial"/>
        </w:rPr>
        <w:t xml:space="preserve">par les mesures indiquées dans </w:t>
      </w:r>
      <w:r w:rsidRPr="00B01850">
        <w:rPr>
          <w:rFonts w:ascii="Arial" w:hAnsi="Arial" w:cs="Arial"/>
        </w:rPr>
        <w:t>le présent PGES.</w:t>
      </w:r>
    </w:p>
    <w:p w14:paraId="091895EF" w14:textId="77777777" w:rsidR="00507EAB" w:rsidRPr="00B01850" w:rsidRDefault="00507EAB" w:rsidP="004A4427">
      <w:pPr>
        <w:pStyle w:val="ListParagraph"/>
        <w:snapToGrid w:val="0"/>
        <w:spacing w:after="0" w:line="240" w:lineRule="auto"/>
        <w:contextualSpacing w:val="0"/>
        <w:jc w:val="both"/>
        <w:rPr>
          <w:rFonts w:ascii="Arial" w:eastAsia="Times New Roman" w:hAnsi="Arial" w:cs="Arial"/>
        </w:rPr>
      </w:pPr>
    </w:p>
    <w:p w14:paraId="4E2DD51E" w14:textId="75143137" w:rsidR="00452C64" w:rsidRPr="00B01850" w:rsidRDefault="00297F4B" w:rsidP="009C7E13">
      <w:pPr>
        <w:pStyle w:val="Heading1"/>
        <w:rPr>
          <w:rFonts w:ascii="Arial" w:hAnsi="Arial" w:cs="Arial"/>
          <w:color w:val="auto"/>
          <w:sz w:val="22"/>
          <w:szCs w:val="22"/>
        </w:rPr>
      </w:pPr>
      <w:bookmarkStart w:id="135" w:name="_Toc960056521"/>
      <w:bookmarkStart w:id="136" w:name="_Toc197382156"/>
      <w:r w:rsidRPr="00B01850">
        <w:rPr>
          <w:rFonts w:ascii="Arial" w:hAnsi="Arial" w:cs="Arial"/>
          <w:b/>
          <w:bCs/>
          <w:color w:val="auto"/>
          <w:sz w:val="22"/>
          <w:szCs w:val="22"/>
          <w:lang w:eastAsia="zh-CN"/>
        </w:rPr>
        <w:t>SECTION 7</w:t>
      </w:r>
      <w:r w:rsidRPr="00B01850">
        <w:rPr>
          <w:rFonts w:ascii="Arial" w:hAnsi="Arial" w:cs="Arial"/>
          <w:color w:val="auto"/>
          <w:sz w:val="22"/>
          <w:szCs w:val="22"/>
          <w:lang w:eastAsia="zh-CN"/>
        </w:rPr>
        <w:t xml:space="preserve"> : CONSULTATION ET DIVULGATION</w:t>
      </w:r>
      <w:bookmarkEnd w:id="135"/>
      <w:bookmarkEnd w:id="136"/>
    </w:p>
    <w:p w14:paraId="7DDBAB32" w14:textId="77777777" w:rsidR="009C7E13" w:rsidRPr="00B01850" w:rsidRDefault="009C7E13" w:rsidP="004A4427">
      <w:pPr>
        <w:spacing w:after="0" w:line="240" w:lineRule="auto"/>
        <w:jc w:val="both"/>
        <w:rPr>
          <w:rFonts w:ascii="Arial" w:hAnsi="Arial" w:cs="Arial"/>
        </w:rPr>
      </w:pPr>
    </w:p>
    <w:p w14:paraId="35694EA0" w14:textId="77777777" w:rsidR="00C6654F" w:rsidRPr="00B01850" w:rsidRDefault="00C6654F" w:rsidP="008540B6">
      <w:pPr>
        <w:spacing w:after="120" w:line="240" w:lineRule="auto"/>
        <w:jc w:val="both"/>
        <w:rPr>
          <w:rFonts w:ascii="Arial" w:hAnsi="Arial" w:cs="Arial"/>
        </w:rPr>
      </w:pPr>
      <w:r w:rsidRPr="00B01850">
        <w:rPr>
          <w:rFonts w:ascii="Arial" w:hAnsi="Arial" w:cs="Arial"/>
        </w:rPr>
        <w:t>La consultation des parties prenantes a figuré parmi les activités clés de la phase de préparation de la CERP. Elle a permis de :</w:t>
      </w:r>
    </w:p>
    <w:p w14:paraId="0CA2CC3C" w14:textId="77777777" w:rsidR="00C6654F" w:rsidRPr="00B01850" w:rsidRDefault="00C6654F" w:rsidP="00214DCC">
      <w:pPr>
        <w:pStyle w:val="ListParagraph"/>
        <w:numPr>
          <w:ilvl w:val="0"/>
          <w:numId w:val="63"/>
        </w:numPr>
        <w:spacing w:after="0" w:line="240" w:lineRule="auto"/>
        <w:jc w:val="both"/>
        <w:rPr>
          <w:rFonts w:ascii="Arial" w:hAnsi="Arial" w:cs="Arial"/>
        </w:rPr>
      </w:pPr>
      <w:r w:rsidRPr="00B01850">
        <w:rPr>
          <w:rFonts w:ascii="Arial" w:hAnsi="Arial" w:cs="Arial"/>
        </w:rPr>
        <w:t>Consulter les parties prenantes institutionnelles sur la gestion des risques et catastrophes ;</w:t>
      </w:r>
    </w:p>
    <w:p w14:paraId="692CCA38" w14:textId="079D04B6" w:rsidR="00C6654F" w:rsidRPr="00B01850" w:rsidRDefault="00C6654F" w:rsidP="00214DCC">
      <w:pPr>
        <w:pStyle w:val="ListParagraph"/>
        <w:numPr>
          <w:ilvl w:val="0"/>
          <w:numId w:val="63"/>
        </w:numPr>
        <w:spacing w:after="0" w:line="240" w:lineRule="auto"/>
        <w:jc w:val="both"/>
        <w:rPr>
          <w:rFonts w:ascii="Arial" w:hAnsi="Arial" w:cs="Arial"/>
        </w:rPr>
      </w:pPr>
      <w:r w:rsidRPr="00B01850">
        <w:rPr>
          <w:rFonts w:ascii="Arial" w:hAnsi="Arial" w:cs="Arial"/>
        </w:rPr>
        <w:t>Evaluer les capacités nationales en termes d’intervention d’urgence ;</w:t>
      </w:r>
    </w:p>
    <w:p w14:paraId="4BB57C8D" w14:textId="0374E879" w:rsidR="00C6654F" w:rsidRPr="00B01850" w:rsidRDefault="00C6654F" w:rsidP="00214DCC">
      <w:pPr>
        <w:pStyle w:val="ListParagraph"/>
        <w:numPr>
          <w:ilvl w:val="0"/>
          <w:numId w:val="63"/>
        </w:numPr>
        <w:spacing w:after="0" w:line="240" w:lineRule="auto"/>
        <w:jc w:val="both"/>
        <w:rPr>
          <w:rFonts w:ascii="Arial" w:hAnsi="Arial" w:cs="Arial"/>
        </w:rPr>
      </w:pPr>
      <w:r w:rsidRPr="00B01850">
        <w:rPr>
          <w:rFonts w:ascii="Arial" w:hAnsi="Arial" w:cs="Arial"/>
        </w:rPr>
        <w:t>Expliquer les activités du projet aux acteurs concernés ;</w:t>
      </w:r>
    </w:p>
    <w:p w14:paraId="6D8474EC" w14:textId="50EEE03C" w:rsidR="008540B6" w:rsidRPr="00B01850" w:rsidRDefault="008540B6" w:rsidP="00214DCC">
      <w:pPr>
        <w:pStyle w:val="ListParagraph"/>
        <w:numPr>
          <w:ilvl w:val="0"/>
          <w:numId w:val="63"/>
        </w:numPr>
        <w:spacing w:after="0" w:line="240" w:lineRule="auto"/>
        <w:jc w:val="both"/>
        <w:rPr>
          <w:rFonts w:ascii="Arial" w:hAnsi="Arial" w:cs="Arial"/>
        </w:rPr>
      </w:pPr>
      <w:r w:rsidRPr="00B01850">
        <w:rPr>
          <w:rFonts w:ascii="Arial" w:hAnsi="Arial" w:cs="Arial"/>
        </w:rPr>
        <w:t xml:space="preserve">Recueillir les recommandations sur la mise en œuvre du projet. </w:t>
      </w:r>
    </w:p>
    <w:p w14:paraId="458AA6A5" w14:textId="33664324" w:rsidR="00064B54" w:rsidRPr="00B01850" w:rsidRDefault="009E4018" w:rsidP="00393D9B">
      <w:pPr>
        <w:spacing w:before="120" w:after="0" w:line="240" w:lineRule="auto"/>
        <w:jc w:val="both"/>
        <w:rPr>
          <w:rFonts w:ascii="Arial" w:hAnsi="Arial" w:cs="Arial"/>
        </w:rPr>
      </w:pPr>
      <w:r w:rsidRPr="00B01850">
        <w:rPr>
          <w:rFonts w:ascii="Arial" w:hAnsi="Arial" w:cs="Arial"/>
        </w:rPr>
        <w:t xml:space="preserve">En plus des consultations </w:t>
      </w:r>
      <w:r w:rsidR="00546E03" w:rsidRPr="00B01850">
        <w:rPr>
          <w:rFonts w:ascii="Arial" w:hAnsi="Arial" w:cs="Arial"/>
        </w:rPr>
        <w:t xml:space="preserve">publiques </w:t>
      </w:r>
      <w:r w:rsidRPr="00B01850">
        <w:rPr>
          <w:rFonts w:ascii="Arial" w:hAnsi="Arial" w:cs="Arial"/>
        </w:rPr>
        <w:t xml:space="preserve">susmentionnées, </w:t>
      </w:r>
      <w:r w:rsidR="00D41A07" w:rsidRPr="00B01850">
        <w:rPr>
          <w:rFonts w:ascii="Arial" w:hAnsi="Arial" w:cs="Arial"/>
        </w:rPr>
        <w:t>l</w:t>
      </w:r>
      <w:r w:rsidR="00F95121" w:rsidRPr="00B01850">
        <w:rPr>
          <w:rFonts w:ascii="Arial" w:hAnsi="Arial" w:cs="Arial"/>
        </w:rPr>
        <w:t xml:space="preserve">e gouvernement a rendu public ce PGES, </w:t>
      </w:r>
      <w:r w:rsidR="00356C1C" w:rsidRPr="00B01850">
        <w:rPr>
          <w:rFonts w:ascii="Arial" w:hAnsi="Arial" w:cs="Arial"/>
        </w:rPr>
        <w:t>qui intègre tous les aspects abordés lors de ces activités</w:t>
      </w:r>
      <w:r w:rsidR="00BE34C2" w:rsidRPr="00B01850">
        <w:rPr>
          <w:rFonts w:ascii="Arial" w:hAnsi="Arial" w:cs="Arial"/>
        </w:rPr>
        <w:t xml:space="preserve"> durant cette étape, les mesures de sauvegarde exigées, les documents de sauvegarde en vigueur </w:t>
      </w:r>
      <w:r w:rsidR="00356C1C" w:rsidRPr="00B01850">
        <w:rPr>
          <w:rFonts w:ascii="Arial" w:hAnsi="Arial" w:cs="Arial"/>
        </w:rPr>
        <w:t xml:space="preserve">ainsi que l’existence </w:t>
      </w:r>
      <w:r w:rsidR="00F95121" w:rsidRPr="00B01850">
        <w:rPr>
          <w:rFonts w:ascii="Arial" w:hAnsi="Arial" w:cs="Arial"/>
        </w:rPr>
        <w:t xml:space="preserve">d'un mécanisme de gestion des </w:t>
      </w:r>
      <w:r w:rsidR="00BE34C2" w:rsidRPr="00B01850">
        <w:rPr>
          <w:rFonts w:ascii="Arial" w:hAnsi="Arial" w:cs="Arial"/>
        </w:rPr>
        <w:t>réclamations</w:t>
      </w:r>
      <w:r w:rsidR="00F95121" w:rsidRPr="00B01850">
        <w:rPr>
          <w:rFonts w:ascii="Arial" w:hAnsi="Arial" w:cs="Arial"/>
        </w:rPr>
        <w:t>.</w:t>
      </w:r>
      <w:r w:rsidR="009A209A" w:rsidRPr="00B01850">
        <w:rPr>
          <w:rFonts w:ascii="Arial" w:hAnsi="Arial" w:cs="Arial"/>
        </w:rPr>
        <w:t xml:space="preserve"> </w:t>
      </w:r>
      <w:r w:rsidR="00200EE9" w:rsidRPr="00B01850">
        <w:rPr>
          <w:rFonts w:ascii="Arial" w:hAnsi="Arial" w:cs="Arial"/>
        </w:rPr>
        <w:t>L’Agence d’Exécution</w:t>
      </w:r>
      <w:r w:rsidR="00EF124C" w:rsidRPr="00B01850">
        <w:rPr>
          <w:rFonts w:ascii="Arial" w:hAnsi="Arial" w:cs="Arial"/>
        </w:rPr>
        <w:t xml:space="preserve"> </w:t>
      </w:r>
      <w:r w:rsidR="00200EE9" w:rsidRPr="00B01850">
        <w:rPr>
          <w:rFonts w:ascii="Arial" w:hAnsi="Arial" w:cs="Arial"/>
        </w:rPr>
        <w:t>continuera à mener des consultations sur tous les aspects du CERP conformément au Plan de Communication du PMPP</w:t>
      </w:r>
      <w:r w:rsidR="00EF124C" w:rsidRPr="00B01850">
        <w:rPr>
          <w:rFonts w:ascii="Arial" w:hAnsi="Arial" w:cs="Arial"/>
        </w:rPr>
        <w:t xml:space="preserve"> afin de préparer les parties prenantes</w:t>
      </w:r>
      <w:r w:rsidR="000A38C8" w:rsidRPr="00B01850">
        <w:rPr>
          <w:rFonts w:ascii="Arial" w:hAnsi="Arial" w:cs="Arial"/>
        </w:rPr>
        <w:t xml:space="preserve"> aux éventuelles crises. </w:t>
      </w:r>
      <w:r w:rsidR="00200EE9" w:rsidRPr="00B01850">
        <w:rPr>
          <w:rFonts w:ascii="Arial" w:hAnsi="Arial" w:cs="Arial"/>
        </w:rPr>
        <w:t xml:space="preserve"> </w:t>
      </w:r>
    </w:p>
    <w:p w14:paraId="03DCB19C" w14:textId="77777777" w:rsidR="00C1033C" w:rsidRPr="00B01850" w:rsidRDefault="00FF3FD3" w:rsidP="00393D9B">
      <w:pPr>
        <w:spacing w:before="120" w:after="0" w:line="240" w:lineRule="auto"/>
        <w:jc w:val="both"/>
        <w:rPr>
          <w:rFonts w:ascii="Arial" w:hAnsi="Arial" w:cs="Arial"/>
        </w:rPr>
      </w:pPr>
      <w:r w:rsidRPr="00B01850">
        <w:rPr>
          <w:rFonts w:ascii="Arial" w:hAnsi="Arial" w:cs="Arial"/>
        </w:rPr>
        <w:t>L</w:t>
      </w:r>
      <w:r w:rsidR="0006339F" w:rsidRPr="00B01850">
        <w:rPr>
          <w:rFonts w:ascii="Arial" w:hAnsi="Arial" w:cs="Arial"/>
        </w:rPr>
        <w:t xml:space="preserve">es activités prévues dans le cadre du CERP seront communiquées </w:t>
      </w:r>
      <w:r w:rsidR="00D94F02" w:rsidRPr="00B01850">
        <w:rPr>
          <w:rFonts w:ascii="Arial" w:hAnsi="Arial" w:cs="Arial"/>
        </w:rPr>
        <w:t xml:space="preserve">aux </w:t>
      </w:r>
      <w:r w:rsidR="0006339F" w:rsidRPr="00B01850">
        <w:rPr>
          <w:rFonts w:ascii="Arial" w:hAnsi="Arial" w:cs="Arial"/>
        </w:rPr>
        <w:t>services techniques impliquées</w:t>
      </w:r>
      <w:r w:rsidR="00D94F02" w:rsidRPr="00B01850">
        <w:rPr>
          <w:rFonts w:ascii="Arial" w:hAnsi="Arial" w:cs="Arial"/>
        </w:rPr>
        <w:t>,</w:t>
      </w:r>
      <w:r w:rsidR="0006339F" w:rsidRPr="00B01850">
        <w:rPr>
          <w:rFonts w:ascii="Arial" w:hAnsi="Arial" w:cs="Arial"/>
        </w:rPr>
        <w:t xml:space="preserve"> </w:t>
      </w:r>
      <w:r w:rsidR="002719C0" w:rsidRPr="00B01850">
        <w:rPr>
          <w:rFonts w:ascii="Arial" w:hAnsi="Arial" w:cs="Arial"/>
        </w:rPr>
        <w:t>(</w:t>
      </w:r>
      <w:r w:rsidR="00F95121" w:rsidRPr="00B01850">
        <w:rPr>
          <w:rFonts w:ascii="Arial" w:hAnsi="Arial" w:cs="Arial"/>
        </w:rPr>
        <w:t xml:space="preserve">administration </w:t>
      </w:r>
      <w:r w:rsidR="001237BC" w:rsidRPr="00B01850">
        <w:rPr>
          <w:rFonts w:ascii="Arial" w:hAnsi="Arial" w:cs="Arial"/>
        </w:rPr>
        <w:t xml:space="preserve">régionale, déconcentrée et </w:t>
      </w:r>
      <w:r w:rsidR="00F95121" w:rsidRPr="00B01850">
        <w:rPr>
          <w:rFonts w:ascii="Arial" w:hAnsi="Arial" w:cs="Arial"/>
        </w:rPr>
        <w:t xml:space="preserve">locale, </w:t>
      </w:r>
      <w:r w:rsidR="002719C0" w:rsidRPr="00B01850">
        <w:rPr>
          <w:rFonts w:ascii="Arial" w:hAnsi="Arial" w:cs="Arial"/>
        </w:rPr>
        <w:t>services sanitaires</w:t>
      </w:r>
      <w:r w:rsidR="00F95121" w:rsidRPr="00B01850">
        <w:rPr>
          <w:rFonts w:ascii="Arial" w:hAnsi="Arial" w:cs="Arial"/>
        </w:rPr>
        <w:t>,</w:t>
      </w:r>
      <w:r w:rsidR="0067203C" w:rsidRPr="00B01850">
        <w:rPr>
          <w:rFonts w:ascii="Arial" w:hAnsi="Arial" w:cs="Arial"/>
        </w:rPr>
        <w:t xml:space="preserve"> services de gestion des catastrophes et assistances humanitaires</w:t>
      </w:r>
      <w:r w:rsidR="002719C0" w:rsidRPr="00B01850">
        <w:rPr>
          <w:rFonts w:ascii="Arial" w:hAnsi="Arial" w:cs="Arial"/>
        </w:rPr>
        <w:t>)</w:t>
      </w:r>
      <w:r w:rsidR="00F95121" w:rsidRPr="00B01850">
        <w:rPr>
          <w:rFonts w:ascii="Arial" w:hAnsi="Arial" w:cs="Arial"/>
        </w:rPr>
        <w:t xml:space="preserve">, aux personnes touchées et aux </w:t>
      </w:r>
      <w:r w:rsidR="002719C0" w:rsidRPr="00B01850">
        <w:rPr>
          <w:rFonts w:ascii="Arial" w:hAnsi="Arial" w:cs="Arial"/>
        </w:rPr>
        <w:t xml:space="preserve">autres parties </w:t>
      </w:r>
      <w:r w:rsidR="00F95121" w:rsidRPr="00B01850">
        <w:rPr>
          <w:rFonts w:ascii="Arial" w:hAnsi="Arial" w:cs="Arial"/>
        </w:rPr>
        <w:t>prenantes</w:t>
      </w:r>
      <w:r w:rsidR="00C604F0" w:rsidRPr="00B01850">
        <w:rPr>
          <w:rFonts w:ascii="Arial" w:hAnsi="Arial" w:cs="Arial"/>
        </w:rPr>
        <w:t>.</w:t>
      </w:r>
    </w:p>
    <w:p w14:paraId="136BB96A" w14:textId="77777777" w:rsidR="005B7C71" w:rsidRPr="00B01850" w:rsidRDefault="00C1033C" w:rsidP="00393D9B">
      <w:pPr>
        <w:spacing w:before="120" w:after="0" w:line="240" w:lineRule="auto"/>
        <w:jc w:val="both"/>
        <w:rPr>
          <w:rFonts w:ascii="Arial" w:hAnsi="Arial" w:cs="Arial"/>
        </w:rPr>
      </w:pPr>
      <w:r w:rsidRPr="00B01850">
        <w:rPr>
          <w:rFonts w:ascii="Arial" w:hAnsi="Arial" w:cs="Arial"/>
        </w:rPr>
        <w:t>L</w:t>
      </w:r>
      <w:r w:rsidR="007D41B1" w:rsidRPr="00B01850">
        <w:rPr>
          <w:rFonts w:ascii="Arial" w:hAnsi="Arial" w:cs="Arial"/>
        </w:rPr>
        <w:t>es communications</w:t>
      </w:r>
      <w:r w:rsidRPr="00B01850">
        <w:rPr>
          <w:rFonts w:ascii="Arial" w:hAnsi="Arial" w:cs="Arial"/>
        </w:rPr>
        <w:t xml:space="preserve"> permettront également au </w:t>
      </w:r>
      <w:r w:rsidR="00F52E0F" w:rsidRPr="00B01850">
        <w:rPr>
          <w:rFonts w:ascii="Arial" w:hAnsi="Arial" w:cs="Arial"/>
        </w:rPr>
        <w:t xml:space="preserve">NAFA -PRU-APN (P168777) </w:t>
      </w:r>
      <w:r w:rsidRPr="00B01850">
        <w:rPr>
          <w:rFonts w:ascii="Arial" w:hAnsi="Arial" w:cs="Arial"/>
        </w:rPr>
        <w:t xml:space="preserve">de </w:t>
      </w:r>
      <w:r w:rsidR="00F95121" w:rsidRPr="00B01850">
        <w:rPr>
          <w:rFonts w:ascii="Arial" w:hAnsi="Arial" w:cs="Arial"/>
        </w:rPr>
        <w:t>solliciter l</w:t>
      </w:r>
      <w:r w:rsidR="00CD0EE1" w:rsidRPr="00B01850">
        <w:rPr>
          <w:rFonts w:ascii="Arial" w:hAnsi="Arial" w:cs="Arial"/>
        </w:rPr>
        <w:t>’</w:t>
      </w:r>
      <w:r w:rsidR="00F95121" w:rsidRPr="00B01850">
        <w:rPr>
          <w:rFonts w:ascii="Arial" w:hAnsi="Arial" w:cs="Arial"/>
        </w:rPr>
        <w:t xml:space="preserve">aide et le soutien </w:t>
      </w:r>
      <w:r w:rsidR="00FD41E9" w:rsidRPr="00B01850">
        <w:rPr>
          <w:rFonts w:ascii="Arial" w:hAnsi="Arial" w:cs="Arial"/>
        </w:rPr>
        <w:t xml:space="preserve">des </w:t>
      </w:r>
      <w:r w:rsidRPr="00B01850">
        <w:rPr>
          <w:rFonts w:ascii="Arial" w:hAnsi="Arial" w:cs="Arial"/>
        </w:rPr>
        <w:t xml:space="preserve">différents </w:t>
      </w:r>
      <w:r w:rsidR="00FD41E9" w:rsidRPr="00B01850">
        <w:rPr>
          <w:rFonts w:ascii="Arial" w:hAnsi="Arial" w:cs="Arial"/>
        </w:rPr>
        <w:t xml:space="preserve">acteurs </w:t>
      </w:r>
      <w:r w:rsidR="00F95121" w:rsidRPr="00B01850">
        <w:rPr>
          <w:rFonts w:ascii="Arial" w:hAnsi="Arial" w:cs="Arial"/>
        </w:rPr>
        <w:t xml:space="preserve">pour la mise en œuvre des </w:t>
      </w:r>
      <w:r w:rsidR="00CD0EE1" w:rsidRPr="00B01850">
        <w:rPr>
          <w:rFonts w:ascii="Arial" w:hAnsi="Arial" w:cs="Arial"/>
        </w:rPr>
        <w:t>a</w:t>
      </w:r>
      <w:r w:rsidR="00F95121" w:rsidRPr="00B01850">
        <w:rPr>
          <w:rFonts w:ascii="Arial" w:hAnsi="Arial" w:cs="Arial"/>
        </w:rPr>
        <w:t>ctivités.</w:t>
      </w:r>
      <w:r w:rsidR="00FD41E9" w:rsidRPr="00B01850">
        <w:rPr>
          <w:rFonts w:ascii="Arial" w:hAnsi="Arial" w:cs="Arial"/>
        </w:rPr>
        <w:t xml:space="preserve"> </w:t>
      </w:r>
      <w:r w:rsidR="005B7C71" w:rsidRPr="00B01850">
        <w:rPr>
          <w:rFonts w:ascii="Arial" w:hAnsi="Arial" w:cs="Arial"/>
        </w:rPr>
        <w:t>Le projet fournira les informations pertinentes sur le Mécanisme National de Gestion des Réclamations et de son fonctionnement.</w:t>
      </w:r>
    </w:p>
    <w:p w14:paraId="0BE1C8BC" w14:textId="350DB0EE" w:rsidR="00AA2440" w:rsidRPr="00B01850" w:rsidRDefault="00843E62" w:rsidP="00393D9B">
      <w:pPr>
        <w:spacing w:before="120" w:after="0" w:line="240" w:lineRule="auto"/>
        <w:jc w:val="both"/>
        <w:rPr>
          <w:rFonts w:ascii="Arial" w:hAnsi="Arial" w:cs="Arial"/>
        </w:rPr>
      </w:pPr>
      <w:r w:rsidRPr="00B01850">
        <w:rPr>
          <w:rFonts w:ascii="Arial" w:hAnsi="Arial" w:cs="Arial"/>
        </w:rPr>
        <w:t xml:space="preserve">Par ailleurs, le PMPP sera mis à jour pour orienter les activités de mobilisation relatives </w:t>
      </w:r>
      <w:r w:rsidR="00F95121" w:rsidRPr="00B01850">
        <w:rPr>
          <w:rFonts w:ascii="Arial" w:hAnsi="Arial" w:cs="Arial"/>
        </w:rPr>
        <w:t xml:space="preserve">aux transferts monétaires et </w:t>
      </w:r>
      <w:r w:rsidR="00340B30" w:rsidRPr="00B01850">
        <w:rPr>
          <w:rFonts w:ascii="Arial" w:hAnsi="Arial" w:cs="Arial"/>
        </w:rPr>
        <w:t>aux fournitures de services</w:t>
      </w:r>
      <w:r w:rsidR="008458DF" w:rsidRPr="00B01850">
        <w:rPr>
          <w:rFonts w:ascii="Arial" w:hAnsi="Arial" w:cs="Arial"/>
        </w:rPr>
        <w:t xml:space="preserve"> sociaux</w:t>
      </w:r>
      <w:r w:rsidRPr="00B01850">
        <w:rPr>
          <w:rFonts w:ascii="Arial" w:hAnsi="Arial" w:cs="Arial"/>
        </w:rPr>
        <w:t>.</w:t>
      </w:r>
    </w:p>
    <w:p w14:paraId="7E266C8C" w14:textId="2160DD77" w:rsidR="009A6EC3" w:rsidRPr="00B01850" w:rsidRDefault="003A716E" w:rsidP="009C7E13">
      <w:pPr>
        <w:pStyle w:val="Heading1"/>
        <w:rPr>
          <w:rFonts w:ascii="Arial" w:hAnsi="Arial" w:cs="Arial"/>
          <w:color w:val="auto"/>
          <w:sz w:val="22"/>
          <w:szCs w:val="22"/>
        </w:rPr>
      </w:pPr>
      <w:bookmarkStart w:id="137" w:name="_Toc656817439"/>
      <w:bookmarkStart w:id="138" w:name="_Toc197382157"/>
      <w:r w:rsidRPr="00B01850">
        <w:rPr>
          <w:rFonts w:ascii="Arial" w:hAnsi="Arial" w:cs="Arial"/>
          <w:b/>
          <w:bCs/>
          <w:color w:val="auto"/>
          <w:sz w:val="22"/>
          <w:szCs w:val="22"/>
        </w:rPr>
        <w:lastRenderedPageBreak/>
        <w:t>SECTION 8</w:t>
      </w:r>
      <w:r w:rsidRPr="00B01850">
        <w:rPr>
          <w:rFonts w:ascii="Arial" w:hAnsi="Arial" w:cs="Arial"/>
          <w:color w:val="auto"/>
          <w:sz w:val="22"/>
          <w:szCs w:val="22"/>
        </w:rPr>
        <w:t xml:space="preserve"> : DISPOSITIONS INSTITUTIONNELLES ET RESSOURCES</w:t>
      </w:r>
      <w:bookmarkEnd w:id="137"/>
      <w:bookmarkEnd w:id="138"/>
    </w:p>
    <w:p w14:paraId="1F809A3D" w14:textId="77777777" w:rsidR="009C7E13" w:rsidRPr="00B01850" w:rsidRDefault="009C7E13" w:rsidP="004A4427">
      <w:pPr>
        <w:autoSpaceDE w:val="0"/>
        <w:autoSpaceDN w:val="0"/>
        <w:adjustRightInd w:val="0"/>
        <w:spacing w:after="0" w:line="240" w:lineRule="auto"/>
        <w:jc w:val="both"/>
        <w:rPr>
          <w:rFonts w:ascii="Arial" w:hAnsi="Arial" w:cs="Arial"/>
        </w:rPr>
      </w:pPr>
    </w:p>
    <w:p w14:paraId="4FF962AC" w14:textId="2A63824C" w:rsidR="00EA5CF1" w:rsidRPr="00B01850" w:rsidRDefault="009A6EC3" w:rsidP="00AC403B">
      <w:pPr>
        <w:autoSpaceDE w:val="0"/>
        <w:autoSpaceDN w:val="0"/>
        <w:adjustRightInd w:val="0"/>
        <w:spacing w:after="0" w:line="240" w:lineRule="auto"/>
        <w:jc w:val="both"/>
        <w:rPr>
          <w:rFonts w:ascii="Arial" w:hAnsi="Arial" w:cs="Arial"/>
        </w:rPr>
      </w:pPr>
      <w:r w:rsidRPr="00B01850">
        <w:rPr>
          <w:rFonts w:ascii="Arial" w:hAnsi="Arial" w:cs="Arial"/>
        </w:rPr>
        <w:t>Cette section décrit les dispositions institutionnelles et les ressources</w:t>
      </w:r>
      <w:r w:rsidR="00106B48" w:rsidRPr="00B01850">
        <w:rPr>
          <w:rFonts w:ascii="Arial" w:hAnsi="Arial" w:cs="Arial"/>
        </w:rPr>
        <w:t xml:space="preserve"> </w:t>
      </w:r>
      <w:r w:rsidRPr="00B01850">
        <w:rPr>
          <w:rFonts w:ascii="Arial" w:hAnsi="Arial" w:cs="Arial"/>
        </w:rPr>
        <w:t xml:space="preserve">mises en place pour soutenir </w:t>
      </w:r>
      <w:r w:rsidR="00106B48" w:rsidRPr="00B01850">
        <w:rPr>
          <w:rFonts w:ascii="Arial" w:hAnsi="Arial" w:cs="Arial"/>
        </w:rPr>
        <w:t xml:space="preserve">le CERP en Guinée </w:t>
      </w:r>
      <w:r w:rsidRPr="00B01850">
        <w:rPr>
          <w:rFonts w:ascii="Arial" w:hAnsi="Arial" w:cs="Arial"/>
        </w:rPr>
        <w:t xml:space="preserve">et </w:t>
      </w:r>
      <w:r w:rsidR="00106B48" w:rsidRPr="00B01850">
        <w:rPr>
          <w:rFonts w:ascii="Arial" w:hAnsi="Arial" w:cs="Arial"/>
        </w:rPr>
        <w:t xml:space="preserve">faciliter l’exécution des </w:t>
      </w:r>
      <w:r w:rsidRPr="00B01850">
        <w:rPr>
          <w:rFonts w:ascii="Arial" w:hAnsi="Arial" w:cs="Arial"/>
        </w:rPr>
        <w:t>activités</w:t>
      </w:r>
      <w:r w:rsidR="00683AC8" w:rsidRPr="00B01850">
        <w:rPr>
          <w:rFonts w:ascii="Arial" w:hAnsi="Arial" w:cs="Arial"/>
        </w:rPr>
        <w:t xml:space="preserve"> relatives aux différentes crises qui surviendraient</w:t>
      </w:r>
      <w:r w:rsidRPr="00B01850">
        <w:rPr>
          <w:rFonts w:ascii="Arial" w:hAnsi="Arial" w:cs="Arial"/>
        </w:rPr>
        <w:t>.</w:t>
      </w:r>
    </w:p>
    <w:p w14:paraId="05B1B1F5" w14:textId="77777777" w:rsidR="00285A23" w:rsidRPr="00B01850" w:rsidRDefault="007A43F6" w:rsidP="007D1DB6">
      <w:pPr>
        <w:spacing w:before="120" w:after="0" w:line="240" w:lineRule="auto"/>
        <w:jc w:val="both"/>
        <w:rPr>
          <w:rFonts w:ascii="Arial" w:eastAsia="Times New Roman" w:hAnsi="Arial" w:cs="Arial"/>
          <w:color w:val="424242"/>
        </w:rPr>
      </w:pPr>
      <w:r w:rsidRPr="00B01850">
        <w:rPr>
          <w:rFonts w:ascii="Arial" w:eastAsia="Times New Roman" w:hAnsi="Arial" w:cs="Arial"/>
          <w:color w:val="424242"/>
        </w:rPr>
        <w:t>Le projet est dirigé par le Ministère de l'Économie et des Finances (MEF), qui coordonne avec les ministères et agences concernés, et préside le Comité de Pilotage du Projet (CPP), qui assurera la supervision stratégique du projet. Le CPP comprend des représentants des principaux acteurs : le MEF, le Ministère du Budget (</w:t>
      </w:r>
      <w:proofErr w:type="spellStart"/>
      <w:r w:rsidRPr="00B01850">
        <w:rPr>
          <w:rFonts w:ascii="Arial" w:eastAsia="Times New Roman" w:hAnsi="Arial" w:cs="Arial"/>
          <w:color w:val="424242"/>
        </w:rPr>
        <w:t>MoB</w:t>
      </w:r>
      <w:proofErr w:type="spellEnd"/>
      <w:r w:rsidRPr="00B01850">
        <w:rPr>
          <w:rFonts w:ascii="Arial" w:eastAsia="Times New Roman" w:hAnsi="Arial" w:cs="Arial"/>
          <w:color w:val="424242"/>
        </w:rPr>
        <w:t>), le Ministère de l'Administration Territoriale et de la Décentralisation (MTAD), le Ministère de la Sécurité et de la Protection Civile (MSPC), le Ministère de l'Agriculture et de l'Élevage (MAL), le Ministère de l'Environnement et du Développement Durable (MESD), le Ministère de la Femme, de l'Enfance et des Personnes Vulnérables (MWCVP), le Ministère de la Santé et de l'Hygiène Publique (MHPH).</w:t>
      </w:r>
    </w:p>
    <w:p w14:paraId="54C10646" w14:textId="650ADF89" w:rsidR="00E10BB8" w:rsidRPr="00B01850" w:rsidRDefault="007A43F6" w:rsidP="00E10BB8">
      <w:pPr>
        <w:spacing w:before="120" w:after="0" w:line="240" w:lineRule="auto"/>
        <w:jc w:val="both"/>
        <w:rPr>
          <w:rFonts w:ascii="Arial" w:eastAsia="Times New Roman" w:hAnsi="Arial" w:cs="Arial"/>
          <w:color w:val="424242"/>
        </w:rPr>
      </w:pPr>
      <w:r w:rsidRPr="00B01850">
        <w:rPr>
          <w:rFonts w:ascii="Arial" w:eastAsia="Times New Roman" w:hAnsi="Arial" w:cs="Arial"/>
          <w:color w:val="424242"/>
        </w:rPr>
        <w:t>En fonction des caractéristiques de la crise et des secteurs et zones affectés, le CPP peut inclure d'autres départements concernés. Le CPP sert de plateforme pour développer davantage la réponse d'urgence dirigée par le gouvernement, clarifier les rôles et responsabilités en alignement avec les politiques et réglementations nationales sur la gestion des catastrophes et la résilience climatique, et améliorer la coordination.</w:t>
      </w:r>
    </w:p>
    <w:p w14:paraId="40D27165" w14:textId="368D9AF4" w:rsidR="007A43F6" w:rsidRPr="00B01850" w:rsidRDefault="008F3FA0" w:rsidP="008F3FA0">
      <w:pPr>
        <w:spacing w:before="120" w:after="0" w:line="240" w:lineRule="auto"/>
        <w:jc w:val="both"/>
        <w:rPr>
          <w:rFonts w:ascii="Arial" w:hAnsi="Arial" w:cs="Arial"/>
        </w:rPr>
      </w:pPr>
      <w:r w:rsidRPr="00B01850">
        <w:rPr>
          <w:rFonts w:ascii="Arial" w:hAnsi="Arial" w:cs="Arial"/>
        </w:rPr>
        <w:t xml:space="preserve">Une Unité de Mise en Œuvre du Projet (PIU) du CERP sera désignée et sera responsable de la gestion fiduciaire ainsi que de la conformité environnementale et sociale du CERP. La PIU du CERP travaillera en étroite collaboration avec l'ANGUCH dans une approche jumelée. L'ANGUCH dirigera </w:t>
      </w:r>
      <w:bookmarkStart w:id="139" w:name="_Hlk196946693"/>
      <w:r w:rsidRPr="00B01850">
        <w:rPr>
          <w:rFonts w:ascii="Arial" w:hAnsi="Arial" w:cs="Arial"/>
        </w:rPr>
        <w:t>le Comité Permanent de Réponse d'Urgence (SERC)</w:t>
      </w:r>
      <w:bookmarkEnd w:id="139"/>
      <w:r w:rsidRPr="00B01850">
        <w:rPr>
          <w:rFonts w:ascii="Arial" w:hAnsi="Arial" w:cs="Arial"/>
        </w:rPr>
        <w:t>, responsable de l'évaluation des impacts et des besoins, de la préparation du Plan d'Action d'Urgence (EAP), de la budgétisation basée sur la liste positive du CERP, et de la coordination de la mise en œuvre du Plan d'Action d'Urgence (EAP). Son expérience et ses performances en gestion des catastrophes et en secours d'urgence sont bien établies. Cependant, sa capacité à gérer les opérations de la Banque Mondiale doit être renforcée grâce à l'approche jumelée et collaborative avec une PIU expérimentée de la Banque.</w:t>
      </w:r>
      <w:r w:rsidR="00027E41" w:rsidRPr="00B01850">
        <w:rPr>
          <w:rFonts w:ascii="Arial" w:hAnsi="Arial" w:cs="Arial"/>
        </w:rPr>
        <w:t xml:space="preserve"> Un plan de renforcement de</w:t>
      </w:r>
      <w:r w:rsidR="00C514E5" w:rsidRPr="00B01850">
        <w:rPr>
          <w:rFonts w:ascii="Arial" w:hAnsi="Arial" w:cs="Arial"/>
        </w:rPr>
        <w:t>s</w:t>
      </w:r>
      <w:r w:rsidR="00027E41" w:rsidRPr="00B01850">
        <w:rPr>
          <w:rFonts w:ascii="Arial" w:hAnsi="Arial" w:cs="Arial"/>
        </w:rPr>
        <w:t xml:space="preserve"> capacités</w:t>
      </w:r>
      <w:r w:rsidR="004204DB" w:rsidRPr="00B01850">
        <w:rPr>
          <w:rFonts w:ascii="Arial" w:hAnsi="Arial" w:cs="Arial"/>
        </w:rPr>
        <w:t xml:space="preserve"> en </w:t>
      </w:r>
      <w:r w:rsidR="00C514E5" w:rsidRPr="00B01850">
        <w:rPr>
          <w:rFonts w:ascii="Arial" w:hAnsi="Arial" w:cs="Arial"/>
        </w:rPr>
        <w:t xml:space="preserve">gestion des risques environnementaux et sociaux </w:t>
      </w:r>
      <w:r w:rsidR="004204DB" w:rsidRPr="00B01850">
        <w:rPr>
          <w:rFonts w:ascii="Arial" w:hAnsi="Arial" w:cs="Arial"/>
        </w:rPr>
        <w:t>sera mis en œuvre en faveur de ANGUCH et des autres parties prenantes du projet.</w:t>
      </w:r>
    </w:p>
    <w:p w14:paraId="1FCA97C7" w14:textId="4FF62D07" w:rsidR="00014276" w:rsidRPr="00B01850" w:rsidRDefault="00014276" w:rsidP="00014276">
      <w:pPr>
        <w:spacing w:after="0" w:line="240" w:lineRule="auto"/>
        <w:jc w:val="both"/>
        <w:rPr>
          <w:rFonts w:ascii="Arial" w:eastAsia="Aptos" w:hAnsi="Arial" w:cs="Arial"/>
          <w:kern w:val="2"/>
          <w14:ligatures w14:val="standardContextual"/>
        </w:rPr>
      </w:pPr>
      <w:r w:rsidRPr="00B01850">
        <w:rPr>
          <w:rFonts w:ascii="Arial" w:eastAsia="Aptos" w:hAnsi="Arial" w:cs="Arial"/>
          <w:kern w:val="2"/>
          <w14:ligatures w14:val="standardContextual"/>
        </w:rPr>
        <w:t xml:space="preserve">En plus de l'ANGUCH, le SERC canalise un soutien technique supplémentaire selon les besoins, en fonction de la nature de la crise et de la réponse prévue, en mobilisant du personnel des agences sectorielles (CENAGCUE, DGPC, ANIES, FDSI, ANSS et CRG), ou des UGP pertinentes des secteurs de l'agriculture (Projet de Développement de l'Agriculture Commerciale en Guinée), de la santé (Programme de Sécurité Sanitaire en Afrique de l'Ouest et Centrale ou Projet de Soutien à la Gouvernance Locale en Guinée 2), de la protection sociale (Projet de Réponse d'Urgence et de Soutien au Programme </w:t>
      </w:r>
      <w:proofErr w:type="spellStart"/>
      <w:r w:rsidRPr="00B01850">
        <w:rPr>
          <w:rFonts w:ascii="Arial" w:eastAsia="Aptos" w:hAnsi="Arial" w:cs="Arial"/>
          <w:kern w:val="2"/>
          <w14:ligatures w14:val="standardContextual"/>
        </w:rPr>
        <w:t>Nafa</w:t>
      </w:r>
      <w:proofErr w:type="spellEnd"/>
      <w:r w:rsidRPr="00B01850">
        <w:rPr>
          <w:rFonts w:ascii="Arial" w:eastAsia="Aptos" w:hAnsi="Arial" w:cs="Arial"/>
          <w:kern w:val="2"/>
          <w14:ligatures w14:val="standardContextual"/>
        </w:rPr>
        <w:t xml:space="preserve"> (PRU-APN, P168777), et de l'environnement (Projet de Gestion des Ressources Naturelles, Minières et Environnementales en Guinée). La composition et les missions du SERC sont définies par arrêté du MEF, avec la contribution d'autres ministres clés, et peuvent inclure d'autres acteurs gouvernementaux, humanitaires et de la société civile. L'ANGUCH sert de secrétariat pour le PSC, présidé par le MEF, et le SERC, présidé par le Coordinateur de Projet du CERP (PC), facilitant la coordination et la communication entre les parties prenantes.</w:t>
      </w:r>
    </w:p>
    <w:p w14:paraId="2CE69EBC" w14:textId="6286B3C8" w:rsidR="00014276" w:rsidRPr="00B01850" w:rsidRDefault="00014276" w:rsidP="008F3FA0">
      <w:pPr>
        <w:spacing w:before="120" w:after="0" w:line="240" w:lineRule="auto"/>
        <w:jc w:val="both"/>
        <w:rPr>
          <w:rFonts w:ascii="Arial" w:hAnsi="Arial" w:cs="Arial"/>
        </w:rPr>
      </w:pPr>
      <w:r w:rsidRPr="00B01850">
        <w:rPr>
          <w:rFonts w:ascii="Arial" w:eastAsia="Aptos" w:hAnsi="Arial" w:cs="Arial"/>
          <w:kern w:val="2"/>
          <w14:ligatures w14:val="standardContextual"/>
        </w:rPr>
        <w:t>Le CERP sera un engagement de six ans et pourra inclure plusieurs activations pour différentes crises. Les procédures d'activation, la préparation du plan de réponse d'urgence, les instructions de paiement et de décaissement sont décrites et détaillées dans le Manuel du CERP.</w:t>
      </w:r>
    </w:p>
    <w:p w14:paraId="70FD7A12" w14:textId="77777777" w:rsidR="0006598C" w:rsidRPr="00B01850" w:rsidRDefault="0006598C" w:rsidP="0006598C">
      <w:pPr>
        <w:spacing w:after="0" w:line="240" w:lineRule="auto"/>
        <w:jc w:val="both"/>
        <w:rPr>
          <w:rFonts w:ascii="Arial" w:hAnsi="Arial" w:cs="Arial"/>
        </w:rPr>
      </w:pPr>
      <w:r w:rsidRPr="00E152C6">
        <w:rPr>
          <w:rFonts w:ascii="Arial" w:hAnsi="Arial" w:cs="Arial"/>
        </w:rPr>
        <w:t xml:space="preserve">Le </w:t>
      </w:r>
      <w:proofErr w:type="spellStart"/>
      <w:r w:rsidRPr="00E152C6">
        <w:rPr>
          <w:rFonts w:ascii="Arial" w:hAnsi="Arial" w:cs="Arial"/>
        </w:rPr>
        <w:t>GoG</w:t>
      </w:r>
      <w:proofErr w:type="spellEnd"/>
      <w:r w:rsidRPr="00E152C6">
        <w:rPr>
          <w:rFonts w:ascii="Arial" w:hAnsi="Arial" w:cs="Arial"/>
        </w:rPr>
        <w:t xml:space="preserve"> est tenu d'adopter le Manuel du CERP, détaillant les aspects opérationnels de la réponse</w:t>
      </w:r>
      <w:r w:rsidRPr="00B01850">
        <w:rPr>
          <w:rFonts w:ascii="Arial" w:hAnsi="Arial" w:cs="Arial"/>
        </w:rPr>
        <w:t xml:space="preserve"> d'urgence, les processus d'approvisionnement, environnementaux et sociaux associés, et garantissant la responsabilité des ressources financières. Développé par l'UGP du CERP et </w:t>
      </w:r>
      <w:r w:rsidRPr="00B01850">
        <w:rPr>
          <w:rFonts w:ascii="Arial" w:hAnsi="Arial" w:cs="Arial"/>
        </w:rPr>
        <w:lastRenderedPageBreak/>
        <w:t xml:space="preserve">adopté par le </w:t>
      </w:r>
      <w:proofErr w:type="spellStart"/>
      <w:r w:rsidRPr="00B01850">
        <w:rPr>
          <w:rFonts w:ascii="Arial" w:hAnsi="Arial" w:cs="Arial"/>
        </w:rPr>
        <w:t>GoG</w:t>
      </w:r>
      <w:proofErr w:type="spellEnd"/>
      <w:r w:rsidRPr="00B01850">
        <w:rPr>
          <w:rFonts w:ascii="Arial" w:hAnsi="Arial" w:cs="Arial"/>
        </w:rPr>
        <w:t xml:space="preserve"> via son PSC, le manuel comprend un modèle de lettre de demande d'activation et décrit les modalités de mise en œuvre du CERP. Il inclut également la liste positive des dépenses autorisées dans le cadre du CERP et aborde des questions clés telles que les achats (également détaillés dans la Stratégie de Passation des Marchés pour le Développement du Projet, PPSD), la gestion financière et l'audit, la conformité environnementale et sociale, entre autres. Étant donné que le CERP se concentre sur la fourniture de financements rapides pour une réponse immédiate aux crises, la liste positive des dépenses est conçue pour minimiser les risques environnementaux et sociaux. Le Manuel du CERP sera mis à jour régulièrement – au moins une fois par an en l'absence de crise ou d'activation, et plus fréquemment en cas de crise ou d'activation – (i) pour refléter le dialogue stratégique actuel entre le </w:t>
      </w:r>
      <w:proofErr w:type="spellStart"/>
      <w:r w:rsidRPr="00B01850">
        <w:rPr>
          <w:rFonts w:ascii="Arial" w:hAnsi="Arial" w:cs="Arial"/>
        </w:rPr>
        <w:t>GoG</w:t>
      </w:r>
      <w:proofErr w:type="spellEnd"/>
      <w:r w:rsidRPr="00B01850">
        <w:rPr>
          <w:rFonts w:ascii="Arial" w:hAnsi="Arial" w:cs="Arial"/>
        </w:rPr>
        <w:t xml:space="preserve"> et la Banque Mondiale concernant l'utilisation du financement contingent pour les besoins de réponse d'urgence et les leçons tirées de l'expérience de mise en œuvre, et (ii) pour discuter/convenir des changements reflétant une meilleure préparation.</w:t>
      </w:r>
    </w:p>
    <w:p w14:paraId="786676C0" w14:textId="77777777" w:rsidR="001C4604" w:rsidRPr="00B01850" w:rsidRDefault="001C4604" w:rsidP="001C4604">
      <w:pPr>
        <w:spacing w:before="120" w:after="0" w:line="240" w:lineRule="auto"/>
        <w:jc w:val="both"/>
        <w:rPr>
          <w:rFonts w:ascii="Arial" w:hAnsi="Arial" w:cs="Arial"/>
        </w:rPr>
      </w:pPr>
      <w:r w:rsidRPr="00B01850">
        <w:rPr>
          <w:rFonts w:ascii="Arial" w:hAnsi="Arial" w:cs="Arial"/>
        </w:rPr>
        <w:t xml:space="preserve">Le gouvernement peut conclure des accords-cadres avec les agences des Nations Unies (FAO, </w:t>
      </w:r>
      <w:r w:rsidRPr="00E152C6">
        <w:rPr>
          <w:rFonts w:ascii="Arial" w:hAnsi="Arial" w:cs="Arial"/>
        </w:rPr>
        <w:t>UNOPS, etc.) pour la mise en œuvre des opérations d'urgence, en fonction de leur nature</w:t>
      </w:r>
      <w:r w:rsidRPr="00B01850">
        <w:rPr>
          <w:rFonts w:ascii="Arial" w:hAnsi="Arial" w:cs="Arial"/>
        </w:rPr>
        <w:t xml:space="preserve"> spécifique. Des contrats-cadres peuvent également être préparés et signés avec quelques prestataires du secteur privé fournissant une logistique appropriée pour la réponse d'urgence, afin de faciliter leur mobilisation immédiate en cas de besoin.</w:t>
      </w:r>
    </w:p>
    <w:p w14:paraId="0B3FE240" w14:textId="7C995B5D" w:rsidR="00E45AFC" w:rsidRPr="00B01850" w:rsidRDefault="00E45AFC" w:rsidP="00C86991">
      <w:pPr>
        <w:pStyle w:val="Heading1"/>
        <w:spacing w:after="240"/>
        <w:rPr>
          <w:rFonts w:ascii="Arial" w:hAnsi="Arial" w:cs="Arial"/>
          <w:color w:val="auto"/>
          <w:sz w:val="22"/>
          <w:szCs w:val="22"/>
        </w:rPr>
      </w:pPr>
      <w:bookmarkStart w:id="140" w:name="_Toc1321326021"/>
      <w:bookmarkStart w:id="141" w:name="_Toc197382158"/>
      <w:r w:rsidRPr="00B01850">
        <w:rPr>
          <w:rFonts w:ascii="Arial" w:hAnsi="Arial" w:cs="Arial"/>
          <w:b/>
          <w:bCs/>
          <w:color w:val="auto"/>
          <w:sz w:val="22"/>
          <w:szCs w:val="22"/>
        </w:rPr>
        <w:t>SECTION 9</w:t>
      </w:r>
      <w:r w:rsidRPr="00B01850">
        <w:rPr>
          <w:rFonts w:ascii="Arial" w:hAnsi="Arial" w:cs="Arial"/>
          <w:color w:val="auto"/>
          <w:sz w:val="22"/>
          <w:szCs w:val="22"/>
        </w:rPr>
        <w:t xml:space="preserve"> : SUIVI ET ÉTABLISSEMENT DE RAPPORTS</w:t>
      </w:r>
      <w:bookmarkEnd w:id="140"/>
      <w:bookmarkEnd w:id="141"/>
    </w:p>
    <w:p w14:paraId="1C4C9FF3" w14:textId="77777777" w:rsidR="00346AA8" w:rsidRPr="00B01850" w:rsidRDefault="00C86991" w:rsidP="00C86991">
      <w:pPr>
        <w:spacing w:after="0" w:line="240" w:lineRule="auto"/>
        <w:jc w:val="both"/>
        <w:rPr>
          <w:rFonts w:ascii="Arial" w:hAnsi="Arial" w:cs="Arial"/>
        </w:rPr>
      </w:pPr>
      <w:r w:rsidRPr="00B01850">
        <w:rPr>
          <w:rFonts w:ascii="Arial" w:hAnsi="Arial" w:cs="Arial"/>
        </w:rPr>
        <w:t>L'UGP du CERP sera responsable du suivi et du rapport sur les résultats. Dans le cadre de la mise en œuvre du CERP, l'UGP du CERP, le MEF et la Banque Mondiale se réuniront au moins une fois par an pour discuter de la liste des opérations hôtes potentielles et du montant correspondant à réaffecter si le CERP devait être activé, et pour évaluer si le Manuel du CERP doit être mis à jour.</w:t>
      </w:r>
    </w:p>
    <w:p w14:paraId="53224146" w14:textId="1628920D" w:rsidR="00A358C3" w:rsidRPr="00B01850" w:rsidRDefault="00C86991" w:rsidP="00346AA8">
      <w:pPr>
        <w:spacing w:before="120" w:after="0" w:line="240" w:lineRule="auto"/>
        <w:jc w:val="both"/>
        <w:rPr>
          <w:rFonts w:ascii="Arial" w:hAnsi="Arial" w:cs="Arial"/>
        </w:rPr>
      </w:pPr>
      <w:r w:rsidRPr="00B01850">
        <w:rPr>
          <w:rFonts w:ascii="Arial" w:hAnsi="Arial" w:cs="Arial"/>
        </w:rPr>
        <w:t xml:space="preserve">Si le CERP est activé, l'UGP mettra à jour le cadre des résultats en fonction du CERP et utilisera le cadre des résultats mis à jour comme référence pour le suivi des résultats. Avec le soutien de tous les secteurs et </w:t>
      </w:r>
      <w:r w:rsidR="00D37FED" w:rsidRPr="00B01850">
        <w:rPr>
          <w:rFonts w:ascii="Arial" w:hAnsi="Arial" w:cs="Arial"/>
        </w:rPr>
        <w:t>l’</w:t>
      </w:r>
      <w:r w:rsidRPr="00B01850">
        <w:rPr>
          <w:rFonts w:ascii="Arial" w:hAnsi="Arial" w:cs="Arial"/>
        </w:rPr>
        <w:t xml:space="preserve">UGP de mise en œuvre du CERP, l'UGP du CERP collectera les données du cadre des résultats et d'autres données (comme convenu dans le Manuel du CERP) auprès des parties prenantes, les analysera et fera </w:t>
      </w:r>
      <w:r w:rsidR="00406AD3" w:rsidRPr="00B01850">
        <w:rPr>
          <w:rFonts w:ascii="Arial" w:hAnsi="Arial" w:cs="Arial"/>
        </w:rPr>
        <w:t xml:space="preserve">un </w:t>
      </w:r>
      <w:r w:rsidRPr="00B01850">
        <w:rPr>
          <w:rFonts w:ascii="Arial" w:hAnsi="Arial" w:cs="Arial"/>
        </w:rPr>
        <w:t>rapport au Comité de Pilotage et à la Banque Mondiale au moins tous les six mois à partir de la date d'activation du CERP.</w:t>
      </w:r>
    </w:p>
    <w:p w14:paraId="1BB57173" w14:textId="055552AD" w:rsidR="00C86991" w:rsidRPr="00B01850" w:rsidRDefault="00C86991" w:rsidP="00346AA8">
      <w:pPr>
        <w:spacing w:before="120" w:after="0" w:line="240" w:lineRule="auto"/>
        <w:jc w:val="both"/>
        <w:rPr>
          <w:rFonts w:ascii="Arial" w:hAnsi="Arial" w:cs="Arial"/>
        </w:rPr>
      </w:pPr>
      <w:r w:rsidRPr="00B01850">
        <w:rPr>
          <w:rFonts w:ascii="Arial" w:hAnsi="Arial" w:cs="Arial"/>
        </w:rPr>
        <w:t xml:space="preserve">Si le CERP n'est pas activé, l'UGP du CERP fera </w:t>
      </w:r>
      <w:r w:rsidR="00A358C3" w:rsidRPr="00B01850">
        <w:rPr>
          <w:rFonts w:ascii="Arial" w:hAnsi="Arial" w:cs="Arial"/>
        </w:rPr>
        <w:t xml:space="preserve">un </w:t>
      </w:r>
      <w:r w:rsidRPr="00B01850">
        <w:rPr>
          <w:rFonts w:ascii="Arial" w:hAnsi="Arial" w:cs="Arial"/>
        </w:rPr>
        <w:t xml:space="preserve">rapport à la Banque au moins une fois par an, en soulignant la préparation à la mise en œuvre pour de possibles événements futurs. Six mois après la fin de la période d'activation du CERP, un rapport de clôture sera préparé par l'UGP du CERP, évaluant la performance de </w:t>
      </w:r>
      <w:r w:rsidR="00406AD3" w:rsidRPr="00B01850">
        <w:rPr>
          <w:rFonts w:ascii="Arial" w:hAnsi="Arial" w:cs="Arial"/>
        </w:rPr>
        <w:t>s</w:t>
      </w:r>
      <w:r w:rsidRPr="00B01850">
        <w:rPr>
          <w:rFonts w:ascii="Arial" w:hAnsi="Arial" w:cs="Arial"/>
        </w:rPr>
        <w:t>a mise en œuvre et décrivant un plan pour pérenniser les réalisations du</w:t>
      </w:r>
      <w:r w:rsidR="00406AD3" w:rsidRPr="00B01850">
        <w:rPr>
          <w:rFonts w:ascii="Arial" w:hAnsi="Arial" w:cs="Arial"/>
        </w:rPr>
        <w:t xml:space="preserve"> projet.</w:t>
      </w:r>
      <w:r w:rsidRPr="00B01850">
        <w:rPr>
          <w:rFonts w:ascii="Arial" w:hAnsi="Arial" w:cs="Arial"/>
        </w:rPr>
        <w:t xml:space="preserve"> Si le CERP est activé au moins une fois pendant sa période de mise en œuvre de six ans, un rapport de clôture de mise en œuvre et de résultats (ICR) sera préparé.</w:t>
      </w:r>
    </w:p>
    <w:p w14:paraId="5595CE2A" w14:textId="30D5EBA0" w:rsidR="006E6679" w:rsidRPr="00B01850" w:rsidRDefault="00537892" w:rsidP="002D02E6">
      <w:pPr>
        <w:spacing w:before="120" w:after="120" w:line="240" w:lineRule="auto"/>
        <w:jc w:val="both"/>
        <w:rPr>
          <w:rFonts w:ascii="Arial" w:hAnsi="Arial" w:cs="Arial"/>
        </w:rPr>
      </w:pPr>
      <w:r w:rsidRPr="00B01850">
        <w:rPr>
          <w:rFonts w:ascii="Arial" w:hAnsi="Arial" w:cs="Arial"/>
        </w:rPr>
        <w:t xml:space="preserve">Toutefois, le </w:t>
      </w:r>
      <w:r w:rsidR="008B6275" w:rsidRPr="00B01850">
        <w:rPr>
          <w:rFonts w:ascii="Arial" w:hAnsi="Arial" w:cs="Arial"/>
        </w:rPr>
        <w:t xml:space="preserve">projet </w:t>
      </w:r>
      <w:r w:rsidR="00FD4800" w:rsidRPr="00B01850">
        <w:rPr>
          <w:rFonts w:ascii="Arial" w:hAnsi="Arial" w:cs="Arial"/>
        </w:rPr>
        <w:t>soumettra</w:t>
      </w:r>
      <w:r w:rsidR="00A358C3" w:rsidRPr="00B01850">
        <w:rPr>
          <w:rFonts w:ascii="Arial" w:hAnsi="Arial" w:cs="Arial"/>
        </w:rPr>
        <w:t xml:space="preserve"> </w:t>
      </w:r>
      <w:r w:rsidR="00FD4800" w:rsidRPr="00B01850">
        <w:rPr>
          <w:rFonts w:ascii="Arial" w:hAnsi="Arial" w:cs="Arial"/>
        </w:rPr>
        <w:t xml:space="preserve">des rapports trimestriels </w:t>
      </w:r>
      <w:r w:rsidR="00E45AFC" w:rsidRPr="00B01850">
        <w:rPr>
          <w:rFonts w:ascii="Arial" w:hAnsi="Arial" w:cs="Arial"/>
        </w:rPr>
        <w:t>établis par les spécialistes en</w:t>
      </w:r>
      <w:r w:rsidR="002D02E6" w:rsidRPr="00B01850">
        <w:rPr>
          <w:rFonts w:ascii="Arial" w:hAnsi="Arial" w:cs="Arial"/>
        </w:rPr>
        <w:t xml:space="preserve"> sauvegarde de </w:t>
      </w:r>
      <w:r w:rsidR="00E45AFC" w:rsidRPr="00B01850">
        <w:rPr>
          <w:rFonts w:ascii="Arial" w:hAnsi="Arial" w:cs="Arial"/>
        </w:rPr>
        <w:t>l'</w:t>
      </w:r>
      <w:r w:rsidR="005A3D76" w:rsidRPr="00B01850">
        <w:rPr>
          <w:rFonts w:ascii="Arial" w:hAnsi="Arial" w:cs="Arial"/>
        </w:rPr>
        <w:t>UGP</w:t>
      </w:r>
      <w:r w:rsidRPr="00B01850">
        <w:rPr>
          <w:rFonts w:ascii="Arial" w:hAnsi="Arial" w:cs="Arial"/>
        </w:rPr>
        <w:t>,</w:t>
      </w:r>
      <w:r w:rsidR="005A3D76" w:rsidRPr="00B01850">
        <w:rPr>
          <w:rFonts w:ascii="Arial" w:hAnsi="Arial" w:cs="Arial"/>
        </w:rPr>
        <w:t xml:space="preserve"> </w:t>
      </w:r>
      <w:r w:rsidR="00E45AFC" w:rsidRPr="00B01850">
        <w:rPr>
          <w:rFonts w:ascii="Arial" w:hAnsi="Arial" w:cs="Arial"/>
        </w:rPr>
        <w:t xml:space="preserve">sur la mise en œuvre du PEES et </w:t>
      </w:r>
      <w:r w:rsidR="005A3D76" w:rsidRPr="00B01850">
        <w:rPr>
          <w:rFonts w:ascii="Arial" w:hAnsi="Arial" w:cs="Arial"/>
        </w:rPr>
        <w:t>d</w:t>
      </w:r>
      <w:r w:rsidR="00E45AFC" w:rsidRPr="00B01850">
        <w:rPr>
          <w:rFonts w:ascii="Arial" w:hAnsi="Arial" w:cs="Arial"/>
        </w:rPr>
        <w:t>u présent PGES</w:t>
      </w:r>
      <w:r w:rsidR="002D02E6" w:rsidRPr="00B01850">
        <w:rPr>
          <w:rFonts w:ascii="Arial" w:hAnsi="Arial" w:cs="Arial"/>
        </w:rPr>
        <w:t xml:space="preserve">. Ces derniers </w:t>
      </w:r>
      <w:r w:rsidR="00E45AFC" w:rsidRPr="00B01850">
        <w:rPr>
          <w:rFonts w:ascii="Arial" w:hAnsi="Arial" w:cs="Arial"/>
        </w:rPr>
        <w:t xml:space="preserve">prépareront des rapports de suivi trimestriels sur la performance environnementale, sociale, sanitaire et sécuritaire du projet. Les rapports </w:t>
      </w:r>
      <w:r w:rsidRPr="00B01850">
        <w:rPr>
          <w:rFonts w:ascii="Arial" w:hAnsi="Arial" w:cs="Arial"/>
        </w:rPr>
        <w:t>intégreront les informations suivantes </w:t>
      </w:r>
      <w:r w:rsidR="00E45AFC" w:rsidRPr="00B01850">
        <w:rPr>
          <w:rFonts w:ascii="Arial" w:hAnsi="Arial" w:cs="Arial"/>
        </w:rPr>
        <w:t>(voir annexe 1) :</w:t>
      </w:r>
    </w:p>
    <w:p w14:paraId="6F130B5B" w14:textId="4610CD36" w:rsidR="006E6679" w:rsidRPr="00B01850" w:rsidRDefault="006E6679" w:rsidP="00214DCC">
      <w:pPr>
        <w:pStyle w:val="ListParagraph"/>
        <w:keepLines/>
        <w:widowControl w:val="0"/>
        <w:numPr>
          <w:ilvl w:val="0"/>
          <w:numId w:val="64"/>
        </w:numPr>
        <w:spacing w:after="240" w:line="240" w:lineRule="auto"/>
        <w:jc w:val="both"/>
        <w:rPr>
          <w:rFonts w:ascii="Arial" w:hAnsi="Arial" w:cs="Arial"/>
        </w:rPr>
      </w:pPr>
      <w:r w:rsidRPr="00B01850">
        <w:rPr>
          <w:rFonts w:ascii="Arial" w:hAnsi="Arial" w:cs="Arial"/>
        </w:rPr>
        <w:t xml:space="preserve">État d'avancement de la mise en œuvre </w:t>
      </w:r>
      <w:r w:rsidR="00537892" w:rsidRPr="00B01850">
        <w:rPr>
          <w:rFonts w:ascii="Arial" w:hAnsi="Arial" w:cs="Arial"/>
        </w:rPr>
        <w:t xml:space="preserve">du PEES ainsi que des autres </w:t>
      </w:r>
      <w:r w:rsidRPr="00B01850">
        <w:rPr>
          <w:rFonts w:ascii="Arial" w:hAnsi="Arial" w:cs="Arial"/>
        </w:rPr>
        <w:t>documents</w:t>
      </w:r>
      <w:r w:rsidR="00537892" w:rsidRPr="00B01850">
        <w:rPr>
          <w:rFonts w:ascii="Arial" w:hAnsi="Arial" w:cs="Arial"/>
        </w:rPr>
        <w:t xml:space="preserve"> de sauvegarde exigés par dans l’accord de financement du CERP.</w:t>
      </w:r>
    </w:p>
    <w:p w14:paraId="48A783B1" w14:textId="42FF93FE" w:rsidR="006E6679" w:rsidRPr="00B01850" w:rsidRDefault="00892035" w:rsidP="00214DCC">
      <w:pPr>
        <w:pStyle w:val="ListParagraph"/>
        <w:keepLines/>
        <w:widowControl w:val="0"/>
        <w:numPr>
          <w:ilvl w:val="0"/>
          <w:numId w:val="64"/>
        </w:numPr>
        <w:spacing w:after="240" w:line="240" w:lineRule="auto"/>
        <w:jc w:val="both"/>
        <w:rPr>
          <w:rFonts w:ascii="Arial" w:hAnsi="Arial" w:cs="Arial"/>
        </w:rPr>
      </w:pPr>
      <w:r w:rsidRPr="00B01850">
        <w:rPr>
          <w:rFonts w:ascii="Arial" w:hAnsi="Arial" w:cs="Arial"/>
        </w:rPr>
        <w:t xml:space="preserve">Situation de la </w:t>
      </w:r>
      <w:r w:rsidR="006E6679" w:rsidRPr="00B01850">
        <w:rPr>
          <w:rFonts w:ascii="Arial" w:hAnsi="Arial" w:cs="Arial"/>
        </w:rPr>
        <w:t>mobilisation des parties prenantes menées</w:t>
      </w:r>
      <w:r w:rsidRPr="00B01850">
        <w:rPr>
          <w:rFonts w:ascii="Arial" w:hAnsi="Arial" w:cs="Arial"/>
        </w:rPr>
        <w:t xml:space="preserve"> par le projet</w:t>
      </w:r>
      <w:r w:rsidR="006E6679" w:rsidRPr="00B01850">
        <w:rPr>
          <w:rFonts w:ascii="Arial" w:hAnsi="Arial" w:cs="Arial"/>
        </w:rPr>
        <w:t>.</w:t>
      </w:r>
    </w:p>
    <w:p w14:paraId="5D73EADA" w14:textId="1BFC5E3B" w:rsidR="006E6679" w:rsidRPr="00B01850" w:rsidRDefault="00892035" w:rsidP="00214DCC">
      <w:pPr>
        <w:pStyle w:val="ListParagraph"/>
        <w:keepLines/>
        <w:widowControl w:val="0"/>
        <w:numPr>
          <w:ilvl w:val="0"/>
          <w:numId w:val="64"/>
        </w:numPr>
        <w:spacing w:after="240" w:line="240" w:lineRule="auto"/>
        <w:jc w:val="both"/>
        <w:rPr>
          <w:rFonts w:ascii="Arial" w:hAnsi="Arial" w:cs="Arial"/>
        </w:rPr>
      </w:pPr>
      <w:r w:rsidRPr="00B01850">
        <w:rPr>
          <w:rFonts w:ascii="Arial" w:hAnsi="Arial" w:cs="Arial"/>
        </w:rPr>
        <w:t>Progrès accomplis dans la résolution des plaintes relatives au projet </w:t>
      </w:r>
      <w:r w:rsidR="006E6679" w:rsidRPr="00B01850">
        <w:rPr>
          <w:rFonts w:ascii="Arial" w:hAnsi="Arial" w:cs="Arial"/>
        </w:rPr>
        <w:t xml:space="preserve">   </w:t>
      </w:r>
    </w:p>
    <w:p w14:paraId="430586F6" w14:textId="57A2AA6C" w:rsidR="006E6679" w:rsidRPr="00B01850" w:rsidRDefault="006E6679" w:rsidP="00214DCC">
      <w:pPr>
        <w:pStyle w:val="ListParagraph"/>
        <w:keepLines/>
        <w:widowControl w:val="0"/>
        <w:numPr>
          <w:ilvl w:val="0"/>
          <w:numId w:val="64"/>
        </w:numPr>
        <w:spacing w:after="240" w:line="240" w:lineRule="auto"/>
        <w:jc w:val="both"/>
        <w:rPr>
          <w:rFonts w:ascii="Arial" w:hAnsi="Arial" w:cs="Arial"/>
        </w:rPr>
      </w:pPr>
      <w:r w:rsidRPr="00B01850">
        <w:rPr>
          <w:rFonts w:ascii="Arial" w:hAnsi="Arial" w:cs="Arial"/>
        </w:rPr>
        <w:t xml:space="preserve">Performance </w:t>
      </w:r>
      <w:r w:rsidR="00FB2BA2" w:rsidRPr="00B01850">
        <w:rPr>
          <w:rFonts w:ascii="Arial" w:hAnsi="Arial" w:cs="Arial"/>
        </w:rPr>
        <w:t xml:space="preserve">globale du projet en matière de mise en œuvre des mesures </w:t>
      </w:r>
      <w:r w:rsidRPr="00B01850">
        <w:rPr>
          <w:rFonts w:ascii="Arial" w:hAnsi="Arial" w:cs="Arial"/>
        </w:rPr>
        <w:t>environnementale</w:t>
      </w:r>
      <w:r w:rsidR="000E5997" w:rsidRPr="00B01850">
        <w:rPr>
          <w:rFonts w:ascii="Arial" w:hAnsi="Arial" w:cs="Arial"/>
        </w:rPr>
        <w:t>s</w:t>
      </w:r>
      <w:r w:rsidRPr="00B01850">
        <w:rPr>
          <w:rFonts w:ascii="Arial" w:hAnsi="Arial" w:cs="Arial"/>
        </w:rPr>
        <w:t xml:space="preserve"> et sociale</w:t>
      </w:r>
      <w:r w:rsidR="000E5997" w:rsidRPr="00B01850">
        <w:rPr>
          <w:rFonts w:ascii="Arial" w:hAnsi="Arial" w:cs="Arial"/>
        </w:rPr>
        <w:t>s</w:t>
      </w:r>
      <w:r w:rsidRPr="00B01850">
        <w:rPr>
          <w:rFonts w:ascii="Arial" w:hAnsi="Arial" w:cs="Arial"/>
        </w:rPr>
        <w:t>.</w:t>
      </w:r>
    </w:p>
    <w:p w14:paraId="2D3D9545" w14:textId="3DF5DA77" w:rsidR="00B961ED" w:rsidRPr="00B01850" w:rsidRDefault="006E6679" w:rsidP="00214DCC">
      <w:pPr>
        <w:pStyle w:val="ListParagraph"/>
        <w:widowControl w:val="0"/>
        <w:numPr>
          <w:ilvl w:val="0"/>
          <w:numId w:val="25"/>
        </w:numPr>
        <w:ind w:left="421"/>
        <w:jc w:val="both"/>
        <w:rPr>
          <w:rFonts w:ascii="Arial" w:hAnsi="Arial" w:cs="Arial"/>
        </w:rPr>
      </w:pPr>
      <w:r w:rsidRPr="00B01850">
        <w:rPr>
          <w:rFonts w:ascii="Arial" w:hAnsi="Arial" w:cs="Arial"/>
        </w:rPr>
        <w:lastRenderedPageBreak/>
        <w:t xml:space="preserve">Nombre et état de résolution des incidents et accidents </w:t>
      </w:r>
      <w:r w:rsidR="0086645B" w:rsidRPr="00B01850">
        <w:rPr>
          <w:rFonts w:ascii="Arial" w:hAnsi="Arial" w:cs="Arial"/>
        </w:rPr>
        <w:t>liés aux activités du projet</w:t>
      </w:r>
      <w:r w:rsidRPr="00B01850">
        <w:rPr>
          <w:rFonts w:ascii="Arial" w:hAnsi="Arial" w:cs="Arial"/>
        </w:rPr>
        <w:t>.</w:t>
      </w:r>
    </w:p>
    <w:p w14:paraId="7A4C2DE7" w14:textId="08B1E791" w:rsidR="006E6679" w:rsidRPr="00B01850" w:rsidRDefault="00C8090A" w:rsidP="00214DCC">
      <w:pPr>
        <w:pStyle w:val="ListParagraph"/>
        <w:widowControl w:val="0"/>
        <w:numPr>
          <w:ilvl w:val="0"/>
          <w:numId w:val="25"/>
        </w:numPr>
        <w:spacing w:after="120"/>
        <w:ind w:left="418"/>
        <w:contextualSpacing w:val="0"/>
        <w:jc w:val="both"/>
        <w:rPr>
          <w:rFonts w:ascii="Arial" w:hAnsi="Arial" w:cs="Arial"/>
        </w:rPr>
      </w:pPr>
      <w:r w:rsidRPr="00B01850">
        <w:rPr>
          <w:rFonts w:ascii="Arial" w:hAnsi="Arial" w:cs="Arial"/>
        </w:rPr>
        <w:t xml:space="preserve">Compte rendu de tout </w:t>
      </w:r>
      <w:r w:rsidR="006E6679" w:rsidRPr="00B01850">
        <w:rPr>
          <w:rFonts w:ascii="Arial" w:hAnsi="Arial" w:cs="Arial"/>
        </w:rPr>
        <w:t>autre aspect demandé par l'Association.</w:t>
      </w:r>
    </w:p>
    <w:p w14:paraId="30A2DBDC" w14:textId="24B18573" w:rsidR="00B961ED" w:rsidRPr="00B01850" w:rsidRDefault="00B961ED" w:rsidP="2507F65D">
      <w:pPr>
        <w:keepLines/>
        <w:widowControl w:val="0"/>
        <w:spacing w:after="240" w:line="240" w:lineRule="auto"/>
        <w:jc w:val="both"/>
        <w:rPr>
          <w:rFonts w:ascii="Arial" w:hAnsi="Arial" w:cs="Arial"/>
        </w:rPr>
      </w:pPr>
      <w:r w:rsidRPr="00B01850">
        <w:rPr>
          <w:rFonts w:ascii="Arial" w:hAnsi="Arial" w:cs="Arial"/>
        </w:rPr>
        <w:t xml:space="preserve">Les partenaires d'exécution rendront compte de leurs obligations </w:t>
      </w:r>
      <w:r w:rsidR="006846D6" w:rsidRPr="00B01850">
        <w:rPr>
          <w:rFonts w:ascii="Arial" w:hAnsi="Arial" w:cs="Arial"/>
        </w:rPr>
        <w:t xml:space="preserve">environnementales et sociales </w:t>
      </w:r>
      <w:r w:rsidRPr="00B01850">
        <w:rPr>
          <w:rFonts w:ascii="Arial" w:hAnsi="Arial" w:cs="Arial"/>
        </w:rPr>
        <w:t xml:space="preserve">pertinentes en rapport avec leurs activités aux spécialistes </w:t>
      </w:r>
      <w:r w:rsidR="006846D6" w:rsidRPr="00B01850">
        <w:rPr>
          <w:rFonts w:ascii="Arial" w:hAnsi="Arial" w:cs="Arial"/>
        </w:rPr>
        <w:t xml:space="preserve">en sauvegarde </w:t>
      </w:r>
      <w:r w:rsidRPr="00B01850">
        <w:rPr>
          <w:rFonts w:ascii="Arial" w:hAnsi="Arial" w:cs="Arial"/>
        </w:rPr>
        <w:t>de l'U</w:t>
      </w:r>
      <w:r w:rsidR="006846D6" w:rsidRPr="00B01850">
        <w:rPr>
          <w:rFonts w:ascii="Arial" w:hAnsi="Arial" w:cs="Arial"/>
        </w:rPr>
        <w:t>G</w:t>
      </w:r>
      <w:r w:rsidRPr="00B01850">
        <w:rPr>
          <w:rFonts w:ascii="Arial" w:hAnsi="Arial" w:cs="Arial"/>
        </w:rPr>
        <w:t>P du CERP. Le contenu des rapports des partenaires sera inclus dans le rapport trimestriel global sur les questions environnementales et sociales présenté à la Banque mondiale.</w:t>
      </w:r>
    </w:p>
    <w:p w14:paraId="13276EE5" w14:textId="77777777" w:rsidR="00C86EAC" w:rsidRPr="00B01850" w:rsidRDefault="00C86EAC" w:rsidP="004A4427">
      <w:pPr>
        <w:pStyle w:val="head2"/>
        <w:numPr>
          <w:ilvl w:val="0"/>
          <w:numId w:val="0"/>
        </w:numPr>
        <w:spacing w:after="0"/>
        <w:outlineLvl w:val="1"/>
        <w:rPr>
          <w:rFonts w:ascii="Arial" w:hAnsi="Arial" w:cs="Arial"/>
        </w:rPr>
      </w:pPr>
    </w:p>
    <w:p w14:paraId="6DCC7D98" w14:textId="77777777" w:rsidR="00FF1DB9" w:rsidRPr="00B01850" w:rsidRDefault="00FF1DB9" w:rsidP="004A4427">
      <w:pPr>
        <w:pStyle w:val="head2"/>
        <w:numPr>
          <w:ilvl w:val="0"/>
          <w:numId w:val="0"/>
        </w:numPr>
        <w:spacing w:after="0"/>
        <w:outlineLvl w:val="1"/>
        <w:rPr>
          <w:rFonts w:ascii="Arial" w:hAnsi="Arial" w:cs="Arial"/>
        </w:rPr>
      </w:pPr>
    </w:p>
    <w:p w14:paraId="6C8960B9" w14:textId="77777777" w:rsidR="00FF1DB9" w:rsidRPr="00B01850" w:rsidRDefault="00FF1DB9" w:rsidP="004A4427">
      <w:pPr>
        <w:pStyle w:val="head2"/>
        <w:numPr>
          <w:ilvl w:val="0"/>
          <w:numId w:val="0"/>
        </w:numPr>
        <w:spacing w:after="0"/>
        <w:outlineLvl w:val="1"/>
        <w:rPr>
          <w:rFonts w:ascii="Arial" w:hAnsi="Arial" w:cs="Arial"/>
        </w:rPr>
      </w:pPr>
    </w:p>
    <w:p w14:paraId="4EB1403C" w14:textId="77777777" w:rsidR="00FF1DB9" w:rsidRPr="00B01850" w:rsidRDefault="00FF1DB9" w:rsidP="2507F65D">
      <w:pPr>
        <w:rPr>
          <w:rFonts w:ascii="Arial" w:eastAsiaTheme="majorEastAsia" w:hAnsi="Arial" w:cs="Arial"/>
          <w:color w:val="365F91" w:themeColor="accent1" w:themeShade="BF"/>
          <w:highlight w:val="yellow"/>
        </w:rPr>
      </w:pPr>
      <w:r w:rsidRPr="00B01850">
        <w:rPr>
          <w:rFonts w:ascii="Arial" w:hAnsi="Arial" w:cs="Arial"/>
          <w:highlight w:val="yellow"/>
        </w:rPr>
        <w:br w:type="page"/>
      </w:r>
    </w:p>
    <w:p w14:paraId="6FD9731D" w14:textId="10DDD5C0" w:rsidR="00FF1DB9" w:rsidRPr="00B01850" w:rsidRDefault="00DD10A0" w:rsidP="00AE230E">
      <w:pPr>
        <w:pStyle w:val="Heading1"/>
        <w:rPr>
          <w:rFonts w:ascii="Arial" w:hAnsi="Arial" w:cs="Arial"/>
          <w:color w:val="auto"/>
          <w:sz w:val="22"/>
          <w:szCs w:val="22"/>
        </w:rPr>
      </w:pPr>
      <w:bookmarkStart w:id="142" w:name="_Toc138726628"/>
      <w:bookmarkStart w:id="143" w:name="_Hlk196718713"/>
      <w:bookmarkStart w:id="144" w:name="_Toc197382159"/>
      <w:r w:rsidRPr="00B01850">
        <w:rPr>
          <w:rFonts w:ascii="Arial" w:hAnsi="Arial" w:cs="Arial"/>
          <w:color w:val="auto"/>
          <w:sz w:val="22"/>
          <w:szCs w:val="22"/>
        </w:rPr>
        <w:lastRenderedPageBreak/>
        <w:t>Annexe 1 : Liste de contrôle pour l'établissement de rapports environnementaux et sociaux sur les activités du projet</w:t>
      </w:r>
      <w:bookmarkEnd w:id="142"/>
      <w:bookmarkEnd w:id="144"/>
    </w:p>
    <w:bookmarkEnd w:id="143"/>
    <w:p w14:paraId="742B7876" w14:textId="77777777" w:rsidR="00FF1DB9" w:rsidRPr="00B01850" w:rsidRDefault="00FF1DB9" w:rsidP="004A4427">
      <w:pPr>
        <w:pStyle w:val="head2"/>
        <w:numPr>
          <w:ilvl w:val="0"/>
          <w:numId w:val="0"/>
        </w:numPr>
        <w:spacing w:after="0"/>
        <w:outlineLvl w:val="1"/>
        <w:rPr>
          <w:rFonts w:ascii="Arial" w:hAnsi="Arial" w:cs="Arial"/>
        </w:rPr>
      </w:pPr>
    </w:p>
    <w:p w14:paraId="1B3D7DDF" w14:textId="3E49232D" w:rsidR="00DD10A0" w:rsidRPr="00B01850" w:rsidRDefault="00916082" w:rsidP="00AE230E">
      <w:pPr>
        <w:spacing w:after="0" w:line="240" w:lineRule="auto"/>
        <w:jc w:val="both"/>
        <w:rPr>
          <w:rFonts w:ascii="Arial" w:hAnsi="Arial" w:cs="Arial"/>
        </w:rPr>
      </w:pPr>
      <w:r w:rsidRPr="00B01850">
        <w:rPr>
          <w:rFonts w:ascii="Arial" w:hAnsi="Arial" w:cs="Arial"/>
        </w:rPr>
        <w:t xml:space="preserve">L’élaboration et la transmission à la Banque mondiale des rapports de mise en œuvre des mesures de sauvegarde indiquées dans le PEES, s’avère également contractuelles pour les spécialistes en sauvegarde ainsi que pour l’Unité de Gestion du Projet. </w:t>
      </w:r>
      <w:r w:rsidR="003E1968" w:rsidRPr="00B01850">
        <w:rPr>
          <w:rFonts w:ascii="Arial" w:hAnsi="Arial" w:cs="Arial"/>
        </w:rPr>
        <w:t>L</w:t>
      </w:r>
      <w:r w:rsidRPr="00B01850">
        <w:rPr>
          <w:rFonts w:ascii="Arial" w:hAnsi="Arial" w:cs="Arial"/>
        </w:rPr>
        <w:t xml:space="preserve">’UGP du CERP </w:t>
      </w:r>
      <w:r w:rsidR="00DD10A0" w:rsidRPr="00B01850">
        <w:rPr>
          <w:rFonts w:ascii="Arial" w:hAnsi="Arial" w:cs="Arial"/>
        </w:rPr>
        <w:t xml:space="preserve">préparera </w:t>
      </w:r>
      <w:r w:rsidR="003E1968" w:rsidRPr="00B01850">
        <w:rPr>
          <w:rFonts w:ascii="Arial" w:hAnsi="Arial" w:cs="Arial"/>
        </w:rPr>
        <w:t xml:space="preserve">à cet effet, des rapports conformément aux différentes mesures exigées dans le PEES à l’attention </w:t>
      </w:r>
      <w:r w:rsidR="00DD10A0" w:rsidRPr="00B01850">
        <w:rPr>
          <w:rFonts w:ascii="Arial" w:hAnsi="Arial" w:cs="Arial"/>
        </w:rPr>
        <w:t>des partenaires d'exécution</w:t>
      </w:r>
      <w:r w:rsidR="003E1968" w:rsidRPr="00B01850">
        <w:rPr>
          <w:rFonts w:ascii="Arial" w:hAnsi="Arial" w:cs="Arial"/>
        </w:rPr>
        <w:t xml:space="preserve">, </w:t>
      </w:r>
      <w:r w:rsidR="00DD10A0" w:rsidRPr="00B01850">
        <w:rPr>
          <w:rFonts w:ascii="Arial" w:hAnsi="Arial" w:cs="Arial"/>
        </w:rPr>
        <w:t>du</w:t>
      </w:r>
      <w:r w:rsidR="003E1968" w:rsidRPr="00B01850">
        <w:rPr>
          <w:rFonts w:ascii="Arial" w:hAnsi="Arial" w:cs="Arial"/>
        </w:rPr>
        <w:t xml:space="preserve"> Comité Permanent de Réponse d'Urgence (SERC), </w:t>
      </w:r>
      <w:r w:rsidR="00025EA0" w:rsidRPr="00B01850">
        <w:rPr>
          <w:rFonts w:ascii="Arial" w:hAnsi="Arial" w:cs="Arial"/>
        </w:rPr>
        <w:t>du MEF ainsi que de la Banque mondiale.</w:t>
      </w:r>
    </w:p>
    <w:p w14:paraId="21129401" w14:textId="77777777" w:rsidR="00DD10A0" w:rsidRPr="00B01850" w:rsidRDefault="00DD10A0" w:rsidP="2507F65D">
      <w:pPr>
        <w:spacing w:after="0" w:line="240" w:lineRule="auto"/>
        <w:jc w:val="both"/>
        <w:rPr>
          <w:rFonts w:ascii="Arial" w:hAnsi="Arial" w:cs="Arial"/>
          <w:i/>
          <w:iCs/>
        </w:rPr>
      </w:pPr>
    </w:p>
    <w:p w14:paraId="60C4A27C" w14:textId="0A2F0F0D" w:rsidR="00DD10A0" w:rsidRPr="00B01850" w:rsidRDefault="00DD10A0" w:rsidP="00AE230E">
      <w:pPr>
        <w:spacing w:after="0" w:line="240" w:lineRule="auto"/>
        <w:jc w:val="both"/>
        <w:rPr>
          <w:rFonts w:ascii="Arial" w:hAnsi="Arial" w:cs="Arial"/>
          <w:b/>
          <w:bCs/>
        </w:rPr>
      </w:pPr>
      <w:r w:rsidRPr="00B01850">
        <w:rPr>
          <w:rFonts w:ascii="Arial" w:hAnsi="Arial" w:cs="Arial"/>
          <w:b/>
          <w:bCs/>
        </w:rPr>
        <w:t xml:space="preserve">Modèle de rapport trimestriel sur les aspects environnementaux et sociaux du CERP </w:t>
      </w:r>
    </w:p>
    <w:p w14:paraId="729A4AC2" w14:textId="77777777" w:rsidR="00DD10A0" w:rsidRPr="00B01850" w:rsidRDefault="00DD10A0" w:rsidP="00AE230E">
      <w:pPr>
        <w:spacing w:after="0" w:line="240" w:lineRule="auto"/>
        <w:jc w:val="both"/>
        <w:rPr>
          <w:rFonts w:ascii="Arial" w:hAnsi="Arial" w:cs="Arial"/>
        </w:rPr>
      </w:pPr>
    </w:p>
    <w:p w14:paraId="2432DAE8" w14:textId="16D74A05" w:rsidR="00DD10A0" w:rsidRPr="00B01850" w:rsidRDefault="00DD10A0" w:rsidP="00AE230E">
      <w:pPr>
        <w:spacing w:after="0" w:line="240" w:lineRule="auto"/>
        <w:jc w:val="both"/>
        <w:rPr>
          <w:rFonts w:ascii="Arial" w:hAnsi="Arial" w:cs="Arial"/>
        </w:rPr>
      </w:pPr>
      <w:r w:rsidRPr="00B01850">
        <w:rPr>
          <w:rFonts w:ascii="Arial" w:hAnsi="Arial" w:cs="Arial"/>
        </w:rPr>
        <w:t>Les objectifs du rapport périodique sont les suivants :</w:t>
      </w:r>
    </w:p>
    <w:p w14:paraId="4E04B572" w14:textId="77777777" w:rsidR="00DD10A0" w:rsidRPr="00B01850" w:rsidRDefault="00DD10A0" w:rsidP="00AE230E">
      <w:pPr>
        <w:spacing w:after="0" w:line="240" w:lineRule="auto"/>
        <w:jc w:val="both"/>
        <w:rPr>
          <w:rFonts w:ascii="Arial" w:hAnsi="Arial" w:cs="Arial"/>
        </w:rPr>
      </w:pPr>
    </w:p>
    <w:p w14:paraId="25B1B4FA" w14:textId="54E200AB" w:rsidR="00DD10A0" w:rsidRPr="00B01850" w:rsidRDefault="00DD10A0" w:rsidP="00AE230E">
      <w:pPr>
        <w:spacing w:after="0" w:line="240" w:lineRule="auto"/>
        <w:jc w:val="both"/>
        <w:rPr>
          <w:rFonts w:ascii="Arial" w:hAnsi="Arial" w:cs="Arial"/>
        </w:rPr>
      </w:pPr>
      <w:r w:rsidRPr="00B01850">
        <w:rPr>
          <w:rFonts w:ascii="Arial" w:hAnsi="Arial" w:cs="Arial"/>
        </w:rPr>
        <w:t xml:space="preserve">Enregistrer les impacts et risques environnementaux et sociaux résultant des activités du projet et assurer la mise en œuvre des mesures d'atténuation, de suivi et institutionnelles identifiées dans le Plan d'engagement environnemental et social (PEES) et le PGES, la fonctionnalité du MRP, les accidents et tout autre instrument environnemental et social, par exemple les procédures de gestion de la main-d'œuvre, afin de réduire les impacts négatifs et les risques et d'améliorer les effets positifs des activités spécifiques du projet ; </w:t>
      </w:r>
    </w:p>
    <w:p w14:paraId="2D789724" w14:textId="77777777" w:rsidR="00DD10A0" w:rsidRPr="00B01850" w:rsidRDefault="00DD10A0" w:rsidP="00AE230E">
      <w:pPr>
        <w:spacing w:after="0" w:line="240" w:lineRule="auto"/>
        <w:jc w:val="both"/>
        <w:rPr>
          <w:rFonts w:ascii="Arial" w:hAnsi="Arial" w:cs="Arial"/>
        </w:rPr>
      </w:pPr>
    </w:p>
    <w:p w14:paraId="064AFC06" w14:textId="3156E848" w:rsidR="00DD10A0" w:rsidRPr="00B01850" w:rsidRDefault="00DD10A0" w:rsidP="00AE230E">
      <w:pPr>
        <w:spacing w:after="0" w:line="240" w:lineRule="auto"/>
        <w:jc w:val="both"/>
        <w:rPr>
          <w:rFonts w:ascii="Arial" w:hAnsi="Arial" w:cs="Arial"/>
        </w:rPr>
      </w:pPr>
      <w:r w:rsidRPr="00B01850">
        <w:rPr>
          <w:rFonts w:ascii="Arial" w:hAnsi="Arial" w:cs="Arial"/>
        </w:rPr>
        <w:t>Identifier et traiter tous les impacts ou risques environnementaux et sociaux inattendus ou imprévus pouvant survenir pendant la période couverte par le rapport ;</w:t>
      </w:r>
    </w:p>
    <w:p w14:paraId="05B331A6" w14:textId="77777777" w:rsidR="00DD10A0" w:rsidRPr="00B01850" w:rsidRDefault="00DD10A0" w:rsidP="00AE230E">
      <w:pPr>
        <w:spacing w:after="0" w:line="240" w:lineRule="auto"/>
        <w:jc w:val="both"/>
        <w:rPr>
          <w:rFonts w:ascii="Arial" w:hAnsi="Arial" w:cs="Arial"/>
        </w:rPr>
      </w:pPr>
      <w:r w:rsidRPr="00B01850">
        <w:rPr>
          <w:rFonts w:ascii="Arial" w:hAnsi="Arial" w:cs="Arial"/>
        </w:rPr>
        <w:t xml:space="preserve">  </w:t>
      </w:r>
    </w:p>
    <w:p w14:paraId="46845B03" w14:textId="77FAA369" w:rsidR="00DD10A0" w:rsidRPr="00B01850" w:rsidRDefault="00DD10A0" w:rsidP="00AE230E">
      <w:pPr>
        <w:spacing w:after="0" w:line="240" w:lineRule="auto"/>
        <w:jc w:val="both"/>
        <w:rPr>
          <w:rFonts w:ascii="Arial" w:hAnsi="Arial" w:cs="Arial"/>
        </w:rPr>
      </w:pPr>
      <w:r w:rsidRPr="00B01850">
        <w:rPr>
          <w:rFonts w:ascii="Arial" w:hAnsi="Arial" w:cs="Arial"/>
        </w:rPr>
        <w:t>Résoudre tout problème inattendu susceptible d'avoir une incidence sur la mise en œuvre du projet ou sur le respect des exigences environnementales et sociales ;</w:t>
      </w:r>
    </w:p>
    <w:p w14:paraId="5EA45449" w14:textId="77777777" w:rsidR="00DD10A0" w:rsidRPr="00B01850" w:rsidRDefault="00DD10A0" w:rsidP="00AE230E">
      <w:pPr>
        <w:spacing w:after="0" w:line="240" w:lineRule="auto"/>
        <w:jc w:val="both"/>
        <w:rPr>
          <w:rFonts w:ascii="Arial" w:hAnsi="Arial" w:cs="Arial"/>
        </w:rPr>
      </w:pPr>
    </w:p>
    <w:p w14:paraId="61425853" w14:textId="524E124C" w:rsidR="00DD10A0" w:rsidRPr="00B01850" w:rsidRDefault="00DD10A0" w:rsidP="00AE230E">
      <w:pPr>
        <w:spacing w:after="0" w:line="240" w:lineRule="auto"/>
        <w:jc w:val="both"/>
        <w:rPr>
          <w:rFonts w:ascii="Arial" w:hAnsi="Arial" w:cs="Arial"/>
        </w:rPr>
      </w:pPr>
      <w:r w:rsidRPr="00B01850">
        <w:rPr>
          <w:rFonts w:ascii="Arial" w:hAnsi="Arial" w:cs="Arial"/>
        </w:rPr>
        <w:t>Veiller à ce que la mise en œuvre du projet soit conforme à la NES de la Banque mondiale ;</w:t>
      </w:r>
    </w:p>
    <w:p w14:paraId="49433FE5" w14:textId="77777777" w:rsidR="00DD10A0" w:rsidRPr="00B01850" w:rsidRDefault="00DD10A0" w:rsidP="00AE230E">
      <w:pPr>
        <w:spacing w:after="0" w:line="240" w:lineRule="auto"/>
        <w:jc w:val="both"/>
        <w:rPr>
          <w:rFonts w:ascii="Arial" w:hAnsi="Arial" w:cs="Arial"/>
        </w:rPr>
      </w:pPr>
    </w:p>
    <w:p w14:paraId="33F70291" w14:textId="1DFADB60" w:rsidR="00DD10A0" w:rsidRPr="00B01850" w:rsidRDefault="00DD10A0" w:rsidP="00AE230E">
      <w:pPr>
        <w:spacing w:after="0" w:line="240" w:lineRule="auto"/>
        <w:jc w:val="both"/>
        <w:rPr>
          <w:rFonts w:ascii="Arial" w:hAnsi="Arial" w:cs="Arial"/>
        </w:rPr>
      </w:pPr>
      <w:r w:rsidRPr="00B01850">
        <w:rPr>
          <w:rFonts w:ascii="Arial" w:hAnsi="Arial" w:cs="Arial"/>
        </w:rPr>
        <w:t>Veiller à l'élaboration et à la mise en œuvre des plans de gestion de l'hygiène et de la sécurité au travail nécessaires pour identifier les dangers et atténuer les risques, afin de garantir des procédures de travail sûres ;</w:t>
      </w:r>
    </w:p>
    <w:p w14:paraId="262A4E5E" w14:textId="77777777" w:rsidR="00DD10A0" w:rsidRPr="00B01850" w:rsidRDefault="00DD10A0" w:rsidP="00AE230E">
      <w:pPr>
        <w:spacing w:after="0" w:line="240" w:lineRule="auto"/>
        <w:jc w:val="both"/>
        <w:rPr>
          <w:rFonts w:ascii="Arial" w:hAnsi="Arial" w:cs="Arial"/>
        </w:rPr>
      </w:pPr>
    </w:p>
    <w:p w14:paraId="400D2FE2" w14:textId="4133085E" w:rsidR="00DD10A0" w:rsidRPr="00B01850" w:rsidRDefault="00DD10A0" w:rsidP="00AE230E">
      <w:pPr>
        <w:spacing w:after="0" w:line="240" w:lineRule="auto"/>
        <w:jc w:val="both"/>
        <w:rPr>
          <w:rFonts w:ascii="Arial" w:hAnsi="Arial" w:cs="Arial"/>
        </w:rPr>
      </w:pPr>
      <w:r w:rsidRPr="00B01850">
        <w:rPr>
          <w:rFonts w:ascii="Arial" w:hAnsi="Arial" w:cs="Arial"/>
        </w:rPr>
        <w:t xml:space="preserve">Signaler tout changement dans les activités du projet nécessitant une modification substantielle du PEES et/ou d'autres instruments du projet (PGES, procédures de gestion de la main-d'œuvre, etc.) pendant la période de suivi ; et </w:t>
      </w:r>
    </w:p>
    <w:p w14:paraId="54F2D2BB" w14:textId="77777777" w:rsidR="00DD10A0" w:rsidRPr="00B01850" w:rsidRDefault="00DD10A0" w:rsidP="00AE230E">
      <w:pPr>
        <w:spacing w:after="0" w:line="240" w:lineRule="auto"/>
        <w:jc w:val="both"/>
        <w:rPr>
          <w:rFonts w:ascii="Arial" w:hAnsi="Arial" w:cs="Arial"/>
        </w:rPr>
      </w:pPr>
    </w:p>
    <w:p w14:paraId="028B43C7" w14:textId="77777777" w:rsidR="00DD10A0" w:rsidRPr="00B01850" w:rsidRDefault="00DD10A0" w:rsidP="1F41E3DA">
      <w:pPr>
        <w:spacing w:after="0" w:line="240" w:lineRule="auto"/>
        <w:jc w:val="both"/>
        <w:rPr>
          <w:rFonts w:ascii="Arial" w:hAnsi="Arial" w:cs="Arial"/>
        </w:rPr>
      </w:pPr>
      <w:r w:rsidRPr="00B01850">
        <w:rPr>
          <w:rFonts w:ascii="Arial" w:hAnsi="Arial" w:cs="Arial"/>
        </w:rPr>
        <w:t xml:space="preserve">Proposer des mesures d'atténuation et des mesures ou actions correctives pour les risques et effets environnementaux et sociaux négatifs imprévus identifiés pendant la période de suivi du Projet.  </w:t>
      </w:r>
    </w:p>
    <w:p w14:paraId="33B3D5BA" w14:textId="77777777" w:rsidR="00DD10A0" w:rsidRPr="00B01850" w:rsidRDefault="00DD10A0" w:rsidP="00AE230E">
      <w:pPr>
        <w:spacing w:after="0" w:line="240" w:lineRule="auto"/>
        <w:jc w:val="both"/>
        <w:rPr>
          <w:rFonts w:ascii="Arial" w:hAnsi="Arial" w:cs="Arial"/>
        </w:rPr>
      </w:pPr>
    </w:p>
    <w:p w14:paraId="151B0F66" w14:textId="77777777" w:rsidR="00DD10A0" w:rsidRPr="00B01850" w:rsidRDefault="00DD10A0" w:rsidP="00AE230E">
      <w:pPr>
        <w:spacing w:after="0" w:line="240" w:lineRule="auto"/>
        <w:jc w:val="both"/>
        <w:rPr>
          <w:rFonts w:ascii="Arial" w:hAnsi="Arial" w:cs="Arial"/>
        </w:rPr>
      </w:pPr>
      <w:r w:rsidRPr="00B01850">
        <w:rPr>
          <w:rFonts w:ascii="Arial" w:hAnsi="Arial" w:cs="Arial"/>
        </w:rPr>
        <w:t xml:space="preserve">Veuillez remplir TOUTES les informations suivantes dans le modèle suivant. S'il n'y a pas de titre applicable pour des informations particulières, veuillez inclure une section intitulée Autre ou un autre titre approprié et inclure l'information.  En outre, un texte peut être inclus sous n'importe quel tableau, ou en annexe supplémentaire, pour mieux justifier un sujet, fournir des détails supplémentaires sur un sujet si nécessaire. </w:t>
      </w:r>
    </w:p>
    <w:p w14:paraId="4A2A89D4" w14:textId="77777777" w:rsidR="00DD10A0" w:rsidRPr="00B01850" w:rsidRDefault="00DD10A0" w:rsidP="00AE230E">
      <w:pPr>
        <w:spacing w:after="0" w:line="240" w:lineRule="auto"/>
        <w:jc w:val="both"/>
        <w:rPr>
          <w:rFonts w:ascii="Arial" w:hAnsi="Arial" w:cs="Arial"/>
        </w:rPr>
      </w:pPr>
    </w:p>
    <w:p w14:paraId="5CF678AF" w14:textId="77777777" w:rsidR="00DD10A0" w:rsidRPr="00B01850" w:rsidRDefault="00DD10A0" w:rsidP="00476FF6">
      <w:pPr>
        <w:spacing w:after="0" w:line="240" w:lineRule="auto"/>
        <w:jc w:val="both"/>
        <w:rPr>
          <w:rFonts w:ascii="Arial" w:hAnsi="Arial" w:cs="Arial"/>
        </w:rPr>
      </w:pPr>
      <w:r w:rsidRPr="00B01850">
        <w:rPr>
          <w:rFonts w:ascii="Arial" w:hAnsi="Arial" w:cs="Arial"/>
        </w:rPr>
        <w:t xml:space="preserve">Si vous souhaitez transmettre d'autres informations, faites-le. Si vous avez besoin de colonnes ou de lignes supplémentaires pour compléter les tableaux, veuillez en ajouter si nécessaire. </w:t>
      </w:r>
      <w:r w:rsidRPr="00B01850">
        <w:rPr>
          <w:rFonts w:ascii="Arial" w:hAnsi="Arial" w:cs="Arial"/>
        </w:rPr>
        <w:lastRenderedPageBreak/>
        <w:t>Cependant, veuillez NE PAS supprimer des colonnes de tableaux ou des sections du modèle. Indiquer plutôt comme sans objet ou sans objet pour la période considérée.</w:t>
      </w:r>
    </w:p>
    <w:p w14:paraId="24496D8C" w14:textId="77777777" w:rsidR="00DD10A0" w:rsidRPr="00B01850" w:rsidRDefault="00DD10A0" w:rsidP="00AE230E">
      <w:pPr>
        <w:spacing w:after="0" w:line="240" w:lineRule="auto"/>
        <w:jc w:val="both"/>
        <w:rPr>
          <w:rFonts w:ascii="Arial" w:hAnsi="Arial" w:cs="Arial"/>
        </w:rPr>
      </w:pPr>
    </w:p>
    <w:p w14:paraId="7680B646" w14:textId="77777777" w:rsidR="00DD10A0" w:rsidRPr="00B01850" w:rsidRDefault="00DD10A0" w:rsidP="2507F65D">
      <w:pPr>
        <w:spacing w:after="0" w:line="240" w:lineRule="auto"/>
        <w:jc w:val="both"/>
        <w:rPr>
          <w:rFonts w:ascii="Arial" w:hAnsi="Arial" w:cs="Arial"/>
          <w:i/>
          <w:iCs/>
        </w:rPr>
      </w:pPr>
      <w:r w:rsidRPr="00B01850">
        <w:rPr>
          <w:rFonts w:ascii="Arial" w:hAnsi="Arial" w:cs="Arial"/>
          <w:i/>
          <w:iCs/>
        </w:rPr>
        <w:t>Veuillez supprimer cette section de la note d'orientation lors de la compilation du rapport.</w:t>
      </w:r>
    </w:p>
    <w:p w14:paraId="0A616A56" w14:textId="77777777" w:rsidR="00DD5DF1" w:rsidRPr="00B01850" w:rsidRDefault="00DD5DF1" w:rsidP="00476FF6">
      <w:pPr>
        <w:spacing w:after="0" w:line="240" w:lineRule="auto"/>
        <w:jc w:val="both"/>
        <w:rPr>
          <w:rFonts w:ascii="Arial" w:hAnsi="Arial" w:cs="Arial"/>
          <w:b/>
          <w:bCs/>
        </w:rPr>
      </w:pPr>
    </w:p>
    <w:p w14:paraId="4B605F52" w14:textId="3DA1FC86" w:rsidR="00DD10A0" w:rsidRPr="00B01850" w:rsidRDefault="00DD10A0" w:rsidP="00AE230E">
      <w:pPr>
        <w:spacing w:after="0" w:line="240" w:lineRule="auto"/>
        <w:jc w:val="both"/>
        <w:rPr>
          <w:rFonts w:ascii="Arial" w:hAnsi="Arial" w:cs="Arial"/>
          <w:b/>
          <w:bCs/>
        </w:rPr>
      </w:pPr>
      <w:r w:rsidRPr="00B01850">
        <w:rPr>
          <w:rFonts w:ascii="Arial" w:hAnsi="Arial" w:cs="Arial"/>
          <w:b/>
          <w:bCs/>
        </w:rPr>
        <w:t>Modèle proposé</w:t>
      </w:r>
    </w:p>
    <w:p w14:paraId="4B35B1F1" w14:textId="77777777" w:rsidR="00DD10A0" w:rsidRPr="00B01850" w:rsidRDefault="00DD10A0" w:rsidP="00AE230E">
      <w:pPr>
        <w:spacing w:after="0" w:line="240" w:lineRule="auto"/>
        <w:jc w:val="both"/>
        <w:rPr>
          <w:rFonts w:ascii="Arial" w:hAnsi="Arial" w:cs="Arial"/>
        </w:rPr>
      </w:pPr>
    </w:p>
    <w:tbl>
      <w:tblPr>
        <w:tblStyle w:val="TableGrid"/>
        <w:tblW w:w="0" w:type="auto"/>
        <w:tblLook w:val="04A0" w:firstRow="1" w:lastRow="0" w:firstColumn="1" w:lastColumn="0" w:noHBand="0" w:noVBand="1"/>
      </w:tblPr>
      <w:tblGrid>
        <w:gridCol w:w="4225"/>
        <w:gridCol w:w="5125"/>
      </w:tblGrid>
      <w:tr w:rsidR="00476FF6" w:rsidRPr="00B01850" w14:paraId="6B6C9F2D" w14:textId="77777777" w:rsidTr="2507F65D">
        <w:trPr>
          <w:trHeight w:val="300"/>
        </w:trPr>
        <w:tc>
          <w:tcPr>
            <w:tcW w:w="4225" w:type="dxa"/>
          </w:tcPr>
          <w:p w14:paraId="65F84CA1"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Intitulé du projet</w:t>
            </w:r>
          </w:p>
        </w:tc>
        <w:tc>
          <w:tcPr>
            <w:tcW w:w="5125" w:type="dxa"/>
          </w:tcPr>
          <w:p w14:paraId="01A0B3C7" w14:textId="77777777" w:rsidR="00DD10A0" w:rsidRPr="00B01850" w:rsidRDefault="00DD10A0" w:rsidP="00AE230E">
            <w:pPr>
              <w:jc w:val="both"/>
              <w:rPr>
                <w:rFonts w:ascii="Arial" w:hAnsi="Arial" w:cs="Arial"/>
                <w:sz w:val="22"/>
                <w:szCs w:val="22"/>
              </w:rPr>
            </w:pPr>
          </w:p>
        </w:tc>
      </w:tr>
      <w:tr w:rsidR="00476FF6" w:rsidRPr="00B01850" w14:paraId="211BD586" w14:textId="77777777" w:rsidTr="2507F65D">
        <w:trPr>
          <w:trHeight w:val="300"/>
        </w:trPr>
        <w:tc>
          <w:tcPr>
            <w:tcW w:w="4225" w:type="dxa"/>
          </w:tcPr>
          <w:p w14:paraId="42AB27DC"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Code du projet</w:t>
            </w:r>
          </w:p>
        </w:tc>
        <w:tc>
          <w:tcPr>
            <w:tcW w:w="5125" w:type="dxa"/>
          </w:tcPr>
          <w:p w14:paraId="3B24F66E" w14:textId="77777777" w:rsidR="00DD10A0" w:rsidRPr="00B01850" w:rsidRDefault="00DD10A0" w:rsidP="00AE230E">
            <w:pPr>
              <w:jc w:val="both"/>
              <w:rPr>
                <w:rFonts w:ascii="Arial" w:hAnsi="Arial" w:cs="Arial"/>
                <w:sz w:val="22"/>
                <w:szCs w:val="22"/>
              </w:rPr>
            </w:pPr>
          </w:p>
        </w:tc>
      </w:tr>
      <w:tr w:rsidR="00476FF6" w:rsidRPr="00B01850" w14:paraId="7697C000" w14:textId="77777777" w:rsidTr="2507F65D">
        <w:trPr>
          <w:trHeight w:val="300"/>
        </w:trPr>
        <w:tc>
          <w:tcPr>
            <w:tcW w:w="4225" w:type="dxa"/>
          </w:tcPr>
          <w:p w14:paraId="12BB7528"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Montant du projet (ou montant de la composante le cas échéant)</w:t>
            </w:r>
          </w:p>
        </w:tc>
        <w:tc>
          <w:tcPr>
            <w:tcW w:w="5125" w:type="dxa"/>
          </w:tcPr>
          <w:p w14:paraId="3C8A3F39" w14:textId="77777777" w:rsidR="00DD10A0" w:rsidRPr="00B01850" w:rsidRDefault="00DD10A0" w:rsidP="00AE230E">
            <w:pPr>
              <w:jc w:val="both"/>
              <w:rPr>
                <w:rFonts w:ascii="Arial" w:hAnsi="Arial" w:cs="Arial"/>
                <w:sz w:val="22"/>
                <w:szCs w:val="22"/>
              </w:rPr>
            </w:pPr>
          </w:p>
        </w:tc>
      </w:tr>
      <w:tr w:rsidR="00476FF6" w:rsidRPr="00B01850" w14:paraId="71CD79FE" w14:textId="77777777" w:rsidTr="2507F65D">
        <w:trPr>
          <w:trHeight w:val="300"/>
        </w:trPr>
        <w:tc>
          <w:tcPr>
            <w:tcW w:w="4225" w:type="dxa"/>
          </w:tcPr>
          <w:p w14:paraId="35527FA0"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Date d'approbation par le Conseil </w:t>
            </w:r>
          </w:p>
        </w:tc>
        <w:tc>
          <w:tcPr>
            <w:tcW w:w="5125" w:type="dxa"/>
          </w:tcPr>
          <w:p w14:paraId="38F6DBB1" w14:textId="77777777" w:rsidR="00DD10A0" w:rsidRPr="00B01850" w:rsidRDefault="00DD10A0" w:rsidP="00AE230E">
            <w:pPr>
              <w:jc w:val="both"/>
              <w:rPr>
                <w:rFonts w:ascii="Arial" w:hAnsi="Arial" w:cs="Arial"/>
                <w:sz w:val="22"/>
                <w:szCs w:val="22"/>
              </w:rPr>
            </w:pPr>
          </w:p>
        </w:tc>
      </w:tr>
      <w:tr w:rsidR="00476FF6" w:rsidRPr="00B01850" w14:paraId="431BC952" w14:textId="77777777" w:rsidTr="2507F65D">
        <w:trPr>
          <w:trHeight w:val="300"/>
        </w:trPr>
        <w:tc>
          <w:tcPr>
            <w:tcW w:w="4225" w:type="dxa"/>
          </w:tcPr>
          <w:p w14:paraId="2D3B3F9C"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Agent partenaire | organisme d’exécution </w:t>
            </w:r>
          </w:p>
        </w:tc>
        <w:tc>
          <w:tcPr>
            <w:tcW w:w="5125" w:type="dxa"/>
          </w:tcPr>
          <w:p w14:paraId="5503FCB1" w14:textId="77777777" w:rsidR="00DD10A0" w:rsidRPr="00B01850" w:rsidRDefault="00DD10A0" w:rsidP="00AE230E">
            <w:pPr>
              <w:jc w:val="both"/>
              <w:rPr>
                <w:rFonts w:ascii="Arial" w:hAnsi="Arial" w:cs="Arial"/>
                <w:sz w:val="22"/>
                <w:szCs w:val="22"/>
              </w:rPr>
            </w:pPr>
          </w:p>
        </w:tc>
      </w:tr>
      <w:tr w:rsidR="00476FF6" w:rsidRPr="00B01850" w14:paraId="5E3F6FAD" w14:textId="77777777" w:rsidTr="2507F65D">
        <w:trPr>
          <w:trHeight w:val="300"/>
        </w:trPr>
        <w:tc>
          <w:tcPr>
            <w:tcW w:w="4225" w:type="dxa"/>
          </w:tcPr>
          <w:p w14:paraId="071D439F"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Normes ESS applicables/Politiques opérationnelles de sauvegarde</w:t>
            </w:r>
          </w:p>
        </w:tc>
        <w:tc>
          <w:tcPr>
            <w:tcW w:w="5125" w:type="dxa"/>
          </w:tcPr>
          <w:p w14:paraId="08B7EE5A" w14:textId="77777777" w:rsidR="00DD10A0" w:rsidRPr="00B01850" w:rsidRDefault="00DD10A0" w:rsidP="00AE230E">
            <w:pPr>
              <w:jc w:val="both"/>
              <w:rPr>
                <w:rFonts w:ascii="Arial" w:hAnsi="Arial" w:cs="Arial"/>
                <w:sz w:val="22"/>
                <w:szCs w:val="22"/>
              </w:rPr>
            </w:pPr>
          </w:p>
        </w:tc>
      </w:tr>
      <w:tr w:rsidR="00476FF6" w:rsidRPr="00B01850" w14:paraId="7F0027FA" w14:textId="77777777" w:rsidTr="2507F65D">
        <w:trPr>
          <w:trHeight w:val="300"/>
        </w:trPr>
        <w:tc>
          <w:tcPr>
            <w:tcW w:w="4225" w:type="dxa"/>
          </w:tcPr>
          <w:p w14:paraId="0AEB0244"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Période de suivi </w:t>
            </w:r>
          </w:p>
        </w:tc>
        <w:tc>
          <w:tcPr>
            <w:tcW w:w="5125" w:type="dxa"/>
          </w:tcPr>
          <w:p w14:paraId="74C29662" w14:textId="77777777" w:rsidR="00DD10A0" w:rsidRPr="00B01850" w:rsidRDefault="00DD10A0" w:rsidP="00AE230E">
            <w:pPr>
              <w:jc w:val="both"/>
              <w:rPr>
                <w:rFonts w:ascii="Arial" w:hAnsi="Arial" w:cs="Arial"/>
                <w:sz w:val="22"/>
                <w:szCs w:val="22"/>
              </w:rPr>
            </w:pPr>
          </w:p>
        </w:tc>
      </w:tr>
    </w:tbl>
    <w:p w14:paraId="4F21B083" w14:textId="77777777" w:rsidR="00DD10A0" w:rsidRPr="00B01850" w:rsidRDefault="00DD10A0" w:rsidP="00AE230E">
      <w:pPr>
        <w:spacing w:after="0" w:line="240" w:lineRule="auto"/>
        <w:jc w:val="both"/>
        <w:rPr>
          <w:rFonts w:ascii="Arial" w:hAnsi="Arial" w:cs="Arial"/>
        </w:rPr>
      </w:pPr>
    </w:p>
    <w:p w14:paraId="5A7D6D27" w14:textId="77777777" w:rsidR="00DD10A0" w:rsidRPr="00B01850" w:rsidRDefault="00DD10A0" w:rsidP="00AE230E">
      <w:pPr>
        <w:spacing w:after="0" w:line="240" w:lineRule="auto"/>
        <w:jc w:val="both"/>
        <w:rPr>
          <w:rFonts w:ascii="Arial" w:hAnsi="Arial" w:cs="Arial"/>
        </w:rPr>
      </w:pPr>
      <w:r w:rsidRPr="00B01850">
        <w:rPr>
          <w:rFonts w:ascii="Arial" w:hAnsi="Arial" w:cs="Arial"/>
          <w:b/>
          <w:bCs/>
        </w:rPr>
        <w:t>Si ce n'est pas le premier, veuillez indiquer tout changement par rapport à la période précédente</w:t>
      </w:r>
      <w:r w:rsidRPr="00B01850">
        <w:rPr>
          <w:rFonts w:ascii="Arial" w:hAnsi="Arial" w:cs="Arial"/>
          <w:b/>
          <w:bCs/>
          <w:i/>
          <w:iCs/>
        </w:rPr>
        <w:t>.</w:t>
      </w:r>
    </w:p>
    <w:p w14:paraId="30039FBA" w14:textId="77777777" w:rsidR="00DD10A0" w:rsidRPr="00B01850" w:rsidRDefault="00DD10A0" w:rsidP="00AE230E">
      <w:pPr>
        <w:spacing w:after="0" w:line="240" w:lineRule="auto"/>
        <w:jc w:val="both"/>
        <w:rPr>
          <w:rFonts w:ascii="Arial" w:hAnsi="Arial" w:cs="Arial"/>
        </w:rPr>
      </w:pPr>
    </w:p>
    <w:p w14:paraId="1613796A" w14:textId="77777777" w:rsidR="00DD10A0" w:rsidRPr="00B01850" w:rsidRDefault="00DD10A0" w:rsidP="00AE230E">
      <w:pPr>
        <w:spacing w:after="0" w:line="240" w:lineRule="auto"/>
        <w:jc w:val="both"/>
        <w:rPr>
          <w:rFonts w:ascii="Arial" w:hAnsi="Arial" w:cs="Arial"/>
        </w:rPr>
      </w:pPr>
    </w:p>
    <w:p w14:paraId="04259EFE" w14:textId="56B2A0C0" w:rsidR="00DD10A0" w:rsidRPr="00B01850" w:rsidRDefault="00DD10A0" w:rsidP="00AE230E">
      <w:pPr>
        <w:spacing w:after="0" w:line="240" w:lineRule="auto"/>
        <w:jc w:val="both"/>
        <w:rPr>
          <w:rFonts w:ascii="Arial" w:hAnsi="Arial" w:cs="Arial"/>
          <w:b/>
          <w:bCs/>
        </w:rPr>
      </w:pPr>
      <w:r w:rsidRPr="00B01850">
        <w:rPr>
          <w:rFonts w:ascii="Arial" w:hAnsi="Arial" w:cs="Arial"/>
          <w:b/>
          <w:bCs/>
        </w:rPr>
        <w:t xml:space="preserve">Activités CERP prévues/engagées </w:t>
      </w:r>
    </w:p>
    <w:p w14:paraId="325134B1" w14:textId="135502EE" w:rsidR="00DD10A0" w:rsidRPr="00B01850" w:rsidRDefault="00DD10A0" w:rsidP="2507F65D">
      <w:pPr>
        <w:spacing w:after="0" w:line="240" w:lineRule="auto"/>
        <w:jc w:val="both"/>
        <w:rPr>
          <w:rFonts w:ascii="Arial" w:hAnsi="Arial" w:cs="Arial"/>
          <w:i/>
          <w:iCs/>
        </w:rPr>
      </w:pPr>
      <w:r w:rsidRPr="00B01850">
        <w:rPr>
          <w:rFonts w:ascii="Arial" w:hAnsi="Arial" w:cs="Arial"/>
          <w:i/>
          <w:iCs/>
        </w:rPr>
        <w:t xml:space="preserve">Veuillez fournir un résumé des principales activités prévues ou entreprises au titre du CERP au cours de la période considérée. </w:t>
      </w:r>
    </w:p>
    <w:p w14:paraId="705F298A" w14:textId="77777777" w:rsidR="00DD10A0" w:rsidRPr="00B01850" w:rsidRDefault="00DD10A0" w:rsidP="00AE230E">
      <w:pPr>
        <w:spacing w:after="0" w:line="240" w:lineRule="auto"/>
        <w:jc w:val="both"/>
        <w:rPr>
          <w:rFonts w:ascii="Arial" w:hAnsi="Arial" w:cs="Arial"/>
        </w:rPr>
      </w:pPr>
    </w:p>
    <w:p w14:paraId="0DC978AA" w14:textId="0F1D57EC" w:rsidR="00DD10A0" w:rsidRPr="00B01850" w:rsidRDefault="00DD10A0" w:rsidP="00AE230E">
      <w:pPr>
        <w:spacing w:after="0" w:line="240" w:lineRule="auto"/>
        <w:jc w:val="both"/>
        <w:rPr>
          <w:rFonts w:ascii="Arial" w:hAnsi="Arial" w:cs="Arial"/>
        </w:rPr>
      </w:pPr>
      <w:r w:rsidRPr="00B01850">
        <w:rPr>
          <w:rFonts w:ascii="Arial" w:hAnsi="Arial" w:cs="Arial"/>
        </w:rPr>
        <w:t>Récapitulatif des activités du projet mises en œuvre pendant la période considérée</w:t>
      </w:r>
    </w:p>
    <w:tbl>
      <w:tblPr>
        <w:tblStyle w:val="TableGrid"/>
        <w:tblW w:w="0" w:type="auto"/>
        <w:tblLook w:val="04A0" w:firstRow="1" w:lastRow="0" w:firstColumn="1" w:lastColumn="0" w:noHBand="0" w:noVBand="1"/>
      </w:tblPr>
      <w:tblGrid>
        <w:gridCol w:w="3116"/>
        <w:gridCol w:w="3899"/>
        <w:gridCol w:w="2335"/>
      </w:tblGrid>
      <w:tr w:rsidR="00476FF6" w:rsidRPr="00B01850" w14:paraId="7F9E9152" w14:textId="77777777" w:rsidTr="2507F65D">
        <w:trPr>
          <w:trHeight w:val="300"/>
        </w:trPr>
        <w:tc>
          <w:tcPr>
            <w:tcW w:w="3116" w:type="dxa"/>
          </w:tcPr>
          <w:p w14:paraId="0526CA08"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Description des travaux/activités du projet </w:t>
            </w:r>
          </w:p>
        </w:tc>
        <w:tc>
          <w:tcPr>
            <w:tcW w:w="3899" w:type="dxa"/>
          </w:tcPr>
          <w:p w14:paraId="3C215831"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Indicateurs de suivi pendant la période considérée</w:t>
            </w:r>
          </w:p>
        </w:tc>
        <w:tc>
          <w:tcPr>
            <w:tcW w:w="2335" w:type="dxa"/>
          </w:tcPr>
          <w:p w14:paraId="66412DFC"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Fréquence (mensuelle, trimestrielle)</w:t>
            </w:r>
          </w:p>
        </w:tc>
      </w:tr>
      <w:tr w:rsidR="00476FF6" w:rsidRPr="00B01850" w14:paraId="36754BAB" w14:textId="77777777" w:rsidTr="2507F65D">
        <w:trPr>
          <w:trHeight w:val="300"/>
        </w:trPr>
        <w:tc>
          <w:tcPr>
            <w:tcW w:w="3116" w:type="dxa"/>
          </w:tcPr>
          <w:p w14:paraId="7C0C504B" w14:textId="77777777" w:rsidR="00DD10A0" w:rsidRPr="00B01850" w:rsidRDefault="00DD10A0" w:rsidP="00AE230E">
            <w:pPr>
              <w:jc w:val="both"/>
              <w:rPr>
                <w:rFonts w:ascii="Arial" w:hAnsi="Arial" w:cs="Arial"/>
                <w:sz w:val="22"/>
                <w:szCs w:val="22"/>
              </w:rPr>
            </w:pPr>
          </w:p>
        </w:tc>
        <w:tc>
          <w:tcPr>
            <w:tcW w:w="3899" w:type="dxa"/>
          </w:tcPr>
          <w:p w14:paraId="7F7157A3" w14:textId="77777777" w:rsidR="00DD10A0" w:rsidRPr="00B01850" w:rsidRDefault="00DD10A0" w:rsidP="00AE230E">
            <w:pPr>
              <w:jc w:val="both"/>
              <w:rPr>
                <w:rFonts w:ascii="Arial" w:hAnsi="Arial" w:cs="Arial"/>
                <w:sz w:val="22"/>
                <w:szCs w:val="22"/>
              </w:rPr>
            </w:pPr>
          </w:p>
        </w:tc>
        <w:tc>
          <w:tcPr>
            <w:tcW w:w="2335" w:type="dxa"/>
          </w:tcPr>
          <w:p w14:paraId="3A3BF4F0" w14:textId="77777777" w:rsidR="00DD10A0" w:rsidRPr="00B01850" w:rsidRDefault="00DD10A0" w:rsidP="00AE230E">
            <w:pPr>
              <w:jc w:val="both"/>
              <w:rPr>
                <w:rFonts w:ascii="Arial" w:hAnsi="Arial" w:cs="Arial"/>
                <w:sz w:val="22"/>
                <w:szCs w:val="22"/>
              </w:rPr>
            </w:pPr>
          </w:p>
        </w:tc>
      </w:tr>
      <w:tr w:rsidR="00476FF6" w:rsidRPr="00B01850" w14:paraId="6DA82817" w14:textId="77777777" w:rsidTr="2507F65D">
        <w:trPr>
          <w:trHeight w:val="300"/>
        </w:trPr>
        <w:tc>
          <w:tcPr>
            <w:tcW w:w="3116" w:type="dxa"/>
          </w:tcPr>
          <w:p w14:paraId="40827C2F" w14:textId="77777777" w:rsidR="00DD10A0" w:rsidRPr="00B01850" w:rsidRDefault="00DD10A0" w:rsidP="00AE230E">
            <w:pPr>
              <w:jc w:val="both"/>
              <w:rPr>
                <w:rFonts w:ascii="Arial" w:hAnsi="Arial" w:cs="Arial"/>
                <w:sz w:val="22"/>
                <w:szCs w:val="22"/>
              </w:rPr>
            </w:pPr>
          </w:p>
        </w:tc>
        <w:tc>
          <w:tcPr>
            <w:tcW w:w="3899" w:type="dxa"/>
          </w:tcPr>
          <w:p w14:paraId="68E2F2DC" w14:textId="77777777" w:rsidR="00DD10A0" w:rsidRPr="00B01850" w:rsidRDefault="00DD10A0" w:rsidP="00AE230E">
            <w:pPr>
              <w:jc w:val="both"/>
              <w:rPr>
                <w:rFonts w:ascii="Arial" w:hAnsi="Arial" w:cs="Arial"/>
                <w:sz w:val="22"/>
                <w:szCs w:val="22"/>
              </w:rPr>
            </w:pPr>
          </w:p>
        </w:tc>
        <w:tc>
          <w:tcPr>
            <w:tcW w:w="2335" w:type="dxa"/>
          </w:tcPr>
          <w:p w14:paraId="658BCF51" w14:textId="77777777" w:rsidR="00DD10A0" w:rsidRPr="00B01850" w:rsidRDefault="00DD10A0" w:rsidP="00AE230E">
            <w:pPr>
              <w:jc w:val="both"/>
              <w:rPr>
                <w:rFonts w:ascii="Arial" w:hAnsi="Arial" w:cs="Arial"/>
                <w:sz w:val="22"/>
                <w:szCs w:val="22"/>
              </w:rPr>
            </w:pPr>
          </w:p>
        </w:tc>
      </w:tr>
    </w:tbl>
    <w:p w14:paraId="0D70E572" w14:textId="77777777" w:rsidR="00DD10A0" w:rsidRPr="00B01850" w:rsidRDefault="00DD10A0" w:rsidP="00AE230E">
      <w:pPr>
        <w:spacing w:after="0" w:line="240" w:lineRule="auto"/>
        <w:jc w:val="both"/>
        <w:rPr>
          <w:rFonts w:ascii="Arial" w:hAnsi="Arial" w:cs="Arial"/>
        </w:rPr>
      </w:pPr>
    </w:p>
    <w:p w14:paraId="3F1F0355" w14:textId="77777777" w:rsidR="00DD10A0" w:rsidRPr="00B01850" w:rsidRDefault="00DD10A0" w:rsidP="00AE230E">
      <w:pPr>
        <w:spacing w:after="0" w:line="240" w:lineRule="auto"/>
        <w:jc w:val="both"/>
        <w:rPr>
          <w:rFonts w:ascii="Arial" w:hAnsi="Arial" w:cs="Arial"/>
          <w:b/>
          <w:bCs/>
        </w:rPr>
      </w:pPr>
      <w:r w:rsidRPr="00B01850">
        <w:rPr>
          <w:rFonts w:ascii="Arial" w:hAnsi="Arial" w:cs="Arial"/>
          <w:b/>
          <w:bCs/>
        </w:rPr>
        <w:t>Actions en attente/retardées (le cas échéant)</w:t>
      </w:r>
    </w:p>
    <w:p w14:paraId="23CFA135" w14:textId="6A81629D" w:rsidR="00DD10A0" w:rsidRPr="00B01850" w:rsidRDefault="00DD10A0" w:rsidP="2507F65D">
      <w:pPr>
        <w:spacing w:after="0" w:line="240" w:lineRule="auto"/>
        <w:jc w:val="both"/>
        <w:rPr>
          <w:rFonts w:ascii="Arial" w:hAnsi="Arial" w:cs="Arial"/>
          <w:i/>
          <w:iCs/>
        </w:rPr>
      </w:pPr>
      <w:r w:rsidRPr="00B01850">
        <w:rPr>
          <w:rFonts w:ascii="Arial" w:hAnsi="Arial" w:cs="Arial"/>
          <w:i/>
          <w:iCs/>
        </w:rPr>
        <w:t>Veuillez indiquer toute action en suspens ou en retard prévue dans le rapport précédent (le cas échéant), ainsi que les activités prévues mais non entreprises au cours de la période couverte par le présent rapport, en indiquant les raisons et/ou les difficultés rencontrées et les mesures à prendre pour y remédier. Si aucune action n'est en attente ou retardée, veuillez indiquer « sans objet » dans le tableau.</w:t>
      </w:r>
    </w:p>
    <w:p w14:paraId="6F68331C" w14:textId="77777777" w:rsidR="00DD10A0" w:rsidRPr="00B01850" w:rsidRDefault="00DD10A0" w:rsidP="00AE230E">
      <w:pPr>
        <w:spacing w:after="0" w:line="240" w:lineRule="auto"/>
        <w:jc w:val="both"/>
        <w:rPr>
          <w:rFonts w:ascii="Arial" w:hAnsi="Arial" w:cs="Arial"/>
        </w:rPr>
      </w:pPr>
    </w:p>
    <w:p w14:paraId="0B7DB69B" w14:textId="6D52411E" w:rsidR="00DD10A0" w:rsidRPr="00B01850" w:rsidRDefault="00DD10A0" w:rsidP="00AE230E">
      <w:pPr>
        <w:spacing w:after="0" w:line="240" w:lineRule="auto"/>
        <w:jc w:val="both"/>
        <w:rPr>
          <w:rFonts w:ascii="Arial" w:hAnsi="Arial" w:cs="Arial"/>
        </w:rPr>
      </w:pPr>
      <w:r w:rsidRPr="00B01850">
        <w:rPr>
          <w:rFonts w:ascii="Arial" w:hAnsi="Arial" w:cs="Arial"/>
        </w:rPr>
        <w:t>Tableau des actions retardées du projet</w:t>
      </w:r>
    </w:p>
    <w:tbl>
      <w:tblPr>
        <w:tblStyle w:val="TableGrid"/>
        <w:tblW w:w="9360" w:type="dxa"/>
        <w:tblInd w:w="-5" w:type="dxa"/>
        <w:tblLook w:val="04A0" w:firstRow="1" w:lastRow="0" w:firstColumn="1" w:lastColumn="0" w:noHBand="0" w:noVBand="1"/>
      </w:tblPr>
      <w:tblGrid>
        <w:gridCol w:w="682"/>
        <w:gridCol w:w="2522"/>
        <w:gridCol w:w="1476"/>
        <w:gridCol w:w="1403"/>
        <w:gridCol w:w="1420"/>
        <w:gridCol w:w="1857"/>
      </w:tblGrid>
      <w:tr w:rsidR="00476FF6" w:rsidRPr="00B01850" w14:paraId="6AD1106D" w14:textId="77777777" w:rsidTr="2507F65D">
        <w:trPr>
          <w:trHeight w:val="300"/>
        </w:trPr>
        <w:tc>
          <w:tcPr>
            <w:tcW w:w="531" w:type="dxa"/>
          </w:tcPr>
          <w:p w14:paraId="70D30E7B"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Non.</w:t>
            </w:r>
          </w:p>
        </w:tc>
        <w:tc>
          <w:tcPr>
            <w:tcW w:w="2594" w:type="dxa"/>
          </w:tcPr>
          <w:p w14:paraId="6BDF6B09"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Activités (composantes, sous-composantes) prévues mais non mises en œuvre</w:t>
            </w:r>
          </w:p>
        </w:tc>
        <w:tc>
          <w:tcPr>
            <w:tcW w:w="1431" w:type="dxa"/>
          </w:tcPr>
          <w:p w14:paraId="751A16E7"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Exigences en matière de sauvegardes associées aux activités </w:t>
            </w:r>
          </w:p>
        </w:tc>
        <w:tc>
          <w:tcPr>
            <w:tcW w:w="1445" w:type="dxa"/>
          </w:tcPr>
          <w:p w14:paraId="04ED85A5"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Raison du retard</w:t>
            </w:r>
          </w:p>
        </w:tc>
        <w:tc>
          <w:tcPr>
            <w:tcW w:w="1450" w:type="dxa"/>
          </w:tcPr>
          <w:p w14:paraId="272CC9CF"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Mesures à prendre </w:t>
            </w:r>
          </w:p>
        </w:tc>
        <w:tc>
          <w:tcPr>
            <w:tcW w:w="1909" w:type="dxa"/>
          </w:tcPr>
          <w:p w14:paraId="7C46CCE2"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Calendrier</w:t>
            </w:r>
          </w:p>
        </w:tc>
      </w:tr>
      <w:tr w:rsidR="00476FF6" w:rsidRPr="00B01850" w14:paraId="4F76100B" w14:textId="77777777" w:rsidTr="2507F65D">
        <w:trPr>
          <w:trHeight w:val="300"/>
        </w:trPr>
        <w:tc>
          <w:tcPr>
            <w:tcW w:w="531" w:type="dxa"/>
          </w:tcPr>
          <w:p w14:paraId="7A512A95" w14:textId="77777777" w:rsidR="00DD10A0" w:rsidRPr="00B01850" w:rsidRDefault="00DD10A0" w:rsidP="00AE230E">
            <w:pPr>
              <w:jc w:val="both"/>
              <w:rPr>
                <w:rFonts w:ascii="Arial" w:hAnsi="Arial" w:cs="Arial"/>
                <w:sz w:val="22"/>
                <w:szCs w:val="22"/>
              </w:rPr>
            </w:pPr>
          </w:p>
        </w:tc>
        <w:tc>
          <w:tcPr>
            <w:tcW w:w="2594" w:type="dxa"/>
          </w:tcPr>
          <w:p w14:paraId="16DB9104" w14:textId="77777777" w:rsidR="00DD10A0" w:rsidRPr="00B01850" w:rsidRDefault="00DD10A0" w:rsidP="00AE230E">
            <w:pPr>
              <w:jc w:val="both"/>
              <w:rPr>
                <w:rFonts w:ascii="Arial" w:hAnsi="Arial" w:cs="Arial"/>
                <w:sz w:val="22"/>
                <w:szCs w:val="22"/>
              </w:rPr>
            </w:pPr>
          </w:p>
        </w:tc>
        <w:tc>
          <w:tcPr>
            <w:tcW w:w="1431" w:type="dxa"/>
          </w:tcPr>
          <w:p w14:paraId="0056F5BD" w14:textId="77777777" w:rsidR="00DD10A0" w:rsidRPr="00B01850" w:rsidRDefault="00DD10A0" w:rsidP="00AE230E">
            <w:pPr>
              <w:jc w:val="both"/>
              <w:rPr>
                <w:rFonts w:ascii="Arial" w:hAnsi="Arial" w:cs="Arial"/>
                <w:sz w:val="22"/>
                <w:szCs w:val="22"/>
              </w:rPr>
            </w:pPr>
          </w:p>
        </w:tc>
        <w:tc>
          <w:tcPr>
            <w:tcW w:w="1445" w:type="dxa"/>
          </w:tcPr>
          <w:p w14:paraId="231DF861" w14:textId="77777777" w:rsidR="00DD10A0" w:rsidRPr="00B01850" w:rsidRDefault="00DD10A0" w:rsidP="00AE230E">
            <w:pPr>
              <w:jc w:val="both"/>
              <w:rPr>
                <w:rFonts w:ascii="Arial" w:hAnsi="Arial" w:cs="Arial"/>
                <w:sz w:val="22"/>
                <w:szCs w:val="22"/>
              </w:rPr>
            </w:pPr>
          </w:p>
        </w:tc>
        <w:tc>
          <w:tcPr>
            <w:tcW w:w="1450" w:type="dxa"/>
          </w:tcPr>
          <w:p w14:paraId="4FCE54DD" w14:textId="77777777" w:rsidR="00DD10A0" w:rsidRPr="00B01850" w:rsidRDefault="00DD10A0" w:rsidP="00AE230E">
            <w:pPr>
              <w:jc w:val="both"/>
              <w:rPr>
                <w:rFonts w:ascii="Arial" w:hAnsi="Arial" w:cs="Arial"/>
                <w:sz w:val="22"/>
                <w:szCs w:val="22"/>
              </w:rPr>
            </w:pPr>
          </w:p>
        </w:tc>
        <w:tc>
          <w:tcPr>
            <w:tcW w:w="1909" w:type="dxa"/>
          </w:tcPr>
          <w:p w14:paraId="399A9048" w14:textId="77777777" w:rsidR="00DD10A0" w:rsidRPr="00B01850" w:rsidRDefault="00DD10A0" w:rsidP="00AE230E">
            <w:pPr>
              <w:jc w:val="both"/>
              <w:rPr>
                <w:rFonts w:ascii="Arial" w:hAnsi="Arial" w:cs="Arial"/>
                <w:sz w:val="22"/>
                <w:szCs w:val="22"/>
              </w:rPr>
            </w:pPr>
          </w:p>
        </w:tc>
      </w:tr>
      <w:tr w:rsidR="00476FF6" w:rsidRPr="00B01850" w14:paraId="26533257" w14:textId="77777777" w:rsidTr="2507F65D">
        <w:trPr>
          <w:trHeight w:val="300"/>
        </w:trPr>
        <w:tc>
          <w:tcPr>
            <w:tcW w:w="531" w:type="dxa"/>
          </w:tcPr>
          <w:p w14:paraId="39A0E697" w14:textId="77777777" w:rsidR="00DD10A0" w:rsidRPr="00B01850" w:rsidRDefault="00DD10A0" w:rsidP="00AE230E">
            <w:pPr>
              <w:jc w:val="both"/>
              <w:rPr>
                <w:rFonts w:ascii="Arial" w:hAnsi="Arial" w:cs="Arial"/>
                <w:sz w:val="22"/>
                <w:szCs w:val="22"/>
              </w:rPr>
            </w:pPr>
          </w:p>
        </w:tc>
        <w:tc>
          <w:tcPr>
            <w:tcW w:w="2594" w:type="dxa"/>
          </w:tcPr>
          <w:p w14:paraId="6CBAEEEB" w14:textId="77777777" w:rsidR="00DD10A0" w:rsidRPr="00B01850" w:rsidRDefault="00DD10A0" w:rsidP="00AE230E">
            <w:pPr>
              <w:jc w:val="both"/>
              <w:rPr>
                <w:rFonts w:ascii="Arial" w:hAnsi="Arial" w:cs="Arial"/>
                <w:sz w:val="22"/>
                <w:szCs w:val="22"/>
              </w:rPr>
            </w:pPr>
          </w:p>
        </w:tc>
        <w:tc>
          <w:tcPr>
            <w:tcW w:w="1431" w:type="dxa"/>
          </w:tcPr>
          <w:p w14:paraId="5A6C92D3" w14:textId="77777777" w:rsidR="00DD10A0" w:rsidRPr="00B01850" w:rsidRDefault="00DD10A0" w:rsidP="00AE230E">
            <w:pPr>
              <w:jc w:val="both"/>
              <w:rPr>
                <w:rFonts w:ascii="Arial" w:hAnsi="Arial" w:cs="Arial"/>
                <w:sz w:val="22"/>
                <w:szCs w:val="22"/>
              </w:rPr>
            </w:pPr>
          </w:p>
        </w:tc>
        <w:tc>
          <w:tcPr>
            <w:tcW w:w="1445" w:type="dxa"/>
          </w:tcPr>
          <w:p w14:paraId="12498066" w14:textId="77777777" w:rsidR="00DD10A0" w:rsidRPr="00B01850" w:rsidRDefault="00DD10A0" w:rsidP="00AE230E">
            <w:pPr>
              <w:jc w:val="both"/>
              <w:rPr>
                <w:rFonts w:ascii="Arial" w:hAnsi="Arial" w:cs="Arial"/>
                <w:sz w:val="22"/>
                <w:szCs w:val="22"/>
              </w:rPr>
            </w:pPr>
          </w:p>
        </w:tc>
        <w:tc>
          <w:tcPr>
            <w:tcW w:w="1450" w:type="dxa"/>
          </w:tcPr>
          <w:p w14:paraId="28CF7111" w14:textId="77777777" w:rsidR="00DD10A0" w:rsidRPr="00B01850" w:rsidRDefault="00DD10A0" w:rsidP="00AE230E">
            <w:pPr>
              <w:jc w:val="both"/>
              <w:rPr>
                <w:rFonts w:ascii="Arial" w:hAnsi="Arial" w:cs="Arial"/>
                <w:sz w:val="22"/>
                <w:szCs w:val="22"/>
              </w:rPr>
            </w:pPr>
          </w:p>
        </w:tc>
        <w:tc>
          <w:tcPr>
            <w:tcW w:w="1909" w:type="dxa"/>
          </w:tcPr>
          <w:p w14:paraId="393172DE" w14:textId="77777777" w:rsidR="00DD10A0" w:rsidRPr="00B01850" w:rsidRDefault="00DD10A0" w:rsidP="00AE230E">
            <w:pPr>
              <w:jc w:val="both"/>
              <w:rPr>
                <w:rFonts w:ascii="Arial" w:hAnsi="Arial" w:cs="Arial"/>
                <w:sz w:val="22"/>
                <w:szCs w:val="22"/>
              </w:rPr>
            </w:pPr>
          </w:p>
        </w:tc>
      </w:tr>
    </w:tbl>
    <w:p w14:paraId="4700FB3C" w14:textId="77777777" w:rsidR="00DD10A0" w:rsidRPr="00B01850" w:rsidRDefault="00DD10A0" w:rsidP="00AE230E">
      <w:pPr>
        <w:spacing w:after="0" w:line="240" w:lineRule="auto"/>
        <w:jc w:val="both"/>
        <w:rPr>
          <w:rFonts w:ascii="Arial" w:hAnsi="Arial" w:cs="Arial"/>
        </w:rPr>
      </w:pPr>
    </w:p>
    <w:p w14:paraId="0BB2FA47" w14:textId="77777777" w:rsidR="00DD10A0" w:rsidRPr="00B01850" w:rsidRDefault="00DD10A0" w:rsidP="00AE230E">
      <w:pPr>
        <w:spacing w:after="0" w:line="240" w:lineRule="auto"/>
        <w:jc w:val="both"/>
        <w:rPr>
          <w:rFonts w:ascii="Arial" w:hAnsi="Arial" w:cs="Arial"/>
        </w:rPr>
      </w:pPr>
      <w:r w:rsidRPr="00B01850">
        <w:rPr>
          <w:rFonts w:ascii="Arial" w:hAnsi="Arial" w:cs="Arial"/>
          <w:b/>
          <w:bCs/>
        </w:rPr>
        <w:t xml:space="preserve">État d'avancement de la mise en œuvre du Plan d'engagement environnemental et social (PEES). </w:t>
      </w:r>
    </w:p>
    <w:p w14:paraId="6C382239" w14:textId="2E3DF826" w:rsidR="00DD10A0" w:rsidRPr="00B01850" w:rsidRDefault="00DD10A0" w:rsidP="00AE230E">
      <w:pPr>
        <w:spacing w:after="0" w:line="240" w:lineRule="auto"/>
        <w:jc w:val="both"/>
        <w:rPr>
          <w:rFonts w:ascii="Arial" w:hAnsi="Arial" w:cs="Arial"/>
        </w:rPr>
      </w:pPr>
      <w:r w:rsidRPr="00B01850">
        <w:rPr>
          <w:rFonts w:ascii="Arial" w:hAnsi="Arial" w:cs="Arial"/>
          <w:i/>
          <w:iCs/>
        </w:rPr>
        <w:t>Veuillez utiliser le PEES avec les colonnes suivantes dans l'ordre. (Le tableau peut être transformé en paysage pour accueillir du texte ou inclus en annexe.)</w:t>
      </w:r>
    </w:p>
    <w:p w14:paraId="4085D9E5" w14:textId="77777777" w:rsidR="00DD10A0" w:rsidRPr="00B01850" w:rsidRDefault="00DD10A0" w:rsidP="00AE230E">
      <w:pPr>
        <w:spacing w:after="0" w:line="240" w:lineRule="auto"/>
        <w:jc w:val="both"/>
        <w:rPr>
          <w:rFonts w:ascii="Arial" w:hAnsi="Arial" w:cs="Arial"/>
        </w:rPr>
      </w:pPr>
      <w:r w:rsidRPr="00B01850">
        <w:rPr>
          <w:rFonts w:ascii="Arial" w:hAnsi="Arial" w:cs="Arial"/>
        </w:rPr>
        <w:t xml:space="preserve">  </w:t>
      </w:r>
    </w:p>
    <w:p w14:paraId="6A050353" w14:textId="1068BE4F" w:rsidR="00DD10A0" w:rsidRPr="00B01850" w:rsidRDefault="00DD10A0" w:rsidP="00AE230E">
      <w:pPr>
        <w:spacing w:after="0" w:line="240" w:lineRule="auto"/>
        <w:jc w:val="both"/>
        <w:rPr>
          <w:rFonts w:ascii="Arial" w:hAnsi="Arial" w:cs="Arial"/>
        </w:rPr>
      </w:pPr>
      <w:r w:rsidRPr="00B01850">
        <w:rPr>
          <w:rFonts w:ascii="Arial" w:hAnsi="Arial" w:cs="Arial"/>
        </w:rPr>
        <w:t>État d'avancement de la mise en œuvre du PEES.</w:t>
      </w:r>
    </w:p>
    <w:tbl>
      <w:tblPr>
        <w:tblStyle w:val="TableGrid"/>
        <w:tblW w:w="9540" w:type="dxa"/>
        <w:tblInd w:w="85" w:type="dxa"/>
        <w:tblLook w:val="04A0" w:firstRow="1" w:lastRow="0" w:firstColumn="1" w:lastColumn="0" w:noHBand="0" w:noVBand="1"/>
      </w:tblPr>
      <w:tblGrid>
        <w:gridCol w:w="779"/>
        <w:gridCol w:w="1601"/>
        <w:gridCol w:w="1421"/>
        <w:gridCol w:w="1793"/>
        <w:gridCol w:w="2124"/>
        <w:gridCol w:w="1822"/>
      </w:tblGrid>
      <w:tr w:rsidR="00476FF6" w:rsidRPr="00B01850" w14:paraId="4E8D1A78" w14:textId="77777777" w:rsidTr="2507F65D">
        <w:trPr>
          <w:trHeight w:val="300"/>
        </w:trPr>
        <w:tc>
          <w:tcPr>
            <w:tcW w:w="697" w:type="dxa"/>
          </w:tcPr>
          <w:p w14:paraId="5D5D7EE3"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ESS#</w:t>
            </w:r>
          </w:p>
        </w:tc>
        <w:tc>
          <w:tcPr>
            <w:tcW w:w="1631" w:type="dxa"/>
          </w:tcPr>
          <w:p w14:paraId="66D9AE58"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Obligations découlant du PEES </w:t>
            </w:r>
          </w:p>
        </w:tc>
        <w:tc>
          <w:tcPr>
            <w:tcW w:w="1437" w:type="dxa"/>
          </w:tcPr>
          <w:p w14:paraId="480244AE"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Calendrier des obligations découlant du PEES </w:t>
            </w:r>
          </w:p>
        </w:tc>
        <w:tc>
          <w:tcPr>
            <w:tcW w:w="1815" w:type="dxa"/>
          </w:tcPr>
          <w:p w14:paraId="1A119178"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État d'avancement de la mise en œuvre</w:t>
            </w:r>
          </w:p>
          <w:p w14:paraId="2F065C4C" w14:textId="77777777" w:rsidR="00DD10A0" w:rsidRPr="00B01850" w:rsidRDefault="00DD10A0" w:rsidP="00AE230E">
            <w:pPr>
              <w:jc w:val="both"/>
              <w:rPr>
                <w:rFonts w:ascii="Arial" w:hAnsi="Arial" w:cs="Arial"/>
                <w:sz w:val="22"/>
                <w:szCs w:val="22"/>
              </w:rPr>
            </w:pPr>
          </w:p>
        </w:tc>
        <w:tc>
          <w:tcPr>
            <w:tcW w:w="2072" w:type="dxa"/>
          </w:tcPr>
          <w:p w14:paraId="220F8FD3"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Justification des retards/défaillances</w:t>
            </w:r>
          </w:p>
        </w:tc>
        <w:tc>
          <w:tcPr>
            <w:tcW w:w="1888" w:type="dxa"/>
          </w:tcPr>
          <w:p w14:paraId="4A0D5EAE"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Actions à mener et calendrier </w:t>
            </w:r>
          </w:p>
        </w:tc>
      </w:tr>
      <w:tr w:rsidR="00476FF6" w:rsidRPr="00B01850" w14:paraId="45AA7D42" w14:textId="77777777" w:rsidTr="2507F65D">
        <w:trPr>
          <w:trHeight w:val="300"/>
        </w:trPr>
        <w:tc>
          <w:tcPr>
            <w:tcW w:w="697" w:type="dxa"/>
          </w:tcPr>
          <w:p w14:paraId="62B33D80" w14:textId="77777777" w:rsidR="00DD10A0" w:rsidRPr="00B01850" w:rsidRDefault="00DD10A0" w:rsidP="00AE230E">
            <w:pPr>
              <w:jc w:val="both"/>
              <w:rPr>
                <w:rFonts w:ascii="Arial" w:hAnsi="Arial" w:cs="Arial"/>
                <w:sz w:val="22"/>
                <w:szCs w:val="22"/>
              </w:rPr>
            </w:pPr>
          </w:p>
        </w:tc>
        <w:tc>
          <w:tcPr>
            <w:tcW w:w="1631" w:type="dxa"/>
          </w:tcPr>
          <w:p w14:paraId="114B328B" w14:textId="77777777" w:rsidR="00DD10A0" w:rsidRPr="00B01850" w:rsidRDefault="00DD10A0" w:rsidP="00AE230E">
            <w:pPr>
              <w:jc w:val="both"/>
              <w:rPr>
                <w:rFonts w:ascii="Arial" w:hAnsi="Arial" w:cs="Arial"/>
                <w:sz w:val="22"/>
                <w:szCs w:val="22"/>
              </w:rPr>
            </w:pPr>
          </w:p>
        </w:tc>
        <w:tc>
          <w:tcPr>
            <w:tcW w:w="1437" w:type="dxa"/>
          </w:tcPr>
          <w:p w14:paraId="0CDEA636" w14:textId="77777777" w:rsidR="00DD10A0" w:rsidRPr="00B01850" w:rsidRDefault="00DD10A0" w:rsidP="00AE230E">
            <w:pPr>
              <w:jc w:val="both"/>
              <w:rPr>
                <w:rFonts w:ascii="Arial" w:hAnsi="Arial" w:cs="Arial"/>
                <w:sz w:val="22"/>
                <w:szCs w:val="22"/>
              </w:rPr>
            </w:pPr>
          </w:p>
        </w:tc>
        <w:tc>
          <w:tcPr>
            <w:tcW w:w="1815" w:type="dxa"/>
          </w:tcPr>
          <w:p w14:paraId="549B236F" w14:textId="77777777" w:rsidR="00DD10A0" w:rsidRPr="00B01850" w:rsidRDefault="00DD10A0" w:rsidP="00AE230E">
            <w:pPr>
              <w:jc w:val="both"/>
              <w:rPr>
                <w:rFonts w:ascii="Arial" w:hAnsi="Arial" w:cs="Arial"/>
                <w:sz w:val="22"/>
                <w:szCs w:val="22"/>
              </w:rPr>
            </w:pPr>
          </w:p>
        </w:tc>
        <w:tc>
          <w:tcPr>
            <w:tcW w:w="2072" w:type="dxa"/>
          </w:tcPr>
          <w:p w14:paraId="5EAB2D8B" w14:textId="77777777" w:rsidR="00DD10A0" w:rsidRPr="00B01850" w:rsidRDefault="00DD10A0" w:rsidP="00AE230E">
            <w:pPr>
              <w:jc w:val="both"/>
              <w:rPr>
                <w:rFonts w:ascii="Arial" w:hAnsi="Arial" w:cs="Arial"/>
                <w:sz w:val="22"/>
                <w:szCs w:val="22"/>
              </w:rPr>
            </w:pPr>
          </w:p>
        </w:tc>
        <w:tc>
          <w:tcPr>
            <w:tcW w:w="1888" w:type="dxa"/>
          </w:tcPr>
          <w:p w14:paraId="67FF0DA1" w14:textId="77777777" w:rsidR="00DD10A0" w:rsidRPr="00B01850" w:rsidRDefault="00DD10A0" w:rsidP="00AE230E">
            <w:pPr>
              <w:jc w:val="both"/>
              <w:rPr>
                <w:rFonts w:ascii="Arial" w:hAnsi="Arial" w:cs="Arial"/>
                <w:sz w:val="22"/>
                <w:szCs w:val="22"/>
              </w:rPr>
            </w:pPr>
          </w:p>
        </w:tc>
      </w:tr>
      <w:tr w:rsidR="00476FF6" w:rsidRPr="00B01850" w14:paraId="3F1CB70B" w14:textId="77777777" w:rsidTr="2507F65D">
        <w:trPr>
          <w:trHeight w:val="300"/>
        </w:trPr>
        <w:tc>
          <w:tcPr>
            <w:tcW w:w="697" w:type="dxa"/>
          </w:tcPr>
          <w:p w14:paraId="1BC08C37" w14:textId="77777777" w:rsidR="00DD10A0" w:rsidRPr="00B01850" w:rsidRDefault="00DD10A0" w:rsidP="00AE230E">
            <w:pPr>
              <w:jc w:val="both"/>
              <w:rPr>
                <w:rFonts w:ascii="Arial" w:hAnsi="Arial" w:cs="Arial"/>
                <w:sz w:val="22"/>
                <w:szCs w:val="22"/>
              </w:rPr>
            </w:pPr>
          </w:p>
        </w:tc>
        <w:tc>
          <w:tcPr>
            <w:tcW w:w="1631" w:type="dxa"/>
          </w:tcPr>
          <w:p w14:paraId="44CFE150" w14:textId="77777777" w:rsidR="00DD10A0" w:rsidRPr="00B01850" w:rsidRDefault="00DD10A0" w:rsidP="00AE230E">
            <w:pPr>
              <w:jc w:val="both"/>
              <w:rPr>
                <w:rFonts w:ascii="Arial" w:hAnsi="Arial" w:cs="Arial"/>
                <w:sz w:val="22"/>
                <w:szCs w:val="22"/>
              </w:rPr>
            </w:pPr>
          </w:p>
        </w:tc>
        <w:tc>
          <w:tcPr>
            <w:tcW w:w="1437" w:type="dxa"/>
          </w:tcPr>
          <w:p w14:paraId="760390E7" w14:textId="77777777" w:rsidR="00DD10A0" w:rsidRPr="00B01850" w:rsidRDefault="00DD10A0" w:rsidP="00AE230E">
            <w:pPr>
              <w:jc w:val="both"/>
              <w:rPr>
                <w:rFonts w:ascii="Arial" w:hAnsi="Arial" w:cs="Arial"/>
                <w:sz w:val="22"/>
                <w:szCs w:val="22"/>
              </w:rPr>
            </w:pPr>
          </w:p>
        </w:tc>
        <w:tc>
          <w:tcPr>
            <w:tcW w:w="1815" w:type="dxa"/>
          </w:tcPr>
          <w:p w14:paraId="01DADBC4" w14:textId="77777777" w:rsidR="00DD10A0" w:rsidRPr="00B01850" w:rsidRDefault="00DD10A0" w:rsidP="00AE230E">
            <w:pPr>
              <w:jc w:val="both"/>
              <w:rPr>
                <w:rFonts w:ascii="Arial" w:hAnsi="Arial" w:cs="Arial"/>
                <w:sz w:val="22"/>
                <w:szCs w:val="22"/>
              </w:rPr>
            </w:pPr>
          </w:p>
        </w:tc>
        <w:tc>
          <w:tcPr>
            <w:tcW w:w="2072" w:type="dxa"/>
          </w:tcPr>
          <w:p w14:paraId="442DACC5" w14:textId="77777777" w:rsidR="00DD10A0" w:rsidRPr="00B01850" w:rsidRDefault="00DD10A0" w:rsidP="00AE230E">
            <w:pPr>
              <w:jc w:val="both"/>
              <w:rPr>
                <w:rFonts w:ascii="Arial" w:hAnsi="Arial" w:cs="Arial"/>
                <w:sz w:val="22"/>
                <w:szCs w:val="22"/>
              </w:rPr>
            </w:pPr>
          </w:p>
        </w:tc>
        <w:tc>
          <w:tcPr>
            <w:tcW w:w="1888" w:type="dxa"/>
          </w:tcPr>
          <w:p w14:paraId="2749CEBF" w14:textId="77777777" w:rsidR="00DD10A0" w:rsidRPr="00B01850" w:rsidRDefault="00DD10A0" w:rsidP="00AE230E">
            <w:pPr>
              <w:jc w:val="both"/>
              <w:rPr>
                <w:rFonts w:ascii="Arial" w:hAnsi="Arial" w:cs="Arial"/>
                <w:sz w:val="22"/>
                <w:szCs w:val="22"/>
              </w:rPr>
            </w:pPr>
          </w:p>
        </w:tc>
      </w:tr>
    </w:tbl>
    <w:p w14:paraId="275C2A4F" w14:textId="77777777" w:rsidR="00DD10A0" w:rsidRPr="00B01850" w:rsidRDefault="00DD10A0" w:rsidP="00AE230E">
      <w:pPr>
        <w:spacing w:after="0" w:line="240" w:lineRule="auto"/>
        <w:jc w:val="both"/>
        <w:rPr>
          <w:rFonts w:ascii="Arial" w:hAnsi="Arial" w:cs="Arial"/>
        </w:rPr>
      </w:pPr>
    </w:p>
    <w:p w14:paraId="15CFCECD" w14:textId="509E58FC" w:rsidR="00DD10A0" w:rsidRPr="00B01850" w:rsidRDefault="00DD10A0" w:rsidP="00AE230E">
      <w:pPr>
        <w:spacing w:after="0" w:line="240" w:lineRule="auto"/>
        <w:jc w:val="both"/>
        <w:rPr>
          <w:rFonts w:ascii="Arial" w:hAnsi="Arial" w:cs="Arial"/>
          <w:b/>
          <w:bCs/>
        </w:rPr>
      </w:pPr>
      <w:r w:rsidRPr="00B01850">
        <w:rPr>
          <w:rFonts w:ascii="Arial" w:hAnsi="Arial" w:cs="Arial"/>
          <w:b/>
          <w:bCs/>
        </w:rPr>
        <w:t xml:space="preserve">État d'avancement de la mise en œuvre du PGES </w:t>
      </w:r>
    </w:p>
    <w:p w14:paraId="603D477E" w14:textId="77777777" w:rsidR="00DD10A0" w:rsidRPr="00B01850" w:rsidRDefault="00DD10A0" w:rsidP="00AE230E">
      <w:pPr>
        <w:spacing w:after="0" w:line="240" w:lineRule="auto"/>
        <w:jc w:val="both"/>
        <w:rPr>
          <w:rFonts w:ascii="Arial" w:hAnsi="Arial" w:cs="Arial"/>
          <w:b/>
          <w:bCs/>
        </w:rPr>
      </w:pPr>
    </w:p>
    <w:p w14:paraId="29EC8F61" w14:textId="72DE2D87" w:rsidR="00DD10A0" w:rsidRPr="00B01850" w:rsidRDefault="00DD10A0" w:rsidP="2507F65D">
      <w:pPr>
        <w:spacing w:after="0" w:line="240" w:lineRule="auto"/>
        <w:jc w:val="both"/>
        <w:rPr>
          <w:rFonts w:ascii="Arial" w:hAnsi="Arial" w:cs="Arial"/>
          <w:i/>
          <w:iCs/>
        </w:rPr>
      </w:pPr>
      <w:r w:rsidRPr="00B01850">
        <w:rPr>
          <w:rFonts w:ascii="Arial" w:hAnsi="Arial" w:cs="Arial"/>
          <w:i/>
          <w:iCs/>
        </w:rPr>
        <w:t xml:space="preserve">Cette section informera/mettra à jour l'état d'avancement des mesures d'atténuation et de suivi des risques significatifs du projet, en utilisant une approche matricielle incluant les mesures pertinentes de santé et de sécurité des populations. Veuillez utiliser la matrice du PGES avec les colonnes suivantes dans l'ordre, comme indiqué ci-dessous. </w:t>
      </w:r>
    </w:p>
    <w:p w14:paraId="73455793" w14:textId="77777777" w:rsidR="00DD10A0" w:rsidRPr="00B01850" w:rsidRDefault="00DD10A0" w:rsidP="00AE230E">
      <w:pPr>
        <w:spacing w:after="0" w:line="240" w:lineRule="auto"/>
        <w:jc w:val="both"/>
        <w:rPr>
          <w:rFonts w:ascii="Arial" w:hAnsi="Arial" w:cs="Arial"/>
        </w:rPr>
      </w:pPr>
    </w:p>
    <w:p w14:paraId="463D8C5A" w14:textId="3DCECCB5" w:rsidR="00DD10A0" w:rsidRPr="00B01850" w:rsidRDefault="00DD10A0" w:rsidP="00AE230E">
      <w:pPr>
        <w:spacing w:after="0" w:line="240" w:lineRule="auto"/>
        <w:jc w:val="both"/>
        <w:rPr>
          <w:rFonts w:ascii="Arial" w:hAnsi="Arial" w:cs="Arial"/>
        </w:rPr>
      </w:pPr>
      <w:r w:rsidRPr="00B01850">
        <w:rPr>
          <w:rFonts w:ascii="Arial" w:hAnsi="Arial" w:cs="Arial"/>
        </w:rPr>
        <w:t>État d'avancement de la mise en œuvre du PGES</w:t>
      </w:r>
    </w:p>
    <w:tbl>
      <w:tblPr>
        <w:tblStyle w:val="TableGrid"/>
        <w:tblW w:w="9466" w:type="dxa"/>
        <w:tblInd w:w="-5" w:type="dxa"/>
        <w:tblLayout w:type="fixed"/>
        <w:tblLook w:val="04A0" w:firstRow="1" w:lastRow="0" w:firstColumn="1" w:lastColumn="0" w:noHBand="0" w:noVBand="1"/>
      </w:tblPr>
      <w:tblGrid>
        <w:gridCol w:w="1126"/>
        <w:gridCol w:w="1168"/>
        <w:gridCol w:w="1237"/>
        <w:gridCol w:w="1244"/>
        <w:gridCol w:w="1735"/>
        <w:gridCol w:w="1410"/>
        <w:gridCol w:w="1546"/>
      </w:tblGrid>
      <w:tr w:rsidR="00476FF6" w:rsidRPr="00B01850" w14:paraId="1D6554C3" w14:textId="77777777" w:rsidTr="2507F65D">
        <w:trPr>
          <w:trHeight w:val="300"/>
        </w:trPr>
        <w:tc>
          <w:tcPr>
            <w:tcW w:w="1126" w:type="dxa"/>
          </w:tcPr>
          <w:p w14:paraId="423E2C8A"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Référence</w:t>
            </w:r>
          </w:p>
        </w:tc>
        <w:tc>
          <w:tcPr>
            <w:tcW w:w="1168" w:type="dxa"/>
          </w:tcPr>
          <w:p w14:paraId="663F8DC9"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Mesures d'atténuation environnementales et sociales</w:t>
            </w:r>
          </w:p>
        </w:tc>
        <w:tc>
          <w:tcPr>
            <w:tcW w:w="1237" w:type="dxa"/>
          </w:tcPr>
          <w:p w14:paraId="2F2F4830"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Indicateurs de suivi  </w:t>
            </w:r>
          </w:p>
        </w:tc>
        <w:tc>
          <w:tcPr>
            <w:tcW w:w="1244" w:type="dxa"/>
          </w:tcPr>
          <w:p w14:paraId="43F1300E" w14:textId="0A76C0D8" w:rsidR="00DD10A0" w:rsidRPr="00B01850" w:rsidRDefault="00DD10A0" w:rsidP="00AE230E">
            <w:pPr>
              <w:jc w:val="both"/>
              <w:rPr>
                <w:rFonts w:ascii="Arial" w:hAnsi="Arial" w:cs="Arial"/>
                <w:sz w:val="22"/>
                <w:szCs w:val="22"/>
              </w:rPr>
            </w:pPr>
            <w:r w:rsidRPr="00B01850">
              <w:rPr>
                <w:rFonts w:ascii="Arial" w:hAnsi="Arial" w:cs="Arial"/>
                <w:sz w:val="22"/>
                <w:szCs w:val="22"/>
              </w:rPr>
              <w:t>Lié à l'activité d'investissement ou aux NES</w:t>
            </w:r>
          </w:p>
        </w:tc>
        <w:tc>
          <w:tcPr>
            <w:tcW w:w="1735" w:type="dxa"/>
          </w:tcPr>
          <w:p w14:paraId="16CD6207"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État d'avancement de la mise en œuvre </w:t>
            </w:r>
          </w:p>
          <w:p w14:paraId="60367152" w14:textId="77777777" w:rsidR="00DD10A0" w:rsidRPr="00B01850" w:rsidRDefault="00DD10A0" w:rsidP="00AE230E">
            <w:pPr>
              <w:jc w:val="both"/>
              <w:rPr>
                <w:rFonts w:ascii="Arial" w:hAnsi="Arial" w:cs="Arial"/>
                <w:sz w:val="22"/>
                <w:szCs w:val="22"/>
              </w:rPr>
            </w:pPr>
          </w:p>
        </w:tc>
        <w:tc>
          <w:tcPr>
            <w:tcW w:w="1410" w:type="dxa"/>
          </w:tcPr>
          <w:p w14:paraId="23A63B45"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Justification des retards/défaillances</w:t>
            </w:r>
          </w:p>
        </w:tc>
        <w:tc>
          <w:tcPr>
            <w:tcW w:w="1546" w:type="dxa"/>
          </w:tcPr>
          <w:p w14:paraId="3B3C8FCC"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Actions à mener et calendrier</w:t>
            </w:r>
          </w:p>
        </w:tc>
      </w:tr>
      <w:tr w:rsidR="00476FF6" w:rsidRPr="00B01850" w14:paraId="4A81538B" w14:textId="77777777" w:rsidTr="2507F65D">
        <w:trPr>
          <w:trHeight w:val="300"/>
        </w:trPr>
        <w:tc>
          <w:tcPr>
            <w:tcW w:w="1126" w:type="dxa"/>
          </w:tcPr>
          <w:p w14:paraId="53717389" w14:textId="77777777" w:rsidR="00DD10A0" w:rsidRPr="00B01850" w:rsidRDefault="00DD10A0" w:rsidP="00AE230E">
            <w:pPr>
              <w:jc w:val="both"/>
              <w:rPr>
                <w:rFonts w:ascii="Arial" w:hAnsi="Arial" w:cs="Arial"/>
                <w:sz w:val="22"/>
                <w:szCs w:val="22"/>
              </w:rPr>
            </w:pPr>
          </w:p>
        </w:tc>
        <w:tc>
          <w:tcPr>
            <w:tcW w:w="1168" w:type="dxa"/>
          </w:tcPr>
          <w:p w14:paraId="426A3F89" w14:textId="77777777" w:rsidR="00DD10A0" w:rsidRPr="00B01850" w:rsidRDefault="00DD10A0" w:rsidP="00AE230E">
            <w:pPr>
              <w:jc w:val="both"/>
              <w:rPr>
                <w:rFonts w:ascii="Arial" w:hAnsi="Arial" w:cs="Arial"/>
                <w:sz w:val="22"/>
                <w:szCs w:val="22"/>
              </w:rPr>
            </w:pPr>
          </w:p>
        </w:tc>
        <w:tc>
          <w:tcPr>
            <w:tcW w:w="1237" w:type="dxa"/>
          </w:tcPr>
          <w:p w14:paraId="011452C6" w14:textId="77777777" w:rsidR="00DD10A0" w:rsidRPr="00B01850" w:rsidRDefault="00DD10A0" w:rsidP="00AE230E">
            <w:pPr>
              <w:jc w:val="both"/>
              <w:rPr>
                <w:rFonts w:ascii="Arial" w:hAnsi="Arial" w:cs="Arial"/>
                <w:sz w:val="22"/>
                <w:szCs w:val="22"/>
              </w:rPr>
            </w:pPr>
          </w:p>
        </w:tc>
        <w:tc>
          <w:tcPr>
            <w:tcW w:w="1244" w:type="dxa"/>
          </w:tcPr>
          <w:p w14:paraId="03B82DE8" w14:textId="77777777" w:rsidR="00DD10A0" w:rsidRPr="00B01850" w:rsidRDefault="00DD10A0" w:rsidP="00AE230E">
            <w:pPr>
              <w:jc w:val="both"/>
              <w:rPr>
                <w:rFonts w:ascii="Arial" w:hAnsi="Arial" w:cs="Arial"/>
                <w:sz w:val="22"/>
                <w:szCs w:val="22"/>
              </w:rPr>
            </w:pPr>
          </w:p>
        </w:tc>
        <w:tc>
          <w:tcPr>
            <w:tcW w:w="1735" w:type="dxa"/>
          </w:tcPr>
          <w:p w14:paraId="4BC5C4B2" w14:textId="77777777" w:rsidR="00DD10A0" w:rsidRPr="00B01850" w:rsidRDefault="00DD10A0" w:rsidP="00AE230E">
            <w:pPr>
              <w:jc w:val="both"/>
              <w:rPr>
                <w:rFonts w:ascii="Arial" w:hAnsi="Arial" w:cs="Arial"/>
                <w:sz w:val="22"/>
                <w:szCs w:val="22"/>
              </w:rPr>
            </w:pPr>
          </w:p>
        </w:tc>
        <w:tc>
          <w:tcPr>
            <w:tcW w:w="1410" w:type="dxa"/>
          </w:tcPr>
          <w:p w14:paraId="7D17B477" w14:textId="77777777" w:rsidR="00DD10A0" w:rsidRPr="00B01850" w:rsidRDefault="00DD10A0" w:rsidP="00AE230E">
            <w:pPr>
              <w:jc w:val="both"/>
              <w:rPr>
                <w:rFonts w:ascii="Arial" w:hAnsi="Arial" w:cs="Arial"/>
                <w:sz w:val="22"/>
                <w:szCs w:val="22"/>
              </w:rPr>
            </w:pPr>
          </w:p>
        </w:tc>
        <w:tc>
          <w:tcPr>
            <w:tcW w:w="1546" w:type="dxa"/>
          </w:tcPr>
          <w:p w14:paraId="117324FB" w14:textId="77777777" w:rsidR="00DD10A0" w:rsidRPr="00B01850" w:rsidRDefault="00DD10A0" w:rsidP="00AE230E">
            <w:pPr>
              <w:jc w:val="both"/>
              <w:rPr>
                <w:rFonts w:ascii="Arial" w:hAnsi="Arial" w:cs="Arial"/>
                <w:sz w:val="22"/>
                <w:szCs w:val="22"/>
              </w:rPr>
            </w:pPr>
          </w:p>
        </w:tc>
      </w:tr>
    </w:tbl>
    <w:p w14:paraId="06736B9F" w14:textId="77777777" w:rsidR="00DD10A0" w:rsidRPr="00B01850" w:rsidRDefault="00DD10A0" w:rsidP="00AE230E">
      <w:pPr>
        <w:spacing w:after="0" w:line="240" w:lineRule="auto"/>
        <w:jc w:val="both"/>
        <w:rPr>
          <w:rFonts w:ascii="Arial" w:hAnsi="Arial" w:cs="Arial"/>
        </w:rPr>
      </w:pPr>
    </w:p>
    <w:p w14:paraId="00471494" w14:textId="77777777" w:rsidR="00DD10A0" w:rsidRPr="00B01850" w:rsidRDefault="00DD10A0" w:rsidP="00AE230E">
      <w:pPr>
        <w:spacing w:after="0" w:line="240" w:lineRule="auto"/>
        <w:jc w:val="both"/>
        <w:rPr>
          <w:rFonts w:ascii="Arial" w:hAnsi="Arial" w:cs="Arial"/>
        </w:rPr>
      </w:pPr>
    </w:p>
    <w:p w14:paraId="41ED10B6" w14:textId="77777777" w:rsidR="00DD10A0" w:rsidRPr="00B01850" w:rsidRDefault="00DD10A0" w:rsidP="00AE230E">
      <w:pPr>
        <w:spacing w:after="0" w:line="240" w:lineRule="auto"/>
        <w:jc w:val="both"/>
        <w:rPr>
          <w:rFonts w:ascii="Arial" w:hAnsi="Arial" w:cs="Arial"/>
          <w:b/>
          <w:bCs/>
        </w:rPr>
      </w:pPr>
      <w:r w:rsidRPr="00B01850">
        <w:rPr>
          <w:rFonts w:ascii="Arial" w:hAnsi="Arial" w:cs="Arial"/>
          <w:b/>
          <w:bCs/>
        </w:rPr>
        <w:t xml:space="preserve">État d'avancement de la mise en œuvre du mécanisme de gestion des plaintes du projet    </w:t>
      </w:r>
    </w:p>
    <w:p w14:paraId="3EA6F0A2" w14:textId="77777777" w:rsidR="00DD10A0" w:rsidRPr="00B01850" w:rsidRDefault="00DD10A0" w:rsidP="00AE230E">
      <w:pPr>
        <w:spacing w:after="0" w:line="240" w:lineRule="auto"/>
        <w:jc w:val="both"/>
        <w:rPr>
          <w:rFonts w:ascii="Arial" w:hAnsi="Arial" w:cs="Arial"/>
        </w:rPr>
      </w:pPr>
    </w:p>
    <w:p w14:paraId="256A48E6" w14:textId="36A81E85" w:rsidR="00DD10A0" w:rsidRPr="00B01850" w:rsidRDefault="00DD10A0" w:rsidP="00AE230E">
      <w:pPr>
        <w:spacing w:after="0" w:line="240" w:lineRule="auto"/>
        <w:jc w:val="both"/>
        <w:rPr>
          <w:rFonts w:ascii="Arial" w:hAnsi="Arial" w:cs="Arial"/>
        </w:rPr>
      </w:pPr>
      <w:r w:rsidRPr="00B01850">
        <w:rPr>
          <w:rFonts w:ascii="Arial" w:hAnsi="Arial" w:cs="Arial"/>
        </w:rPr>
        <w:t>Cette section informera/fera le point sur l'état d'avancement des plaintes déposées et sur la manière dont l'</w:t>
      </w:r>
      <w:r w:rsidR="00516657" w:rsidRPr="00B01850">
        <w:rPr>
          <w:rFonts w:ascii="Arial" w:hAnsi="Arial" w:cs="Arial"/>
        </w:rPr>
        <w:t>UGP</w:t>
      </w:r>
      <w:r w:rsidRPr="00B01850">
        <w:rPr>
          <w:rFonts w:ascii="Arial" w:hAnsi="Arial" w:cs="Arial"/>
        </w:rPr>
        <w:t xml:space="preserve"> du CERP répond aux préoccupations</w:t>
      </w:r>
      <w:r w:rsidR="00A80DF7" w:rsidRPr="00B01850">
        <w:rPr>
          <w:rFonts w:ascii="Arial" w:hAnsi="Arial" w:cs="Arial"/>
        </w:rPr>
        <w:t xml:space="preserve">, réclamations, craintes, demandes d’informations </w:t>
      </w:r>
      <w:r w:rsidRPr="00B01850">
        <w:rPr>
          <w:rFonts w:ascii="Arial" w:hAnsi="Arial" w:cs="Arial"/>
        </w:rPr>
        <w:t xml:space="preserve">(y compris ceux relatifs au travail, aux questions sociales et à l'environnement) des parties touchées par le projet. </w:t>
      </w:r>
    </w:p>
    <w:p w14:paraId="797B756B" w14:textId="7B9AFCB7" w:rsidR="00DD10A0" w:rsidRPr="00B01850" w:rsidRDefault="00DD10A0" w:rsidP="00AE230E">
      <w:pPr>
        <w:spacing w:after="0" w:line="240" w:lineRule="auto"/>
        <w:jc w:val="both"/>
        <w:rPr>
          <w:rFonts w:ascii="Arial" w:hAnsi="Arial" w:cs="Arial"/>
        </w:rPr>
      </w:pPr>
      <w:r w:rsidRPr="00B01850">
        <w:rPr>
          <w:rFonts w:ascii="Arial" w:hAnsi="Arial" w:cs="Arial"/>
        </w:rPr>
        <w:t xml:space="preserve">Indiquer le nombre total de </w:t>
      </w:r>
      <w:r w:rsidR="00A80DF7" w:rsidRPr="00B01850">
        <w:rPr>
          <w:rFonts w:ascii="Arial" w:hAnsi="Arial" w:cs="Arial"/>
        </w:rPr>
        <w:t xml:space="preserve">réclamations </w:t>
      </w:r>
      <w:r w:rsidRPr="00B01850">
        <w:rPr>
          <w:rFonts w:ascii="Arial" w:hAnsi="Arial" w:cs="Arial"/>
        </w:rPr>
        <w:t>enregistrées pendant la période considérée ;</w:t>
      </w:r>
    </w:p>
    <w:p w14:paraId="10549039" w14:textId="77777777" w:rsidR="00DD10A0" w:rsidRPr="00B01850" w:rsidRDefault="00DD10A0" w:rsidP="00AE230E">
      <w:pPr>
        <w:spacing w:after="0" w:line="240" w:lineRule="auto"/>
        <w:jc w:val="both"/>
        <w:rPr>
          <w:rFonts w:ascii="Arial" w:hAnsi="Arial" w:cs="Arial"/>
        </w:rPr>
      </w:pPr>
      <w:r w:rsidRPr="00B01850">
        <w:rPr>
          <w:rFonts w:ascii="Arial" w:hAnsi="Arial" w:cs="Arial"/>
        </w:rPr>
        <w:t>Combien d'entre elles ont été résolues ?</w:t>
      </w:r>
    </w:p>
    <w:p w14:paraId="172D820C" w14:textId="356AC736" w:rsidR="00DD10A0" w:rsidRPr="00B01850" w:rsidRDefault="00DD10A0" w:rsidP="00AE230E">
      <w:pPr>
        <w:spacing w:after="0" w:line="240" w:lineRule="auto"/>
        <w:jc w:val="both"/>
        <w:rPr>
          <w:rFonts w:ascii="Arial" w:hAnsi="Arial" w:cs="Arial"/>
        </w:rPr>
      </w:pPr>
      <w:r w:rsidRPr="00B01850">
        <w:rPr>
          <w:rFonts w:ascii="Arial" w:hAnsi="Arial" w:cs="Arial"/>
        </w:rPr>
        <w:t xml:space="preserve">Combien d'entre </w:t>
      </w:r>
      <w:r w:rsidR="00A80DF7" w:rsidRPr="00B01850">
        <w:rPr>
          <w:rFonts w:ascii="Arial" w:hAnsi="Arial" w:cs="Arial"/>
        </w:rPr>
        <w:t>elles</w:t>
      </w:r>
      <w:r w:rsidRPr="00B01850">
        <w:rPr>
          <w:rFonts w:ascii="Arial" w:hAnsi="Arial" w:cs="Arial"/>
        </w:rPr>
        <w:t xml:space="preserve"> ont été </w:t>
      </w:r>
      <w:r w:rsidR="00A80DF7" w:rsidRPr="00B01850">
        <w:rPr>
          <w:rFonts w:ascii="Arial" w:hAnsi="Arial" w:cs="Arial"/>
        </w:rPr>
        <w:t xml:space="preserve">résolues </w:t>
      </w:r>
      <w:r w:rsidRPr="00B01850">
        <w:rPr>
          <w:rFonts w:ascii="Arial" w:hAnsi="Arial" w:cs="Arial"/>
        </w:rPr>
        <w:t xml:space="preserve">ailleurs ? Le </w:t>
      </w:r>
      <w:r w:rsidR="00516657" w:rsidRPr="00B01850">
        <w:rPr>
          <w:rFonts w:ascii="Arial" w:hAnsi="Arial" w:cs="Arial"/>
        </w:rPr>
        <w:t>MNGR</w:t>
      </w:r>
      <w:r w:rsidRPr="00B01850">
        <w:rPr>
          <w:rFonts w:ascii="Arial" w:hAnsi="Arial" w:cs="Arial"/>
        </w:rPr>
        <w:t xml:space="preserve"> assure-t-il un suivi ?</w:t>
      </w:r>
    </w:p>
    <w:p w14:paraId="47E2C7B2" w14:textId="0D577206" w:rsidR="00DD10A0" w:rsidRPr="00B01850" w:rsidRDefault="00DD10A0" w:rsidP="00AE230E">
      <w:pPr>
        <w:spacing w:after="0" w:line="240" w:lineRule="auto"/>
        <w:jc w:val="both"/>
        <w:rPr>
          <w:rFonts w:ascii="Arial" w:hAnsi="Arial" w:cs="Arial"/>
        </w:rPr>
      </w:pPr>
      <w:r w:rsidRPr="00B01850">
        <w:rPr>
          <w:rFonts w:ascii="Arial" w:hAnsi="Arial" w:cs="Arial"/>
        </w:rPr>
        <w:t xml:space="preserve">Combien de </w:t>
      </w:r>
      <w:r w:rsidR="00A80DF7" w:rsidRPr="00B01850">
        <w:rPr>
          <w:rFonts w:ascii="Arial" w:hAnsi="Arial" w:cs="Arial"/>
        </w:rPr>
        <w:t>réclamations sont en cours de traitement et raisons</w:t>
      </w:r>
      <w:r w:rsidRPr="00B01850">
        <w:rPr>
          <w:rFonts w:ascii="Arial" w:hAnsi="Arial" w:cs="Arial"/>
        </w:rPr>
        <w:t xml:space="preserve"> ?</w:t>
      </w:r>
    </w:p>
    <w:p w14:paraId="6213E07D" w14:textId="77777777" w:rsidR="00DD10A0" w:rsidRPr="00B01850" w:rsidRDefault="00DD10A0" w:rsidP="00AE230E">
      <w:pPr>
        <w:spacing w:after="0" w:line="240" w:lineRule="auto"/>
        <w:jc w:val="both"/>
        <w:rPr>
          <w:rFonts w:ascii="Arial" w:hAnsi="Arial" w:cs="Arial"/>
        </w:rPr>
      </w:pPr>
      <w:r w:rsidRPr="00B01850">
        <w:rPr>
          <w:rFonts w:ascii="Arial" w:hAnsi="Arial" w:cs="Arial"/>
        </w:rPr>
        <w:t>Quel est le plan pour régler les questions non résolues ?</w:t>
      </w:r>
    </w:p>
    <w:p w14:paraId="2F97F9AC" w14:textId="057D2D37" w:rsidR="00DD10A0" w:rsidRPr="00B01850" w:rsidRDefault="00DD10A0" w:rsidP="00AE230E">
      <w:pPr>
        <w:spacing w:after="0" w:line="240" w:lineRule="auto"/>
        <w:jc w:val="both"/>
        <w:rPr>
          <w:rFonts w:ascii="Arial" w:hAnsi="Arial" w:cs="Arial"/>
        </w:rPr>
      </w:pPr>
      <w:r w:rsidRPr="00B01850">
        <w:rPr>
          <w:rFonts w:ascii="Arial" w:hAnsi="Arial" w:cs="Arial"/>
        </w:rPr>
        <w:t xml:space="preserve">Veuillez joindre à l'annexe D des copies des mécanismes de règlement des </w:t>
      </w:r>
      <w:r w:rsidR="00516657" w:rsidRPr="00B01850">
        <w:rPr>
          <w:rFonts w:ascii="Arial" w:hAnsi="Arial" w:cs="Arial"/>
        </w:rPr>
        <w:t>réclamations</w:t>
      </w:r>
      <w:r w:rsidRPr="00B01850">
        <w:rPr>
          <w:rFonts w:ascii="Arial" w:hAnsi="Arial" w:cs="Arial"/>
        </w:rPr>
        <w:t xml:space="preserve"> pour la période considérée.</w:t>
      </w:r>
    </w:p>
    <w:p w14:paraId="7452024A" w14:textId="77777777" w:rsidR="00DD10A0" w:rsidRPr="00B01850" w:rsidRDefault="00DD10A0" w:rsidP="00AE230E">
      <w:pPr>
        <w:spacing w:after="0" w:line="240" w:lineRule="auto"/>
        <w:jc w:val="both"/>
        <w:rPr>
          <w:rFonts w:ascii="Arial" w:hAnsi="Arial" w:cs="Arial"/>
        </w:rPr>
      </w:pPr>
    </w:p>
    <w:p w14:paraId="0EAF8F40" w14:textId="77777777" w:rsidR="005D37D9" w:rsidRPr="00B01850" w:rsidRDefault="005D37D9">
      <w:pPr>
        <w:rPr>
          <w:rFonts w:ascii="Arial" w:hAnsi="Arial" w:cs="Arial"/>
        </w:rPr>
      </w:pPr>
      <w:r w:rsidRPr="00B01850">
        <w:rPr>
          <w:rFonts w:ascii="Arial" w:hAnsi="Arial" w:cs="Arial"/>
        </w:rPr>
        <w:br w:type="page"/>
      </w:r>
    </w:p>
    <w:p w14:paraId="092EC3AD" w14:textId="34AA91FE" w:rsidR="00DD10A0" w:rsidRPr="00B01850" w:rsidRDefault="00DD10A0" w:rsidP="2507F65D">
      <w:pPr>
        <w:spacing w:after="0" w:line="240" w:lineRule="auto"/>
        <w:jc w:val="both"/>
        <w:rPr>
          <w:rFonts w:ascii="Arial" w:hAnsi="Arial" w:cs="Arial"/>
        </w:rPr>
      </w:pPr>
      <w:r w:rsidRPr="00B01850">
        <w:rPr>
          <w:rFonts w:ascii="Arial" w:hAnsi="Arial" w:cs="Arial"/>
        </w:rPr>
        <w:lastRenderedPageBreak/>
        <w:t xml:space="preserve">Aperçu des </w:t>
      </w:r>
      <w:r w:rsidR="00516657" w:rsidRPr="00B01850">
        <w:rPr>
          <w:rFonts w:ascii="Arial" w:hAnsi="Arial" w:cs="Arial"/>
        </w:rPr>
        <w:t>réclamation</w:t>
      </w:r>
      <w:r w:rsidRPr="00B01850">
        <w:rPr>
          <w:rFonts w:ascii="Arial" w:hAnsi="Arial" w:cs="Arial"/>
        </w:rPr>
        <w:t>s pendant la période considérée</w:t>
      </w:r>
    </w:p>
    <w:tbl>
      <w:tblPr>
        <w:tblStyle w:val="TableGrid"/>
        <w:tblW w:w="0" w:type="auto"/>
        <w:tblLook w:val="04A0" w:firstRow="1" w:lastRow="0" w:firstColumn="1" w:lastColumn="0" w:noHBand="0" w:noVBand="1"/>
      </w:tblPr>
      <w:tblGrid>
        <w:gridCol w:w="485"/>
        <w:gridCol w:w="2319"/>
        <w:gridCol w:w="1397"/>
        <w:gridCol w:w="1428"/>
        <w:gridCol w:w="1830"/>
        <w:gridCol w:w="1891"/>
      </w:tblGrid>
      <w:tr w:rsidR="00476FF6" w:rsidRPr="00B01850" w14:paraId="3190C6DF" w14:textId="77777777" w:rsidTr="2507F65D">
        <w:trPr>
          <w:trHeight w:val="300"/>
        </w:trPr>
        <w:tc>
          <w:tcPr>
            <w:tcW w:w="535" w:type="dxa"/>
            <w:shd w:val="clear" w:color="auto" w:fill="auto"/>
          </w:tcPr>
          <w:p w14:paraId="621581D0" w14:textId="77777777" w:rsidR="00DD10A0" w:rsidRPr="00B01850" w:rsidRDefault="00DD10A0" w:rsidP="00AE230E">
            <w:pPr>
              <w:jc w:val="both"/>
              <w:rPr>
                <w:rFonts w:ascii="Arial" w:hAnsi="Arial" w:cs="Arial"/>
                <w:b/>
                <w:bCs/>
                <w:sz w:val="22"/>
                <w:szCs w:val="22"/>
              </w:rPr>
            </w:pPr>
            <w:r w:rsidRPr="00B01850">
              <w:rPr>
                <w:rFonts w:ascii="Arial" w:hAnsi="Arial" w:cs="Arial"/>
                <w:b/>
                <w:bCs/>
                <w:sz w:val="22"/>
                <w:szCs w:val="22"/>
              </w:rPr>
              <w:t>#</w:t>
            </w:r>
          </w:p>
        </w:tc>
        <w:tc>
          <w:tcPr>
            <w:tcW w:w="2581" w:type="dxa"/>
            <w:shd w:val="clear" w:color="auto" w:fill="auto"/>
          </w:tcPr>
          <w:p w14:paraId="6E21EAB7" w14:textId="77777777" w:rsidR="00DD10A0" w:rsidRPr="00B01850" w:rsidRDefault="00DD10A0" w:rsidP="00AE230E">
            <w:pPr>
              <w:jc w:val="both"/>
              <w:rPr>
                <w:rFonts w:ascii="Arial" w:hAnsi="Arial" w:cs="Arial"/>
                <w:b/>
                <w:bCs/>
                <w:sz w:val="22"/>
                <w:szCs w:val="22"/>
              </w:rPr>
            </w:pPr>
            <w:r w:rsidRPr="00B01850">
              <w:rPr>
                <w:rFonts w:ascii="Arial" w:hAnsi="Arial" w:cs="Arial"/>
                <w:b/>
                <w:bCs/>
                <w:sz w:val="22"/>
                <w:szCs w:val="22"/>
              </w:rPr>
              <w:t xml:space="preserve">Partie prenante </w:t>
            </w:r>
          </w:p>
        </w:tc>
        <w:tc>
          <w:tcPr>
            <w:tcW w:w="1558" w:type="dxa"/>
            <w:shd w:val="clear" w:color="auto" w:fill="auto"/>
          </w:tcPr>
          <w:p w14:paraId="26366CBD" w14:textId="002FE45B" w:rsidR="00DD10A0" w:rsidRPr="00B01850" w:rsidRDefault="00DD10A0" w:rsidP="00AE230E">
            <w:pPr>
              <w:jc w:val="both"/>
              <w:rPr>
                <w:rFonts w:ascii="Arial" w:hAnsi="Arial" w:cs="Arial"/>
                <w:b/>
                <w:bCs/>
                <w:sz w:val="22"/>
                <w:szCs w:val="22"/>
              </w:rPr>
            </w:pPr>
            <w:r w:rsidRPr="00B01850">
              <w:rPr>
                <w:rFonts w:ascii="Arial" w:hAnsi="Arial" w:cs="Arial"/>
                <w:b/>
                <w:bCs/>
                <w:sz w:val="22"/>
                <w:szCs w:val="22"/>
              </w:rPr>
              <w:t>Nature d</w:t>
            </w:r>
            <w:r w:rsidR="00214DCC">
              <w:rPr>
                <w:rFonts w:ascii="Arial" w:hAnsi="Arial" w:cs="Arial"/>
                <w:b/>
                <w:bCs/>
                <w:sz w:val="22"/>
                <w:szCs w:val="22"/>
              </w:rPr>
              <w:t>e</w:t>
            </w:r>
            <w:r w:rsidRPr="00B01850">
              <w:rPr>
                <w:rFonts w:ascii="Arial" w:hAnsi="Arial" w:cs="Arial"/>
                <w:b/>
                <w:bCs/>
                <w:sz w:val="22"/>
                <w:szCs w:val="22"/>
              </w:rPr>
              <w:t xml:space="preserve"> </w:t>
            </w:r>
            <w:r w:rsidR="00214DCC">
              <w:rPr>
                <w:rFonts w:ascii="Arial" w:hAnsi="Arial" w:cs="Arial"/>
                <w:b/>
                <w:bCs/>
                <w:sz w:val="22"/>
                <w:szCs w:val="22"/>
              </w:rPr>
              <w:t>la plainte</w:t>
            </w:r>
          </w:p>
        </w:tc>
        <w:tc>
          <w:tcPr>
            <w:tcW w:w="1558" w:type="dxa"/>
            <w:shd w:val="clear" w:color="auto" w:fill="auto"/>
          </w:tcPr>
          <w:p w14:paraId="10F644B0" w14:textId="72753AF6" w:rsidR="00DD10A0" w:rsidRPr="00B01850" w:rsidRDefault="00DD10A0" w:rsidP="00AE230E">
            <w:pPr>
              <w:jc w:val="both"/>
              <w:rPr>
                <w:rFonts w:ascii="Arial" w:hAnsi="Arial" w:cs="Arial"/>
                <w:b/>
                <w:bCs/>
                <w:sz w:val="22"/>
                <w:szCs w:val="22"/>
              </w:rPr>
            </w:pPr>
            <w:r w:rsidRPr="00B01850">
              <w:rPr>
                <w:rFonts w:ascii="Arial" w:hAnsi="Arial" w:cs="Arial"/>
                <w:b/>
                <w:bCs/>
                <w:sz w:val="22"/>
                <w:szCs w:val="22"/>
              </w:rPr>
              <w:t xml:space="preserve">Total des </w:t>
            </w:r>
            <w:r w:rsidR="007D0282">
              <w:rPr>
                <w:rFonts w:ascii="Arial" w:hAnsi="Arial" w:cs="Arial"/>
                <w:b/>
                <w:bCs/>
                <w:sz w:val="22"/>
                <w:szCs w:val="22"/>
              </w:rPr>
              <w:t>pl</w:t>
            </w:r>
            <w:r w:rsidR="007D0282">
              <w:rPr>
                <w:rFonts w:ascii="Arial" w:hAnsi="Arial" w:cs="Arial"/>
                <w:b/>
                <w:bCs/>
                <w:sz w:val="22"/>
                <w:szCs w:val="22"/>
              </w:rPr>
              <w:t>ainte</w:t>
            </w:r>
            <w:r w:rsidR="00214DCC">
              <w:rPr>
                <w:rFonts w:ascii="Arial" w:hAnsi="Arial" w:cs="Arial"/>
                <w:b/>
                <w:bCs/>
                <w:sz w:val="22"/>
                <w:szCs w:val="22"/>
              </w:rPr>
              <w:t>s</w:t>
            </w:r>
            <w:r w:rsidRPr="00B01850">
              <w:rPr>
                <w:rFonts w:ascii="Arial" w:hAnsi="Arial" w:cs="Arial"/>
                <w:b/>
                <w:bCs/>
                <w:sz w:val="22"/>
                <w:szCs w:val="22"/>
              </w:rPr>
              <w:t xml:space="preserve"> </w:t>
            </w:r>
          </w:p>
        </w:tc>
        <w:tc>
          <w:tcPr>
            <w:tcW w:w="1559" w:type="dxa"/>
            <w:shd w:val="clear" w:color="auto" w:fill="auto"/>
          </w:tcPr>
          <w:p w14:paraId="52B5C5FD" w14:textId="77777777" w:rsidR="00DD10A0" w:rsidRPr="00B01850" w:rsidRDefault="00DD10A0" w:rsidP="00AE230E">
            <w:pPr>
              <w:jc w:val="both"/>
              <w:rPr>
                <w:rFonts w:ascii="Arial" w:hAnsi="Arial" w:cs="Arial"/>
                <w:b/>
                <w:bCs/>
                <w:sz w:val="22"/>
                <w:szCs w:val="22"/>
              </w:rPr>
            </w:pPr>
            <w:r w:rsidRPr="00B01850">
              <w:rPr>
                <w:rFonts w:ascii="Arial" w:hAnsi="Arial" w:cs="Arial"/>
                <w:b/>
                <w:bCs/>
                <w:sz w:val="22"/>
                <w:szCs w:val="22"/>
              </w:rPr>
              <w:t>État (d’avancement)</w:t>
            </w:r>
          </w:p>
        </w:tc>
        <w:tc>
          <w:tcPr>
            <w:tcW w:w="1559" w:type="dxa"/>
          </w:tcPr>
          <w:p w14:paraId="227961A4" w14:textId="77777777" w:rsidR="00DD10A0" w:rsidRPr="00B01850" w:rsidRDefault="00DD10A0" w:rsidP="00AE230E">
            <w:pPr>
              <w:jc w:val="both"/>
              <w:rPr>
                <w:rFonts w:ascii="Arial" w:hAnsi="Arial" w:cs="Arial"/>
                <w:b/>
                <w:bCs/>
                <w:sz w:val="22"/>
                <w:szCs w:val="22"/>
              </w:rPr>
            </w:pPr>
            <w:r w:rsidRPr="00B01850">
              <w:rPr>
                <w:rFonts w:ascii="Arial" w:hAnsi="Arial" w:cs="Arial"/>
                <w:b/>
                <w:bCs/>
                <w:sz w:val="22"/>
                <w:szCs w:val="22"/>
              </w:rPr>
              <w:t>Remarques/ Commentaire(s)</w:t>
            </w:r>
          </w:p>
        </w:tc>
      </w:tr>
      <w:tr w:rsidR="00476FF6" w:rsidRPr="00B01850" w14:paraId="4D02FE2C" w14:textId="77777777" w:rsidTr="2507F65D">
        <w:trPr>
          <w:trHeight w:val="300"/>
        </w:trPr>
        <w:tc>
          <w:tcPr>
            <w:tcW w:w="535" w:type="dxa"/>
            <w:shd w:val="clear" w:color="auto" w:fill="auto"/>
          </w:tcPr>
          <w:p w14:paraId="0D38FCD2" w14:textId="77777777" w:rsidR="00DD10A0" w:rsidRPr="00B01850" w:rsidRDefault="00DD10A0" w:rsidP="2507F65D">
            <w:pPr>
              <w:jc w:val="both"/>
              <w:rPr>
                <w:rFonts w:ascii="Arial" w:hAnsi="Arial" w:cs="Arial"/>
                <w:i/>
                <w:iCs/>
                <w:sz w:val="22"/>
                <w:szCs w:val="22"/>
              </w:rPr>
            </w:pPr>
          </w:p>
        </w:tc>
        <w:tc>
          <w:tcPr>
            <w:tcW w:w="2581" w:type="dxa"/>
            <w:shd w:val="clear" w:color="auto" w:fill="auto"/>
          </w:tcPr>
          <w:p w14:paraId="5E47C639" w14:textId="2CB92DDF" w:rsidR="00DD10A0" w:rsidRPr="00B01850" w:rsidRDefault="00DD10A0" w:rsidP="2507F65D">
            <w:pPr>
              <w:jc w:val="both"/>
              <w:rPr>
                <w:rFonts w:ascii="Arial" w:hAnsi="Arial" w:cs="Arial"/>
                <w:i/>
                <w:iCs/>
                <w:sz w:val="22"/>
                <w:szCs w:val="22"/>
              </w:rPr>
            </w:pPr>
            <w:r w:rsidRPr="00B01850">
              <w:rPr>
                <w:rFonts w:ascii="Arial" w:hAnsi="Arial" w:cs="Arial"/>
                <w:i/>
                <w:iCs/>
                <w:sz w:val="22"/>
                <w:szCs w:val="22"/>
              </w:rPr>
              <w:t>(par exemple, institution, membres de la communauté, dirigeants locaux, etc.)</w:t>
            </w:r>
          </w:p>
        </w:tc>
        <w:tc>
          <w:tcPr>
            <w:tcW w:w="1558" w:type="dxa"/>
            <w:shd w:val="clear" w:color="auto" w:fill="auto"/>
          </w:tcPr>
          <w:p w14:paraId="028C72EB" w14:textId="77777777" w:rsidR="00DD10A0" w:rsidRPr="00B01850" w:rsidRDefault="00DD10A0" w:rsidP="2507F65D">
            <w:pPr>
              <w:jc w:val="both"/>
              <w:rPr>
                <w:rFonts w:ascii="Arial" w:hAnsi="Arial" w:cs="Arial"/>
                <w:sz w:val="22"/>
                <w:szCs w:val="22"/>
              </w:rPr>
            </w:pPr>
          </w:p>
        </w:tc>
        <w:tc>
          <w:tcPr>
            <w:tcW w:w="1558" w:type="dxa"/>
            <w:shd w:val="clear" w:color="auto" w:fill="auto"/>
          </w:tcPr>
          <w:p w14:paraId="61215EA9" w14:textId="77777777" w:rsidR="00DD10A0" w:rsidRPr="00B01850" w:rsidRDefault="00DD10A0" w:rsidP="2507F65D">
            <w:pPr>
              <w:jc w:val="both"/>
              <w:rPr>
                <w:rFonts w:ascii="Arial" w:hAnsi="Arial" w:cs="Arial"/>
                <w:sz w:val="22"/>
                <w:szCs w:val="22"/>
              </w:rPr>
            </w:pPr>
          </w:p>
        </w:tc>
        <w:tc>
          <w:tcPr>
            <w:tcW w:w="1559" w:type="dxa"/>
            <w:shd w:val="clear" w:color="auto" w:fill="auto"/>
          </w:tcPr>
          <w:p w14:paraId="58396990" w14:textId="77777777" w:rsidR="00DD10A0" w:rsidRPr="00B01850" w:rsidRDefault="00DD10A0" w:rsidP="2507F65D">
            <w:pPr>
              <w:jc w:val="both"/>
              <w:rPr>
                <w:rFonts w:ascii="Arial" w:hAnsi="Arial" w:cs="Arial"/>
                <w:sz w:val="22"/>
                <w:szCs w:val="22"/>
              </w:rPr>
            </w:pPr>
            <w:r w:rsidRPr="00B01850">
              <w:rPr>
                <w:rFonts w:ascii="Arial" w:hAnsi="Arial" w:cs="Arial"/>
                <w:sz w:val="22"/>
                <w:szCs w:val="22"/>
              </w:rPr>
              <w:t>Question résolue/non résolue</w:t>
            </w:r>
          </w:p>
        </w:tc>
        <w:tc>
          <w:tcPr>
            <w:tcW w:w="1559" w:type="dxa"/>
          </w:tcPr>
          <w:p w14:paraId="2D93A6EF" w14:textId="77777777" w:rsidR="00DD10A0" w:rsidRPr="00B01850" w:rsidRDefault="00DD10A0" w:rsidP="2507F65D">
            <w:pPr>
              <w:jc w:val="both"/>
              <w:rPr>
                <w:rFonts w:ascii="Arial" w:hAnsi="Arial" w:cs="Arial"/>
                <w:sz w:val="22"/>
                <w:szCs w:val="22"/>
              </w:rPr>
            </w:pPr>
          </w:p>
        </w:tc>
      </w:tr>
      <w:tr w:rsidR="00476FF6" w:rsidRPr="00B01850" w14:paraId="5AFA2870" w14:textId="77777777" w:rsidTr="2507F65D">
        <w:trPr>
          <w:trHeight w:val="300"/>
        </w:trPr>
        <w:tc>
          <w:tcPr>
            <w:tcW w:w="535" w:type="dxa"/>
            <w:shd w:val="clear" w:color="auto" w:fill="auto"/>
          </w:tcPr>
          <w:p w14:paraId="580D14A1" w14:textId="77777777" w:rsidR="00DD10A0" w:rsidRPr="00B01850" w:rsidRDefault="00DD10A0" w:rsidP="2507F65D">
            <w:pPr>
              <w:jc w:val="both"/>
              <w:rPr>
                <w:rFonts w:ascii="Arial" w:hAnsi="Arial" w:cs="Arial"/>
                <w:i/>
                <w:iCs/>
                <w:sz w:val="22"/>
                <w:szCs w:val="22"/>
              </w:rPr>
            </w:pPr>
          </w:p>
        </w:tc>
        <w:tc>
          <w:tcPr>
            <w:tcW w:w="2581" w:type="dxa"/>
            <w:shd w:val="clear" w:color="auto" w:fill="auto"/>
          </w:tcPr>
          <w:p w14:paraId="08DD48E5" w14:textId="77777777" w:rsidR="00DD10A0" w:rsidRPr="00B01850" w:rsidRDefault="00DD10A0" w:rsidP="2507F65D">
            <w:pPr>
              <w:jc w:val="both"/>
              <w:rPr>
                <w:rFonts w:ascii="Arial" w:hAnsi="Arial" w:cs="Arial"/>
                <w:i/>
                <w:iCs/>
                <w:sz w:val="22"/>
                <w:szCs w:val="22"/>
              </w:rPr>
            </w:pPr>
          </w:p>
        </w:tc>
        <w:tc>
          <w:tcPr>
            <w:tcW w:w="1558" w:type="dxa"/>
            <w:shd w:val="clear" w:color="auto" w:fill="auto"/>
          </w:tcPr>
          <w:p w14:paraId="2C423BF4" w14:textId="77777777" w:rsidR="00DD10A0" w:rsidRPr="00B01850" w:rsidRDefault="00DD10A0" w:rsidP="2507F65D">
            <w:pPr>
              <w:jc w:val="both"/>
              <w:rPr>
                <w:rFonts w:ascii="Arial" w:hAnsi="Arial" w:cs="Arial"/>
                <w:sz w:val="22"/>
                <w:szCs w:val="22"/>
              </w:rPr>
            </w:pPr>
          </w:p>
        </w:tc>
        <w:tc>
          <w:tcPr>
            <w:tcW w:w="1558" w:type="dxa"/>
            <w:shd w:val="clear" w:color="auto" w:fill="auto"/>
          </w:tcPr>
          <w:p w14:paraId="0402D36A" w14:textId="77777777" w:rsidR="00DD10A0" w:rsidRPr="00B01850" w:rsidRDefault="00DD10A0" w:rsidP="2507F65D">
            <w:pPr>
              <w:jc w:val="both"/>
              <w:rPr>
                <w:rFonts w:ascii="Arial" w:hAnsi="Arial" w:cs="Arial"/>
                <w:sz w:val="22"/>
                <w:szCs w:val="22"/>
              </w:rPr>
            </w:pPr>
          </w:p>
        </w:tc>
        <w:tc>
          <w:tcPr>
            <w:tcW w:w="1559" w:type="dxa"/>
            <w:shd w:val="clear" w:color="auto" w:fill="auto"/>
          </w:tcPr>
          <w:p w14:paraId="7B753FD4" w14:textId="77777777" w:rsidR="00DD10A0" w:rsidRPr="00B01850" w:rsidRDefault="00DD10A0" w:rsidP="2507F65D">
            <w:pPr>
              <w:jc w:val="both"/>
              <w:rPr>
                <w:rFonts w:ascii="Arial" w:hAnsi="Arial" w:cs="Arial"/>
                <w:sz w:val="22"/>
                <w:szCs w:val="22"/>
              </w:rPr>
            </w:pPr>
          </w:p>
        </w:tc>
        <w:tc>
          <w:tcPr>
            <w:tcW w:w="1559" w:type="dxa"/>
          </w:tcPr>
          <w:p w14:paraId="5C1E9C4E" w14:textId="77777777" w:rsidR="00DD10A0" w:rsidRPr="00B01850" w:rsidRDefault="00DD10A0" w:rsidP="2507F65D">
            <w:pPr>
              <w:jc w:val="both"/>
              <w:rPr>
                <w:rFonts w:ascii="Arial" w:hAnsi="Arial" w:cs="Arial"/>
                <w:sz w:val="22"/>
                <w:szCs w:val="22"/>
              </w:rPr>
            </w:pPr>
          </w:p>
        </w:tc>
      </w:tr>
      <w:tr w:rsidR="00476FF6" w:rsidRPr="00B01850" w14:paraId="2263BF18" w14:textId="77777777" w:rsidTr="2507F65D">
        <w:trPr>
          <w:trHeight w:val="300"/>
        </w:trPr>
        <w:tc>
          <w:tcPr>
            <w:tcW w:w="535" w:type="dxa"/>
            <w:shd w:val="clear" w:color="auto" w:fill="auto"/>
          </w:tcPr>
          <w:p w14:paraId="6824343A" w14:textId="77777777" w:rsidR="00DD10A0" w:rsidRPr="00B01850" w:rsidRDefault="00DD10A0" w:rsidP="2507F65D">
            <w:pPr>
              <w:jc w:val="both"/>
              <w:rPr>
                <w:rFonts w:ascii="Arial" w:hAnsi="Arial" w:cs="Arial"/>
                <w:i/>
                <w:iCs/>
                <w:sz w:val="22"/>
                <w:szCs w:val="22"/>
              </w:rPr>
            </w:pPr>
          </w:p>
        </w:tc>
        <w:tc>
          <w:tcPr>
            <w:tcW w:w="2581" w:type="dxa"/>
            <w:shd w:val="clear" w:color="auto" w:fill="auto"/>
          </w:tcPr>
          <w:p w14:paraId="4FF47474" w14:textId="77777777" w:rsidR="00DD10A0" w:rsidRPr="00B01850" w:rsidRDefault="00DD10A0" w:rsidP="2507F65D">
            <w:pPr>
              <w:jc w:val="both"/>
              <w:rPr>
                <w:rFonts w:ascii="Arial" w:hAnsi="Arial" w:cs="Arial"/>
                <w:i/>
                <w:iCs/>
                <w:sz w:val="22"/>
                <w:szCs w:val="22"/>
              </w:rPr>
            </w:pPr>
          </w:p>
        </w:tc>
        <w:tc>
          <w:tcPr>
            <w:tcW w:w="1558" w:type="dxa"/>
            <w:shd w:val="clear" w:color="auto" w:fill="auto"/>
          </w:tcPr>
          <w:p w14:paraId="702468BE" w14:textId="77777777" w:rsidR="00DD10A0" w:rsidRPr="00B01850" w:rsidRDefault="00DD10A0" w:rsidP="2507F65D">
            <w:pPr>
              <w:jc w:val="both"/>
              <w:rPr>
                <w:rFonts w:ascii="Arial" w:hAnsi="Arial" w:cs="Arial"/>
                <w:sz w:val="22"/>
                <w:szCs w:val="22"/>
              </w:rPr>
            </w:pPr>
          </w:p>
        </w:tc>
        <w:tc>
          <w:tcPr>
            <w:tcW w:w="1558" w:type="dxa"/>
            <w:shd w:val="clear" w:color="auto" w:fill="auto"/>
          </w:tcPr>
          <w:p w14:paraId="3FD342BA" w14:textId="77777777" w:rsidR="00DD10A0" w:rsidRPr="00B01850" w:rsidRDefault="00DD10A0" w:rsidP="2507F65D">
            <w:pPr>
              <w:jc w:val="both"/>
              <w:rPr>
                <w:rFonts w:ascii="Arial" w:hAnsi="Arial" w:cs="Arial"/>
                <w:sz w:val="22"/>
                <w:szCs w:val="22"/>
              </w:rPr>
            </w:pPr>
          </w:p>
        </w:tc>
        <w:tc>
          <w:tcPr>
            <w:tcW w:w="1559" w:type="dxa"/>
            <w:shd w:val="clear" w:color="auto" w:fill="auto"/>
          </w:tcPr>
          <w:p w14:paraId="26B39D3C" w14:textId="77777777" w:rsidR="00DD10A0" w:rsidRPr="00B01850" w:rsidRDefault="00DD10A0" w:rsidP="2507F65D">
            <w:pPr>
              <w:jc w:val="both"/>
              <w:rPr>
                <w:rFonts w:ascii="Arial" w:hAnsi="Arial" w:cs="Arial"/>
                <w:sz w:val="22"/>
                <w:szCs w:val="22"/>
              </w:rPr>
            </w:pPr>
          </w:p>
        </w:tc>
        <w:tc>
          <w:tcPr>
            <w:tcW w:w="1559" w:type="dxa"/>
          </w:tcPr>
          <w:p w14:paraId="53A3BB19" w14:textId="77777777" w:rsidR="00DD10A0" w:rsidRPr="00B01850" w:rsidRDefault="00DD10A0" w:rsidP="2507F65D">
            <w:pPr>
              <w:jc w:val="both"/>
              <w:rPr>
                <w:rFonts w:ascii="Arial" w:hAnsi="Arial" w:cs="Arial"/>
                <w:sz w:val="22"/>
                <w:szCs w:val="22"/>
              </w:rPr>
            </w:pPr>
          </w:p>
        </w:tc>
      </w:tr>
      <w:tr w:rsidR="00476FF6" w:rsidRPr="00B01850" w14:paraId="045C80FD" w14:textId="77777777" w:rsidTr="2507F65D">
        <w:trPr>
          <w:trHeight w:val="300"/>
        </w:trPr>
        <w:tc>
          <w:tcPr>
            <w:tcW w:w="535" w:type="dxa"/>
            <w:shd w:val="clear" w:color="auto" w:fill="auto"/>
          </w:tcPr>
          <w:p w14:paraId="772808A1" w14:textId="77777777" w:rsidR="00DD10A0" w:rsidRPr="00B01850" w:rsidRDefault="00DD10A0" w:rsidP="2507F65D">
            <w:pPr>
              <w:jc w:val="both"/>
              <w:rPr>
                <w:rFonts w:ascii="Arial" w:hAnsi="Arial" w:cs="Arial"/>
                <w:sz w:val="22"/>
                <w:szCs w:val="22"/>
              </w:rPr>
            </w:pPr>
          </w:p>
        </w:tc>
        <w:tc>
          <w:tcPr>
            <w:tcW w:w="2581" w:type="dxa"/>
            <w:shd w:val="clear" w:color="auto" w:fill="auto"/>
          </w:tcPr>
          <w:p w14:paraId="55E00132" w14:textId="77777777" w:rsidR="00DD10A0" w:rsidRPr="00B01850" w:rsidRDefault="00DD10A0" w:rsidP="2507F65D">
            <w:pPr>
              <w:jc w:val="both"/>
              <w:rPr>
                <w:rFonts w:ascii="Arial" w:hAnsi="Arial" w:cs="Arial"/>
                <w:sz w:val="22"/>
                <w:szCs w:val="22"/>
              </w:rPr>
            </w:pPr>
          </w:p>
        </w:tc>
        <w:tc>
          <w:tcPr>
            <w:tcW w:w="1558" w:type="dxa"/>
            <w:shd w:val="clear" w:color="auto" w:fill="auto"/>
          </w:tcPr>
          <w:p w14:paraId="0D9ACCFC" w14:textId="77777777" w:rsidR="00DD10A0" w:rsidRPr="00B01850" w:rsidRDefault="00DD10A0" w:rsidP="2507F65D">
            <w:pPr>
              <w:jc w:val="both"/>
              <w:rPr>
                <w:rFonts w:ascii="Arial" w:hAnsi="Arial" w:cs="Arial"/>
                <w:sz w:val="22"/>
                <w:szCs w:val="22"/>
              </w:rPr>
            </w:pPr>
          </w:p>
        </w:tc>
        <w:tc>
          <w:tcPr>
            <w:tcW w:w="1558" w:type="dxa"/>
            <w:shd w:val="clear" w:color="auto" w:fill="auto"/>
          </w:tcPr>
          <w:p w14:paraId="06B68FA8" w14:textId="77777777" w:rsidR="00DD10A0" w:rsidRPr="00B01850" w:rsidRDefault="00DD10A0" w:rsidP="2507F65D">
            <w:pPr>
              <w:jc w:val="both"/>
              <w:rPr>
                <w:rFonts w:ascii="Arial" w:hAnsi="Arial" w:cs="Arial"/>
                <w:sz w:val="22"/>
                <w:szCs w:val="22"/>
              </w:rPr>
            </w:pPr>
          </w:p>
        </w:tc>
        <w:tc>
          <w:tcPr>
            <w:tcW w:w="1559" w:type="dxa"/>
            <w:shd w:val="clear" w:color="auto" w:fill="auto"/>
          </w:tcPr>
          <w:p w14:paraId="24B1C4AC" w14:textId="77777777" w:rsidR="00DD10A0" w:rsidRPr="00B01850" w:rsidRDefault="00DD10A0" w:rsidP="2507F65D">
            <w:pPr>
              <w:jc w:val="both"/>
              <w:rPr>
                <w:rFonts w:ascii="Arial" w:hAnsi="Arial" w:cs="Arial"/>
                <w:sz w:val="22"/>
                <w:szCs w:val="22"/>
              </w:rPr>
            </w:pPr>
          </w:p>
        </w:tc>
        <w:tc>
          <w:tcPr>
            <w:tcW w:w="1559" w:type="dxa"/>
          </w:tcPr>
          <w:p w14:paraId="52D2CD81" w14:textId="77777777" w:rsidR="00DD10A0" w:rsidRPr="00B01850" w:rsidRDefault="00DD10A0" w:rsidP="2507F65D">
            <w:pPr>
              <w:jc w:val="both"/>
              <w:rPr>
                <w:rFonts w:ascii="Arial" w:hAnsi="Arial" w:cs="Arial"/>
                <w:sz w:val="22"/>
                <w:szCs w:val="22"/>
              </w:rPr>
            </w:pPr>
          </w:p>
        </w:tc>
      </w:tr>
    </w:tbl>
    <w:p w14:paraId="5A03E4FD" w14:textId="77777777" w:rsidR="00DD10A0" w:rsidRPr="00B01850" w:rsidRDefault="00DD10A0" w:rsidP="00AE230E">
      <w:pPr>
        <w:spacing w:after="0" w:line="240" w:lineRule="auto"/>
        <w:jc w:val="both"/>
        <w:rPr>
          <w:rFonts w:ascii="Arial" w:hAnsi="Arial" w:cs="Arial"/>
        </w:rPr>
      </w:pPr>
    </w:p>
    <w:p w14:paraId="62900EF8" w14:textId="77777777" w:rsidR="00C52FE6" w:rsidRPr="00B01850" w:rsidRDefault="00C52FE6" w:rsidP="00476FF6">
      <w:pPr>
        <w:spacing w:after="0" w:line="240" w:lineRule="auto"/>
        <w:jc w:val="both"/>
        <w:rPr>
          <w:rFonts w:ascii="Arial" w:hAnsi="Arial" w:cs="Arial"/>
          <w:b/>
          <w:bCs/>
        </w:rPr>
      </w:pPr>
    </w:p>
    <w:p w14:paraId="6274B6EB" w14:textId="714E43E8" w:rsidR="00DD10A0" w:rsidRPr="00B01850" w:rsidRDefault="00DD10A0" w:rsidP="00AE230E">
      <w:pPr>
        <w:spacing w:after="0" w:line="240" w:lineRule="auto"/>
        <w:jc w:val="both"/>
        <w:rPr>
          <w:rFonts w:ascii="Arial" w:hAnsi="Arial" w:cs="Arial"/>
          <w:b/>
          <w:bCs/>
        </w:rPr>
      </w:pPr>
      <w:r w:rsidRPr="00B01850">
        <w:rPr>
          <w:rFonts w:ascii="Arial" w:hAnsi="Arial" w:cs="Arial"/>
          <w:b/>
          <w:bCs/>
        </w:rPr>
        <w:t xml:space="preserve">Mobilisation des parties prenantes </w:t>
      </w:r>
    </w:p>
    <w:p w14:paraId="329A3CA0" w14:textId="77777777" w:rsidR="00DD10A0" w:rsidRPr="00B01850" w:rsidRDefault="00DD10A0" w:rsidP="00AE230E">
      <w:pPr>
        <w:spacing w:after="0" w:line="240" w:lineRule="auto"/>
        <w:jc w:val="both"/>
        <w:rPr>
          <w:rFonts w:ascii="Arial" w:hAnsi="Arial" w:cs="Arial"/>
        </w:rPr>
      </w:pPr>
    </w:p>
    <w:p w14:paraId="62148523" w14:textId="17A99CE7" w:rsidR="00DD10A0" w:rsidRPr="00B01850" w:rsidRDefault="00DD10A0" w:rsidP="1F41E3DA">
      <w:pPr>
        <w:spacing w:after="0" w:line="240" w:lineRule="auto"/>
        <w:jc w:val="both"/>
        <w:rPr>
          <w:rFonts w:ascii="Arial" w:hAnsi="Arial" w:cs="Arial"/>
        </w:rPr>
      </w:pPr>
      <w:r w:rsidRPr="00B01850">
        <w:rPr>
          <w:rFonts w:ascii="Arial" w:hAnsi="Arial" w:cs="Arial"/>
        </w:rPr>
        <w:t>Cette section informera/fera le point sur l'état de la mobilisation des parties prenantes et sur la manière dont l'U</w:t>
      </w:r>
      <w:r w:rsidR="00C00E10" w:rsidRPr="00B01850">
        <w:rPr>
          <w:rFonts w:ascii="Arial" w:hAnsi="Arial" w:cs="Arial"/>
        </w:rPr>
        <w:t>GP d</w:t>
      </w:r>
      <w:r w:rsidRPr="00B01850">
        <w:rPr>
          <w:rFonts w:ascii="Arial" w:hAnsi="Arial" w:cs="Arial"/>
        </w:rPr>
        <w:t xml:space="preserve">u CERP s'assure que celles-ci sont satisfaites conformément aux exigences du projet et/ou du PMPP, selon le cas. Cette </w:t>
      </w:r>
      <w:r w:rsidR="00C00E10" w:rsidRPr="00B01850">
        <w:rPr>
          <w:rFonts w:ascii="Arial" w:hAnsi="Arial" w:cs="Arial"/>
        </w:rPr>
        <w:t xml:space="preserve">partie du rapport précisera </w:t>
      </w:r>
      <w:r w:rsidRPr="00B01850">
        <w:rPr>
          <w:rFonts w:ascii="Arial" w:hAnsi="Arial" w:cs="Arial"/>
        </w:rPr>
        <w:t xml:space="preserve">: </w:t>
      </w:r>
    </w:p>
    <w:p w14:paraId="484486B3" w14:textId="77777777" w:rsidR="00DD10A0" w:rsidRPr="00B01850" w:rsidRDefault="00DD10A0" w:rsidP="00AE230E">
      <w:pPr>
        <w:spacing w:after="0" w:line="240" w:lineRule="auto"/>
        <w:jc w:val="both"/>
        <w:rPr>
          <w:rFonts w:ascii="Arial" w:hAnsi="Arial" w:cs="Arial"/>
        </w:rPr>
      </w:pPr>
    </w:p>
    <w:p w14:paraId="07F06BF4" w14:textId="70ADAB87" w:rsidR="00DD10A0" w:rsidRPr="00B01850" w:rsidRDefault="00DD10A0" w:rsidP="00214DCC">
      <w:pPr>
        <w:pStyle w:val="ListParagraph"/>
        <w:numPr>
          <w:ilvl w:val="0"/>
          <w:numId w:val="26"/>
        </w:numPr>
        <w:spacing w:after="0" w:line="240" w:lineRule="auto"/>
        <w:jc w:val="both"/>
        <w:rPr>
          <w:rFonts w:ascii="Arial" w:hAnsi="Arial" w:cs="Arial"/>
        </w:rPr>
      </w:pPr>
      <w:r w:rsidRPr="00B01850">
        <w:rPr>
          <w:rFonts w:ascii="Arial" w:hAnsi="Arial" w:cs="Arial"/>
        </w:rPr>
        <w:t xml:space="preserve">Le nombre d'activités de mobilisation entreprises au cours de la période considérée et les types de parties prenantes rencontrées (par exemple, les communautés, les districts, les </w:t>
      </w:r>
      <w:r w:rsidR="00C640EE" w:rsidRPr="00B01850">
        <w:rPr>
          <w:rFonts w:ascii="Arial" w:hAnsi="Arial" w:cs="Arial"/>
        </w:rPr>
        <w:t xml:space="preserve">autorités locales, des groupements organisés, </w:t>
      </w:r>
      <w:r w:rsidRPr="00B01850">
        <w:rPr>
          <w:rFonts w:ascii="Arial" w:hAnsi="Arial" w:cs="Arial"/>
        </w:rPr>
        <w:t>etc.)</w:t>
      </w:r>
    </w:p>
    <w:p w14:paraId="2D6A2AD6" w14:textId="45F8CA9C" w:rsidR="00DD10A0" w:rsidRPr="00B01850" w:rsidRDefault="00DD10A0" w:rsidP="00214DCC">
      <w:pPr>
        <w:pStyle w:val="ListParagraph"/>
        <w:numPr>
          <w:ilvl w:val="0"/>
          <w:numId w:val="26"/>
        </w:numPr>
        <w:spacing w:after="0" w:line="240" w:lineRule="auto"/>
        <w:jc w:val="both"/>
        <w:rPr>
          <w:rFonts w:ascii="Arial" w:hAnsi="Arial" w:cs="Arial"/>
        </w:rPr>
      </w:pPr>
      <w:r w:rsidRPr="00B01850">
        <w:rPr>
          <w:rFonts w:ascii="Arial" w:hAnsi="Arial" w:cs="Arial"/>
        </w:rPr>
        <w:t xml:space="preserve">Principales questions </w:t>
      </w:r>
      <w:r w:rsidR="00C640EE" w:rsidRPr="00B01850">
        <w:rPr>
          <w:rFonts w:ascii="Arial" w:hAnsi="Arial" w:cs="Arial"/>
        </w:rPr>
        <w:t xml:space="preserve">abordées au cours de la </w:t>
      </w:r>
      <w:r w:rsidRPr="00B01850">
        <w:rPr>
          <w:rFonts w:ascii="Arial" w:hAnsi="Arial" w:cs="Arial"/>
        </w:rPr>
        <w:t>réunion</w:t>
      </w:r>
    </w:p>
    <w:p w14:paraId="01CDE02C" w14:textId="19EAA16F" w:rsidR="00DD10A0" w:rsidRPr="00B01850" w:rsidRDefault="00747371" w:rsidP="00214DCC">
      <w:pPr>
        <w:pStyle w:val="ListParagraph"/>
        <w:numPr>
          <w:ilvl w:val="0"/>
          <w:numId w:val="26"/>
        </w:numPr>
        <w:spacing w:after="0" w:line="240" w:lineRule="auto"/>
        <w:jc w:val="both"/>
        <w:rPr>
          <w:rFonts w:ascii="Arial" w:hAnsi="Arial" w:cs="Arial"/>
        </w:rPr>
      </w:pPr>
      <w:r w:rsidRPr="00B01850">
        <w:rPr>
          <w:rFonts w:ascii="Arial" w:hAnsi="Arial" w:cs="Arial"/>
        </w:rPr>
        <w:t xml:space="preserve">Comment est-ce que le projet implique </w:t>
      </w:r>
      <w:r w:rsidR="00DD10A0" w:rsidRPr="00B01850">
        <w:rPr>
          <w:rFonts w:ascii="Arial" w:hAnsi="Arial" w:cs="Arial"/>
        </w:rPr>
        <w:t xml:space="preserve">les parties prenantes </w:t>
      </w:r>
      <w:r w:rsidRPr="00B01850">
        <w:rPr>
          <w:rFonts w:ascii="Arial" w:hAnsi="Arial" w:cs="Arial"/>
        </w:rPr>
        <w:t xml:space="preserve">dans </w:t>
      </w:r>
      <w:r w:rsidR="00DD10A0" w:rsidRPr="00B01850">
        <w:rPr>
          <w:rFonts w:ascii="Arial" w:hAnsi="Arial" w:cs="Arial"/>
        </w:rPr>
        <w:t>la mise en œuvre des mesures de gestion des risques et effets environnementaux et sociaux ?</w:t>
      </w:r>
    </w:p>
    <w:p w14:paraId="521DA012" w14:textId="2034FB51" w:rsidR="00DD10A0" w:rsidRPr="00B01850" w:rsidRDefault="00DD10A0" w:rsidP="00214DCC">
      <w:pPr>
        <w:pStyle w:val="ListParagraph"/>
        <w:numPr>
          <w:ilvl w:val="0"/>
          <w:numId w:val="26"/>
        </w:numPr>
        <w:spacing w:after="0" w:line="240" w:lineRule="auto"/>
        <w:jc w:val="both"/>
        <w:rPr>
          <w:rFonts w:ascii="Arial" w:hAnsi="Arial" w:cs="Arial"/>
        </w:rPr>
      </w:pPr>
      <w:r w:rsidRPr="00B01850">
        <w:rPr>
          <w:rFonts w:ascii="Arial" w:hAnsi="Arial" w:cs="Arial"/>
        </w:rPr>
        <w:t>L</w:t>
      </w:r>
      <w:r w:rsidR="002103F1" w:rsidRPr="00B01850">
        <w:rPr>
          <w:rFonts w:ascii="Arial" w:hAnsi="Arial" w:cs="Arial"/>
        </w:rPr>
        <w:t>es</w:t>
      </w:r>
      <w:r w:rsidRPr="00B01850">
        <w:rPr>
          <w:rFonts w:ascii="Arial" w:hAnsi="Arial" w:cs="Arial"/>
        </w:rPr>
        <w:t xml:space="preserve"> </w:t>
      </w:r>
      <w:r w:rsidR="002103F1" w:rsidRPr="00B01850">
        <w:rPr>
          <w:rFonts w:ascii="Arial" w:hAnsi="Arial" w:cs="Arial"/>
        </w:rPr>
        <w:t xml:space="preserve">stratégies de mobilisation/consultation des parties prenantes </w:t>
      </w:r>
      <w:r w:rsidRPr="00B01850">
        <w:rPr>
          <w:rFonts w:ascii="Arial" w:hAnsi="Arial" w:cs="Arial"/>
        </w:rPr>
        <w:t>sont-elles conform</w:t>
      </w:r>
      <w:r w:rsidR="002103F1" w:rsidRPr="00B01850">
        <w:rPr>
          <w:rFonts w:ascii="Arial" w:hAnsi="Arial" w:cs="Arial"/>
        </w:rPr>
        <w:t>es a</w:t>
      </w:r>
      <w:r w:rsidRPr="00B01850">
        <w:rPr>
          <w:rFonts w:ascii="Arial" w:hAnsi="Arial" w:cs="Arial"/>
        </w:rPr>
        <w:t>u</w:t>
      </w:r>
      <w:r w:rsidR="002103F1" w:rsidRPr="00B01850">
        <w:rPr>
          <w:rFonts w:ascii="Arial" w:hAnsi="Arial" w:cs="Arial"/>
        </w:rPr>
        <w:t>x indications du</w:t>
      </w:r>
      <w:r w:rsidRPr="00B01850">
        <w:rPr>
          <w:rFonts w:ascii="Arial" w:hAnsi="Arial" w:cs="Arial"/>
        </w:rPr>
        <w:t xml:space="preserve"> PMPP ?</w:t>
      </w:r>
    </w:p>
    <w:p w14:paraId="5592B333" w14:textId="77777777" w:rsidR="00DD10A0" w:rsidRPr="00B01850" w:rsidRDefault="00DD10A0" w:rsidP="00214DCC">
      <w:pPr>
        <w:pStyle w:val="ListParagraph"/>
        <w:numPr>
          <w:ilvl w:val="0"/>
          <w:numId w:val="26"/>
        </w:numPr>
        <w:spacing w:after="0" w:line="240" w:lineRule="auto"/>
        <w:jc w:val="both"/>
        <w:rPr>
          <w:rFonts w:ascii="Arial" w:hAnsi="Arial" w:cs="Arial"/>
        </w:rPr>
      </w:pPr>
      <w:r w:rsidRPr="00B01850">
        <w:rPr>
          <w:rFonts w:ascii="Arial" w:hAnsi="Arial" w:cs="Arial"/>
        </w:rPr>
        <w:t xml:space="preserve">Les participants ont-ils été informés avant la réunion et leur procès-verbal leur a-t-il été communiqué ?  </w:t>
      </w:r>
    </w:p>
    <w:p w14:paraId="77F18224" w14:textId="77777777" w:rsidR="00DD10A0" w:rsidRPr="00B01850" w:rsidRDefault="00DD10A0" w:rsidP="00AE230E">
      <w:pPr>
        <w:spacing w:after="0" w:line="240" w:lineRule="auto"/>
        <w:jc w:val="both"/>
        <w:rPr>
          <w:rFonts w:ascii="Arial" w:hAnsi="Arial" w:cs="Arial"/>
        </w:rPr>
      </w:pPr>
    </w:p>
    <w:p w14:paraId="071A9E63" w14:textId="77777777" w:rsidR="00DD10A0" w:rsidRPr="00B01850" w:rsidRDefault="00DD10A0" w:rsidP="00AE230E">
      <w:pPr>
        <w:spacing w:after="0" w:line="240" w:lineRule="auto"/>
        <w:jc w:val="both"/>
        <w:rPr>
          <w:rFonts w:ascii="Arial" w:hAnsi="Arial" w:cs="Arial"/>
          <w:b/>
          <w:bCs/>
        </w:rPr>
      </w:pPr>
      <w:r w:rsidRPr="00B01850">
        <w:rPr>
          <w:rFonts w:ascii="Arial" w:hAnsi="Arial" w:cs="Arial"/>
          <w:b/>
          <w:bCs/>
        </w:rPr>
        <w:t xml:space="preserve"> Accidents liés à la santé et à la sécurité</w:t>
      </w:r>
    </w:p>
    <w:p w14:paraId="233AE075" w14:textId="77777777" w:rsidR="00DD10A0" w:rsidRPr="00B01850" w:rsidRDefault="00DD10A0" w:rsidP="00AE230E">
      <w:pPr>
        <w:spacing w:after="0" w:line="240" w:lineRule="auto"/>
        <w:jc w:val="both"/>
        <w:rPr>
          <w:rFonts w:ascii="Arial" w:hAnsi="Arial" w:cs="Arial"/>
        </w:rPr>
      </w:pPr>
    </w:p>
    <w:p w14:paraId="23E88842" w14:textId="6E602568" w:rsidR="00DD10A0" w:rsidRPr="00B01850" w:rsidRDefault="00DD10A0" w:rsidP="00476FF6">
      <w:pPr>
        <w:spacing w:after="0" w:line="240" w:lineRule="auto"/>
        <w:jc w:val="both"/>
        <w:rPr>
          <w:rFonts w:ascii="Arial" w:hAnsi="Arial" w:cs="Arial"/>
        </w:rPr>
      </w:pPr>
      <w:r w:rsidRPr="00B01850">
        <w:rPr>
          <w:rFonts w:ascii="Arial" w:hAnsi="Arial" w:cs="Arial"/>
        </w:rPr>
        <w:t>Cette section résume les accidents et incidents liés à la santé et à la sécurité qui se sont produits au cours de la période considérée. Il est important de noter que la section comprend des descriptions détaillées des procédures visant à atténuer les récidives et à éviter d'autres blessures. La section comprend des rapports sur les accidents évités de justesse</w:t>
      </w:r>
      <w:r w:rsidR="00DE7F70" w:rsidRPr="00B01850">
        <w:rPr>
          <w:rFonts w:ascii="Arial" w:hAnsi="Arial" w:cs="Arial"/>
        </w:rPr>
        <w:t xml:space="preserve"> (presque accident)</w:t>
      </w:r>
      <w:r w:rsidRPr="00B01850">
        <w:rPr>
          <w:rFonts w:ascii="Arial" w:hAnsi="Arial" w:cs="Arial"/>
        </w:rPr>
        <w:t xml:space="preserve">. Cette section comprend un tableau pour le suivi des accidents, incidents et quasi-accidents antérieurs. </w:t>
      </w:r>
    </w:p>
    <w:p w14:paraId="79CB9C64" w14:textId="77777777" w:rsidR="00476FF6" w:rsidRPr="00B01850" w:rsidRDefault="00476FF6" w:rsidP="00476FF6">
      <w:pPr>
        <w:spacing w:after="0" w:line="240" w:lineRule="auto"/>
        <w:jc w:val="both"/>
        <w:rPr>
          <w:rFonts w:ascii="Arial" w:hAnsi="Arial" w:cs="Arial"/>
        </w:rPr>
      </w:pPr>
    </w:p>
    <w:p w14:paraId="1B7DF9A0" w14:textId="010D2D4D" w:rsidR="00476FF6" w:rsidRPr="00B01850" w:rsidRDefault="00476FF6" w:rsidP="00AE230E">
      <w:pPr>
        <w:spacing w:after="0" w:line="240" w:lineRule="auto"/>
        <w:jc w:val="both"/>
        <w:rPr>
          <w:rFonts w:ascii="Arial" w:hAnsi="Arial" w:cs="Arial"/>
        </w:rPr>
      </w:pPr>
      <w:r w:rsidRPr="00B01850">
        <w:rPr>
          <w:rFonts w:ascii="Arial" w:hAnsi="Arial" w:cs="Arial"/>
        </w:rPr>
        <w:t>Rapports d'accidents et d'incidents</w:t>
      </w:r>
    </w:p>
    <w:tbl>
      <w:tblPr>
        <w:tblStyle w:val="TableGrid"/>
        <w:tblW w:w="5000" w:type="pct"/>
        <w:tblLook w:val="04A0" w:firstRow="1" w:lastRow="0" w:firstColumn="1" w:lastColumn="0" w:noHBand="0" w:noVBand="1"/>
      </w:tblPr>
      <w:tblGrid>
        <w:gridCol w:w="1157"/>
        <w:gridCol w:w="745"/>
        <w:gridCol w:w="1067"/>
        <w:gridCol w:w="1860"/>
        <w:gridCol w:w="2082"/>
        <w:gridCol w:w="1095"/>
        <w:gridCol w:w="1344"/>
      </w:tblGrid>
      <w:tr w:rsidR="00476FF6" w:rsidRPr="00B01850" w14:paraId="3D463A3B" w14:textId="77777777" w:rsidTr="006846D6">
        <w:trPr>
          <w:trHeight w:val="300"/>
        </w:trPr>
        <w:tc>
          <w:tcPr>
            <w:tcW w:w="615" w:type="pct"/>
          </w:tcPr>
          <w:p w14:paraId="2ABFFF27"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Date et heure de l'accident/de l'incident</w:t>
            </w:r>
          </w:p>
        </w:tc>
        <w:tc>
          <w:tcPr>
            <w:tcW w:w="386" w:type="pct"/>
          </w:tcPr>
          <w:p w14:paraId="22AC5755"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Nom de la victime </w:t>
            </w:r>
          </w:p>
        </w:tc>
        <w:tc>
          <w:tcPr>
            <w:tcW w:w="565" w:type="pct"/>
          </w:tcPr>
          <w:p w14:paraId="489F1B64"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Description de l'accident </w:t>
            </w:r>
          </w:p>
        </w:tc>
        <w:tc>
          <w:tcPr>
            <w:tcW w:w="1005" w:type="pct"/>
          </w:tcPr>
          <w:p w14:paraId="1AEA980F"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Gravité de l'accident (blessure mineure/grave/décès) </w:t>
            </w:r>
          </w:p>
        </w:tc>
        <w:tc>
          <w:tcPr>
            <w:tcW w:w="1129" w:type="pct"/>
          </w:tcPr>
          <w:p w14:paraId="34D82AED"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Mesures d'atténuation prises par l'entrepreneur/promoteur</w:t>
            </w:r>
          </w:p>
        </w:tc>
        <w:tc>
          <w:tcPr>
            <w:tcW w:w="581" w:type="pct"/>
          </w:tcPr>
          <w:p w14:paraId="63F397C5"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t xml:space="preserve">Mesures à prendre pour prévenir la survenance de </w:t>
            </w:r>
            <w:r w:rsidRPr="00B01850">
              <w:rPr>
                <w:rFonts w:ascii="Arial" w:hAnsi="Arial" w:cs="Arial"/>
                <w:sz w:val="22"/>
                <w:szCs w:val="22"/>
              </w:rPr>
              <w:lastRenderedPageBreak/>
              <w:t xml:space="preserve">l'accident </w:t>
            </w:r>
          </w:p>
        </w:tc>
        <w:tc>
          <w:tcPr>
            <w:tcW w:w="719" w:type="pct"/>
          </w:tcPr>
          <w:p w14:paraId="131239F5" w14:textId="77777777" w:rsidR="00DD10A0" w:rsidRPr="00B01850" w:rsidRDefault="00DD10A0" w:rsidP="00AE230E">
            <w:pPr>
              <w:jc w:val="both"/>
              <w:rPr>
                <w:rFonts w:ascii="Arial" w:hAnsi="Arial" w:cs="Arial"/>
                <w:sz w:val="22"/>
                <w:szCs w:val="22"/>
              </w:rPr>
            </w:pPr>
            <w:r w:rsidRPr="00B01850">
              <w:rPr>
                <w:rFonts w:ascii="Arial" w:hAnsi="Arial" w:cs="Arial"/>
                <w:sz w:val="22"/>
                <w:szCs w:val="22"/>
              </w:rPr>
              <w:lastRenderedPageBreak/>
              <w:t>Statut de l'accidenté (ouvert/fermé</w:t>
            </w:r>
            <w:r w:rsidRPr="00B01850">
              <w:rPr>
                <w:rStyle w:val="FootnoteReference"/>
                <w:rFonts w:ascii="Arial" w:hAnsi="Arial" w:cs="Arial"/>
                <w:sz w:val="22"/>
                <w:szCs w:val="22"/>
              </w:rPr>
              <w:footnoteReference w:id="3"/>
            </w:r>
            <w:r w:rsidRPr="00B01850">
              <w:rPr>
                <w:rFonts w:ascii="Arial" w:hAnsi="Arial" w:cs="Arial"/>
                <w:sz w:val="22"/>
                <w:szCs w:val="22"/>
              </w:rPr>
              <w:t xml:space="preserve">) </w:t>
            </w:r>
          </w:p>
        </w:tc>
      </w:tr>
      <w:tr w:rsidR="00476FF6" w:rsidRPr="00B01850" w14:paraId="7203CE9A" w14:textId="77777777" w:rsidTr="006846D6">
        <w:trPr>
          <w:trHeight w:val="300"/>
        </w:trPr>
        <w:tc>
          <w:tcPr>
            <w:tcW w:w="615" w:type="pct"/>
          </w:tcPr>
          <w:p w14:paraId="4A34B530" w14:textId="77777777" w:rsidR="00DD10A0" w:rsidRPr="00B01850" w:rsidRDefault="00DD10A0" w:rsidP="00AE230E">
            <w:pPr>
              <w:jc w:val="both"/>
              <w:rPr>
                <w:rFonts w:ascii="Arial" w:hAnsi="Arial" w:cs="Arial"/>
                <w:sz w:val="22"/>
                <w:szCs w:val="22"/>
              </w:rPr>
            </w:pPr>
          </w:p>
        </w:tc>
        <w:tc>
          <w:tcPr>
            <w:tcW w:w="386" w:type="pct"/>
          </w:tcPr>
          <w:p w14:paraId="6317BE6A" w14:textId="77777777" w:rsidR="00DD10A0" w:rsidRPr="00B01850" w:rsidRDefault="00DD10A0" w:rsidP="00AE230E">
            <w:pPr>
              <w:jc w:val="both"/>
              <w:rPr>
                <w:rFonts w:ascii="Arial" w:hAnsi="Arial" w:cs="Arial"/>
                <w:sz w:val="22"/>
                <w:szCs w:val="22"/>
              </w:rPr>
            </w:pPr>
          </w:p>
        </w:tc>
        <w:tc>
          <w:tcPr>
            <w:tcW w:w="565" w:type="pct"/>
          </w:tcPr>
          <w:p w14:paraId="20F0C964" w14:textId="77777777" w:rsidR="00DD10A0" w:rsidRPr="00B01850" w:rsidRDefault="00DD10A0" w:rsidP="00AE230E">
            <w:pPr>
              <w:jc w:val="both"/>
              <w:rPr>
                <w:rFonts w:ascii="Arial" w:hAnsi="Arial" w:cs="Arial"/>
                <w:sz w:val="22"/>
                <w:szCs w:val="22"/>
              </w:rPr>
            </w:pPr>
          </w:p>
        </w:tc>
        <w:tc>
          <w:tcPr>
            <w:tcW w:w="1005" w:type="pct"/>
          </w:tcPr>
          <w:p w14:paraId="506AD5D9" w14:textId="77777777" w:rsidR="00DD10A0" w:rsidRPr="00B01850" w:rsidRDefault="00DD10A0" w:rsidP="00AE230E">
            <w:pPr>
              <w:jc w:val="both"/>
              <w:rPr>
                <w:rFonts w:ascii="Arial" w:hAnsi="Arial" w:cs="Arial"/>
                <w:sz w:val="22"/>
                <w:szCs w:val="22"/>
              </w:rPr>
            </w:pPr>
          </w:p>
        </w:tc>
        <w:tc>
          <w:tcPr>
            <w:tcW w:w="1129" w:type="pct"/>
          </w:tcPr>
          <w:p w14:paraId="2D9ABB7A" w14:textId="77777777" w:rsidR="00DD10A0" w:rsidRPr="00B01850" w:rsidRDefault="00DD10A0" w:rsidP="00AE230E">
            <w:pPr>
              <w:jc w:val="both"/>
              <w:rPr>
                <w:rFonts w:ascii="Arial" w:hAnsi="Arial" w:cs="Arial"/>
                <w:sz w:val="22"/>
                <w:szCs w:val="22"/>
              </w:rPr>
            </w:pPr>
          </w:p>
        </w:tc>
        <w:tc>
          <w:tcPr>
            <w:tcW w:w="581" w:type="pct"/>
          </w:tcPr>
          <w:p w14:paraId="24170267" w14:textId="77777777" w:rsidR="00DD10A0" w:rsidRPr="00B01850" w:rsidRDefault="00DD10A0" w:rsidP="00AE230E">
            <w:pPr>
              <w:jc w:val="both"/>
              <w:rPr>
                <w:rFonts w:ascii="Arial" w:hAnsi="Arial" w:cs="Arial"/>
                <w:sz w:val="22"/>
                <w:szCs w:val="22"/>
              </w:rPr>
            </w:pPr>
          </w:p>
        </w:tc>
        <w:tc>
          <w:tcPr>
            <w:tcW w:w="719" w:type="pct"/>
          </w:tcPr>
          <w:p w14:paraId="21C3DD0C" w14:textId="77777777" w:rsidR="00DD10A0" w:rsidRPr="00B01850" w:rsidRDefault="00DD10A0" w:rsidP="00AE230E">
            <w:pPr>
              <w:jc w:val="both"/>
              <w:rPr>
                <w:rStyle w:val="CommentReference"/>
                <w:rFonts w:ascii="Arial" w:hAnsi="Arial" w:cs="Arial"/>
                <w:sz w:val="22"/>
                <w:szCs w:val="22"/>
              </w:rPr>
            </w:pPr>
          </w:p>
        </w:tc>
      </w:tr>
    </w:tbl>
    <w:p w14:paraId="29AD747D" w14:textId="77777777" w:rsidR="00C52FE6" w:rsidRPr="00B01850" w:rsidRDefault="00DD10A0" w:rsidP="00476FF6">
      <w:pPr>
        <w:spacing w:after="0" w:line="240" w:lineRule="auto"/>
        <w:jc w:val="both"/>
        <w:rPr>
          <w:rFonts w:ascii="Arial" w:hAnsi="Arial" w:cs="Arial"/>
          <w:b/>
          <w:bCs/>
        </w:rPr>
      </w:pPr>
      <w:r w:rsidRPr="00B01850">
        <w:rPr>
          <w:rFonts w:ascii="Arial" w:hAnsi="Arial" w:cs="Arial"/>
          <w:b/>
          <w:bCs/>
        </w:rPr>
        <w:t xml:space="preserve"> </w:t>
      </w:r>
    </w:p>
    <w:p w14:paraId="56EB148D" w14:textId="3EC5146D" w:rsidR="00DD10A0" w:rsidRPr="00B01850" w:rsidRDefault="00DD10A0" w:rsidP="00AE230E">
      <w:pPr>
        <w:spacing w:after="0" w:line="240" w:lineRule="auto"/>
        <w:jc w:val="both"/>
        <w:rPr>
          <w:rFonts w:ascii="Arial" w:hAnsi="Arial" w:cs="Arial"/>
          <w:b/>
          <w:bCs/>
        </w:rPr>
      </w:pPr>
      <w:r w:rsidRPr="00B01850">
        <w:rPr>
          <w:rFonts w:ascii="Arial" w:hAnsi="Arial" w:cs="Arial"/>
          <w:b/>
          <w:bCs/>
        </w:rPr>
        <w:t>Capacité de gestion environnementale et sociale</w:t>
      </w:r>
    </w:p>
    <w:p w14:paraId="13805744" w14:textId="77777777" w:rsidR="00DD10A0" w:rsidRPr="00B01850" w:rsidRDefault="00DD10A0" w:rsidP="00AE230E">
      <w:pPr>
        <w:spacing w:after="0" w:line="240" w:lineRule="auto"/>
        <w:jc w:val="both"/>
        <w:rPr>
          <w:rFonts w:ascii="Arial" w:hAnsi="Arial" w:cs="Arial"/>
        </w:rPr>
      </w:pPr>
    </w:p>
    <w:p w14:paraId="3DA090B6" w14:textId="28509E43" w:rsidR="00DD10A0" w:rsidRPr="00B01850" w:rsidRDefault="00DD10A0" w:rsidP="00476FF6">
      <w:pPr>
        <w:spacing w:after="0" w:line="240" w:lineRule="auto"/>
        <w:jc w:val="both"/>
        <w:rPr>
          <w:rFonts w:ascii="Arial" w:hAnsi="Arial" w:cs="Arial"/>
        </w:rPr>
      </w:pPr>
      <w:r w:rsidRPr="00B01850">
        <w:rPr>
          <w:rFonts w:ascii="Arial" w:hAnsi="Arial" w:cs="Arial"/>
        </w:rPr>
        <w:t xml:space="preserve">Cette section décrit en détail les modalités de supervision environnementale et sociale des activités. </w:t>
      </w:r>
      <w:r w:rsidR="003F1309" w:rsidRPr="00B01850">
        <w:rPr>
          <w:rFonts w:ascii="Arial" w:hAnsi="Arial" w:cs="Arial"/>
        </w:rPr>
        <w:t>Elle</w:t>
      </w:r>
      <w:r w:rsidRPr="00B01850">
        <w:rPr>
          <w:rFonts w:ascii="Arial" w:hAnsi="Arial" w:cs="Arial"/>
        </w:rPr>
        <w:t xml:space="preserve"> comprend un diagramme des modalités d'établissement de rapports ainsi que des rôles et responsabilités, tout poste vacant et les délais pour les pourvoir, le cas échéant. La description peut nécessiter plusieurs diagrammes pour différents sites du projet. </w:t>
      </w:r>
    </w:p>
    <w:p w14:paraId="53026E65" w14:textId="77777777" w:rsidR="00BC114D" w:rsidRPr="00B01850" w:rsidRDefault="00BC114D" w:rsidP="00AE230E">
      <w:pPr>
        <w:spacing w:after="0" w:line="240" w:lineRule="auto"/>
        <w:jc w:val="both"/>
        <w:rPr>
          <w:rFonts w:ascii="Arial" w:hAnsi="Arial" w:cs="Arial"/>
        </w:rPr>
      </w:pPr>
    </w:p>
    <w:p w14:paraId="53DC7B1F" w14:textId="1A2E60A1" w:rsidR="00DD10A0" w:rsidRPr="00B01850" w:rsidRDefault="00DD10A0" w:rsidP="0014560E">
      <w:pPr>
        <w:spacing w:after="120" w:line="240" w:lineRule="auto"/>
        <w:jc w:val="both"/>
        <w:rPr>
          <w:rFonts w:ascii="Arial" w:hAnsi="Arial" w:cs="Arial"/>
        </w:rPr>
      </w:pPr>
      <w:r w:rsidRPr="00B01850">
        <w:rPr>
          <w:rFonts w:ascii="Arial" w:hAnsi="Arial" w:cs="Arial"/>
          <w:b/>
          <w:bCs/>
        </w:rPr>
        <w:t>Administration</w:t>
      </w:r>
      <w:r w:rsidR="0037356B" w:rsidRPr="00B01850">
        <w:rPr>
          <w:rFonts w:ascii="Arial" w:hAnsi="Arial" w:cs="Arial"/>
          <w:b/>
          <w:bCs/>
        </w:rPr>
        <w:t xml:space="preserve"> </w:t>
      </w:r>
      <w:r w:rsidRPr="00B01850">
        <w:rPr>
          <w:rFonts w:ascii="Arial" w:hAnsi="Arial" w:cs="Arial"/>
          <w:b/>
          <w:bCs/>
        </w:rPr>
        <w:t>:</w:t>
      </w:r>
    </w:p>
    <w:p w14:paraId="4C6C2868" w14:textId="77777777" w:rsidR="00DD10A0" w:rsidRPr="00B01850" w:rsidRDefault="00DD10A0" w:rsidP="00AE230E">
      <w:pPr>
        <w:spacing w:after="0" w:line="240" w:lineRule="auto"/>
        <w:jc w:val="both"/>
        <w:rPr>
          <w:rFonts w:ascii="Arial" w:hAnsi="Arial" w:cs="Arial"/>
        </w:rPr>
      </w:pPr>
      <w:r w:rsidRPr="00B01850">
        <w:rPr>
          <w:rFonts w:ascii="Arial" w:hAnsi="Arial" w:cs="Arial"/>
        </w:rPr>
        <w:t>Indiquer toute modification ou mise à jour des exigences administratives, par exemple en ce qui concerne le personnel E&amp;S, le lieu, etc. ;</w:t>
      </w:r>
    </w:p>
    <w:p w14:paraId="6C56F6F2" w14:textId="58BF7556" w:rsidR="00DD10A0" w:rsidRPr="00B01850" w:rsidRDefault="00DD10A0" w:rsidP="00AE230E">
      <w:pPr>
        <w:spacing w:after="0" w:line="240" w:lineRule="auto"/>
        <w:jc w:val="both"/>
        <w:rPr>
          <w:rFonts w:ascii="Arial" w:hAnsi="Arial" w:cs="Arial"/>
        </w:rPr>
      </w:pPr>
      <w:r w:rsidRPr="00B01850">
        <w:rPr>
          <w:rFonts w:ascii="Arial" w:hAnsi="Arial" w:cs="Arial"/>
        </w:rPr>
        <w:t>Toute modification des exigences nationales et internationales applicables.</w:t>
      </w:r>
    </w:p>
    <w:p w14:paraId="5F4C8199" w14:textId="77777777" w:rsidR="00DD10A0" w:rsidRPr="00B01850" w:rsidRDefault="00DD10A0" w:rsidP="00AE230E">
      <w:pPr>
        <w:spacing w:after="0" w:line="240" w:lineRule="auto"/>
        <w:jc w:val="both"/>
        <w:rPr>
          <w:rFonts w:ascii="Arial" w:hAnsi="Arial" w:cs="Arial"/>
        </w:rPr>
      </w:pPr>
    </w:p>
    <w:p w14:paraId="2C7C6EF0" w14:textId="77777777" w:rsidR="00C52FE6" w:rsidRPr="00B01850" w:rsidRDefault="00C52FE6" w:rsidP="2507F65D">
      <w:pPr>
        <w:spacing w:after="0" w:line="240" w:lineRule="auto"/>
        <w:jc w:val="both"/>
        <w:rPr>
          <w:rFonts w:ascii="Arial" w:hAnsi="Arial" w:cs="Arial"/>
          <w:b/>
          <w:bCs/>
        </w:rPr>
      </w:pPr>
    </w:p>
    <w:p w14:paraId="1514A2C7" w14:textId="19BD37E8" w:rsidR="00DD10A0" w:rsidRPr="00B01850" w:rsidRDefault="00DD10A0" w:rsidP="00323A76">
      <w:pPr>
        <w:spacing w:before="120" w:after="120" w:line="240" w:lineRule="auto"/>
        <w:jc w:val="both"/>
        <w:rPr>
          <w:rFonts w:ascii="Arial" w:hAnsi="Arial" w:cs="Arial"/>
        </w:rPr>
      </w:pPr>
      <w:r w:rsidRPr="00B01850">
        <w:rPr>
          <w:rFonts w:ascii="Arial" w:hAnsi="Arial" w:cs="Arial"/>
          <w:b/>
          <w:bCs/>
        </w:rPr>
        <w:t>Renforcement des capacités</w:t>
      </w:r>
      <w:r w:rsidR="00BA7D67" w:rsidRPr="00B01850">
        <w:rPr>
          <w:rFonts w:ascii="Arial" w:hAnsi="Arial" w:cs="Arial"/>
          <w:b/>
          <w:bCs/>
        </w:rPr>
        <w:t xml:space="preserve"> </w:t>
      </w:r>
      <w:r w:rsidRPr="00B01850">
        <w:rPr>
          <w:rFonts w:ascii="Arial" w:hAnsi="Arial" w:cs="Arial"/>
          <w:b/>
          <w:bCs/>
        </w:rPr>
        <w:t>:</w:t>
      </w:r>
    </w:p>
    <w:p w14:paraId="53B557C0" w14:textId="1B983D33" w:rsidR="00DD10A0" w:rsidRPr="00B01850" w:rsidRDefault="00DD10A0" w:rsidP="00AE230E">
      <w:pPr>
        <w:spacing w:after="0" w:line="240" w:lineRule="auto"/>
        <w:jc w:val="both"/>
        <w:rPr>
          <w:rFonts w:ascii="Arial" w:hAnsi="Arial" w:cs="Arial"/>
        </w:rPr>
      </w:pPr>
      <w:r w:rsidRPr="00B01850">
        <w:rPr>
          <w:rFonts w:ascii="Arial" w:hAnsi="Arial" w:cs="Arial"/>
        </w:rPr>
        <w:t xml:space="preserve">Faire le point sur toutes les activités de renforcement des capacités liées aux sauvegardes environnementales et sociales entreprises </w:t>
      </w:r>
      <w:r w:rsidR="00D147CD" w:rsidRPr="00B01850">
        <w:rPr>
          <w:rFonts w:ascii="Arial" w:hAnsi="Arial" w:cs="Arial"/>
        </w:rPr>
        <w:t>aussi bien pour les spécialistes de l’UGP que pour les services techniques impliqués dans la mise en œuvre des activités du CERP</w:t>
      </w:r>
    </w:p>
    <w:p w14:paraId="6EF44813" w14:textId="77777777" w:rsidR="00DD10A0" w:rsidRPr="00B01850" w:rsidRDefault="00DD10A0" w:rsidP="00AE230E">
      <w:pPr>
        <w:spacing w:after="0" w:line="240" w:lineRule="auto"/>
        <w:jc w:val="both"/>
        <w:rPr>
          <w:rFonts w:ascii="Arial" w:hAnsi="Arial" w:cs="Arial"/>
        </w:rPr>
      </w:pPr>
      <w:r w:rsidRPr="00B01850">
        <w:rPr>
          <w:rFonts w:ascii="Arial" w:hAnsi="Arial" w:cs="Arial"/>
        </w:rPr>
        <w:t>Indiquer les activités de renforcement des capacités en suspens et les délais pour les réaliser.</w:t>
      </w:r>
    </w:p>
    <w:p w14:paraId="2C7DED40" w14:textId="77777777" w:rsidR="00DD10A0" w:rsidRPr="00B01850" w:rsidRDefault="00DD10A0" w:rsidP="00AE230E">
      <w:pPr>
        <w:spacing w:after="0" w:line="240" w:lineRule="auto"/>
        <w:jc w:val="both"/>
        <w:rPr>
          <w:rFonts w:ascii="Arial" w:hAnsi="Arial" w:cs="Arial"/>
        </w:rPr>
      </w:pPr>
    </w:p>
    <w:p w14:paraId="08C88DE2" w14:textId="77777777" w:rsidR="00C52FE6" w:rsidRPr="00B01850" w:rsidRDefault="00C52FE6" w:rsidP="00476FF6">
      <w:pPr>
        <w:spacing w:after="0" w:line="240" w:lineRule="auto"/>
        <w:jc w:val="both"/>
        <w:rPr>
          <w:rFonts w:ascii="Arial" w:hAnsi="Arial" w:cs="Arial"/>
          <w:b/>
          <w:bCs/>
        </w:rPr>
      </w:pPr>
    </w:p>
    <w:p w14:paraId="2A22EF30" w14:textId="71FCC2C2" w:rsidR="00DD10A0" w:rsidRPr="00B01850" w:rsidRDefault="00DD10A0" w:rsidP="00AE230E">
      <w:pPr>
        <w:spacing w:after="0" w:line="240" w:lineRule="auto"/>
        <w:jc w:val="both"/>
        <w:rPr>
          <w:rFonts w:ascii="Arial" w:hAnsi="Arial" w:cs="Arial"/>
        </w:rPr>
      </w:pPr>
      <w:r w:rsidRPr="00B01850">
        <w:rPr>
          <w:rFonts w:ascii="Arial" w:hAnsi="Arial" w:cs="Arial"/>
          <w:b/>
          <w:bCs/>
        </w:rPr>
        <w:t>Autres questions spécifiques au projet à signaler, à soulever et à signaler :</w:t>
      </w:r>
    </w:p>
    <w:p w14:paraId="193EBB10" w14:textId="77777777" w:rsidR="00DD10A0" w:rsidRPr="00B01850" w:rsidRDefault="00DD10A0" w:rsidP="00AE230E">
      <w:pPr>
        <w:spacing w:after="0" w:line="240" w:lineRule="auto"/>
        <w:jc w:val="both"/>
        <w:rPr>
          <w:rFonts w:ascii="Arial" w:hAnsi="Arial" w:cs="Arial"/>
          <w:b/>
          <w:bCs/>
        </w:rPr>
      </w:pPr>
    </w:p>
    <w:p w14:paraId="000F3071" w14:textId="77777777" w:rsidR="00C52FE6" w:rsidRPr="00B01850" w:rsidRDefault="00C52FE6" w:rsidP="00476FF6">
      <w:pPr>
        <w:spacing w:after="0" w:line="240" w:lineRule="auto"/>
        <w:jc w:val="both"/>
        <w:rPr>
          <w:rFonts w:ascii="Arial" w:hAnsi="Arial" w:cs="Arial"/>
          <w:b/>
          <w:bCs/>
        </w:rPr>
      </w:pPr>
    </w:p>
    <w:p w14:paraId="169B1840" w14:textId="4E286DF5" w:rsidR="00DD10A0" w:rsidRPr="00B01850" w:rsidRDefault="00DD10A0" w:rsidP="00AE230E">
      <w:pPr>
        <w:spacing w:after="0" w:line="240" w:lineRule="auto"/>
        <w:jc w:val="both"/>
        <w:rPr>
          <w:rFonts w:ascii="Arial" w:hAnsi="Arial" w:cs="Arial"/>
          <w:b/>
          <w:bCs/>
        </w:rPr>
      </w:pPr>
      <w:r w:rsidRPr="00B01850">
        <w:rPr>
          <w:rFonts w:ascii="Arial" w:hAnsi="Arial" w:cs="Arial"/>
          <w:b/>
          <w:bCs/>
        </w:rPr>
        <w:t>Autres questions spécifiques</w:t>
      </w:r>
    </w:p>
    <w:p w14:paraId="56FE1502" w14:textId="24CB26D6" w:rsidR="00DD10A0" w:rsidRPr="00B01850" w:rsidRDefault="00DD10A0" w:rsidP="00AE230E">
      <w:pPr>
        <w:spacing w:after="0" w:line="240" w:lineRule="auto"/>
        <w:jc w:val="both"/>
        <w:rPr>
          <w:rFonts w:ascii="Arial" w:hAnsi="Arial" w:cs="Arial"/>
        </w:rPr>
      </w:pPr>
      <w:r w:rsidRPr="00B01850">
        <w:rPr>
          <w:rFonts w:ascii="Arial" w:hAnsi="Arial" w:cs="Arial"/>
        </w:rPr>
        <w:t>Veuillez répondre aux questions suivantes :</w:t>
      </w:r>
    </w:p>
    <w:p w14:paraId="6C78CBAF" w14:textId="77777777" w:rsidR="00DD10A0" w:rsidRPr="00B01850" w:rsidRDefault="00DD10A0" w:rsidP="00AE230E">
      <w:pPr>
        <w:spacing w:after="0" w:line="240" w:lineRule="auto"/>
        <w:jc w:val="both"/>
        <w:rPr>
          <w:rFonts w:ascii="Arial" w:hAnsi="Arial" w:cs="Arial"/>
        </w:rPr>
      </w:pPr>
    </w:p>
    <w:p w14:paraId="712AF03B" w14:textId="74C71C36" w:rsidR="00DD10A0" w:rsidRPr="00B01850" w:rsidRDefault="00DD10A0" w:rsidP="00AE230E">
      <w:pPr>
        <w:spacing w:after="0" w:line="240" w:lineRule="auto"/>
        <w:jc w:val="both"/>
        <w:rPr>
          <w:rFonts w:ascii="Arial" w:hAnsi="Arial" w:cs="Arial"/>
        </w:rPr>
      </w:pPr>
      <w:r w:rsidRPr="00B01850">
        <w:rPr>
          <w:rFonts w:ascii="Arial" w:hAnsi="Arial" w:cs="Arial"/>
        </w:rPr>
        <w:t>L'U</w:t>
      </w:r>
      <w:r w:rsidR="00D147CD" w:rsidRPr="00B01850">
        <w:rPr>
          <w:rFonts w:ascii="Arial" w:hAnsi="Arial" w:cs="Arial"/>
        </w:rPr>
        <w:t>GP</w:t>
      </w:r>
      <w:r w:rsidRPr="00B01850">
        <w:rPr>
          <w:rFonts w:ascii="Arial" w:hAnsi="Arial" w:cs="Arial"/>
        </w:rPr>
        <w:t xml:space="preserve"> du CERP dispose-t-elle d'un personnel suffisant de spécialistes des questions environnementales et sociales qualifiés et permanents ? Disposent-ils des ressources (financières et matérielles) nécessaires pour effectuer des visites sur le terrain et des supervisions ? </w:t>
      </w:r>
    </w:p>
    <w:p w14:paraId="174F0AC9" w14:textId="77777777" w:rsidR="00DD10A0" w:rsidRPr="00B01850" w:rsidRDefault="00DD10A0" w:rsidP="00AE230E">
      <w:pPr>
        <w:spacing w:after="0" w:line="240" w:lineRule="auto"/>
        <w:jc w:val="both"/>
        <w:rPr>
          <w:rFonts w:ascii="Arial" w:hAnsi="Arial" w:cs="Arial"/>
        </w:rPr>
      </w:pPr>
    </w:p>
    <w:p w14:paraId="4E5D8488" w14:textId="6CB54F8F" w:rsidR="00DD10A0" w:rsidRPr="00B01850" w:rsidRDefault="00DD10A0" w:rsidP="00AE230E">
      <w:pPr>
        <w:spacing w:after="0" w:line="240" w:lineRule="auto"/>
        <w:jc w:val="both"/>
        <w:rPr>
          <w:rFonts w:ascii="Arial" w:hAnsi="Arial" w:cs="Arial"/>
        </w:rPr>
      </w:pPr>
      <w:r w:rsidRPr="00B01850">
        <w:rPr>
          <w:rFonts w:ascii="Arial" w:hAnsi="Arial" w:cs="Arial"/>
        </w:rPr>
        <w:t xml:space="preserve">Les partenaires d'exécution disposent-ils d'un personnel qualifié et permanent chargé des questions environnementales et sociales ? Établissent-ils leurs rapports environnementaux et sociaux périodiques à l'intention du Maître d'Ouvrage ? </w:t>
      </w:r>
    </w:p>
    <w:p w14:paraId="74B22221" w14:textId="77777777" w:rsidR="00DD10A0" w:rsidRPr="00B01850" w:rsidRDefault="00DD10A0" w:rsidP="00AE230E">
      <w:pPr>
        <w:spacing w:after="0" w:line="240" w:lineRule="auto"/>
        <w:jc w:val="both"/>
        <w:rPr>
          <w:rFonts w:ascii="Arial" w:hAnsi="Arial" w:cs="Arial"/>
        </w:rPr>
      </w:pPr>
    </w:p>
    <w:p w14:paraId="70D44C30" w14:textId="0C7A6233" w:rsidR="00DD10A0" w:rsidRPr="00B01850" w:rsidRDefault="00DD10A0" w:rsidP="00AE230E">
      <w:pPr>
        <w:spacing w:after="0" w:line="240" w:lineRule="auto"/>
        <w:jc w:val="both"/>
        <w:rPr>
          <w:rFonts w:ascii="Arial" w:hAnsi="Arial" w:cs="Arial"/>
        </w:rPr>
      </w:pPr>
      <w:r w:rsidRPr="00B01850">
        <w:rPr>
          <w:rFonts w:ascii="Arial" w:hAnsi="Arial" w:cs="Arial"/>
        </w:rPr>
        <w:t>Le mécanisme de gestion des plaintes du projet est-il encore assez robuste pour répondre aux plaintes ? Combien de plaintes ont été reçues et réglées (fournir des données actuelles et cumulatives ?</w:t>
      </w:r>
    </w:p>
    <w:p w14:paraId="1B7BC58D" w14:textId="77777777" w:rsidR="00DD10A0" w:rsidRPr="00B01850" w:rsidRDefault="00DD10A0" w:rsidP="00AE230E">
      <w:pPr>
        <w:spacing w:after="0" w:line="240" w:lineRule="auto"/>
        <w:jc w:val="both"/>
        <w:rPr>
          <w:rFonts w:ascii="Arial" w:hAnsi="Arial" w:cs="Arial"/>
        </w:rPr>
      </w:pPr>
    </w:p>
    <w:p w14:paraId="76566C4A" w14:textId="7D5DBFFC" w:rsidR="00DD10A0" w:rsidRPr="00B01850" w:rsidRDefault="00DD10A0" w:rsidP="00AE230E">
      <w:pPr>
        <w:spacing w:after="0" w:line="240" w:lineRule="auto"/>
        <w:jc w:val="both"/>
        <w:rPr>
          <w:rFonts w:ascii="Arial" w:hAnsi="Arial" w:cs="Arial"/>
        </w:rPr>
      </w:pPr>
      <w:r w:rsidRPr="00B01850">
        <w:rPr>
          <w:rFonts w:ascii="Arial" w:hAnsi="Arial" w:cs="Arial"/>
        </w:rPr>
        <w:t>L'allocation budgétaire est-elle suffisante pour la mise en œuvre des instruments de SE ?</w:t>
      </w:r>
    </w:p>
    <w:p w14:paraId="6C854A51" w14:textId="77777777" w:rsidR="00DD10A0" w:rsidRPr="00B01850" w:rsidRDefault="00DD10A0" w:rsidP="00AE230E">
      <w:pPr>
        <w:spacing w:after="0" w:line="240" w:lineRule="auto"/>
        <w:jc w:val="both"/>
        <w:rPr>
          <w:rFonts w:ascii="Arial" w:hAnsi="Arial" w:cs="Arial"/>
        </w:rPr>
      </w:pPr>
    </w:p>
    <w:p w14:paraId="5080F3F2" w14:textId="24025596" w:rsidR="00DD10A0" w:rsidRPr="00B01850" w:rsidRDefault="00DD10A0" w:rsidP="00AE230E">
      <w:pPr>
        <w:spacing w:after="0" w:line="240" w:lineRule="auto"/>
        <w:jc w:val="both"/>
        <w:rPr>
          <w:rFonts w:ascii="Arial" w:hAnsi="Arial" w:cs="Arial"/>
        </w:rPr>
      </w:pPr>
      <w:r w:rsidRPr="00B01850">
        <w:rPr>
          <w:rFonts w:ascii="Arial" w:hAnsi="Arial" w:cs="Arial"/>
        </w:rPr>
        <w:t>Quels sont les obstacles à la réalisation du PEES et du PGES ?</w:t>
      </w:r>
    </w:p>
    <w:p w14:paraId="7E1B61C1" w14:textId="77777777" w:rsidR="00DD10A0" w:rsidRPr="00B01850" w:rsidRDefault="00DD10A0" w:rsidP="00AE230E">
      <w:pPr>
        <w:spacing w:after="0" w:line="240" w:lineRule="auto"/>
        <w:jc w:val="both"/>
        <w:rPr>
          <w:rFonts w:ascii="Arial" w:hAnsi="Arial" w:cs="Arial"/>
        </w:rPr>
      </w:pPr>
    </w:p>
    <w:p w14:paraId="7B8216F4" w14:textId="77777777" w:rsidR="00DD10A0" w:rsidRPr="00B01850" w:rsidRDefault="00DD10A0" w:rsidP="00AE230E">
      <w:pPr>
        <w:spacing w:after="0" w:line="240" w:lineRule="auto"/>
        <w:jc w:val="both"/>
        <w:rPr>
          <w:rFonts w:ascii="Arial" w:hAnsi="Arial" w:cs="Arial"/>
        </w:rPr>
      </w:pPr>
    </w:p>
    <w:p w14:paraId="0989E250" w14:textId="77777777" w:rsidR="0047603A" w:rsidRDefault="0047603A">
      <w:pPr>
        <w:rPr>
          <w:rFonts w:ascii="Arial" w:hAnsi="Arial" w:cs="Arial"/>
          <w:b/>
          <w:bCs/>
        </w:rPr>
      </w:pPr>
      <w:r>
        <w:rPr>
          <w:rFonts w:ascii="Arial" w:hAnsi="Arial" w:cs="Arial"/>
          <w:b/>
          <w:bCs/>
        </w:rPr>
        <w:br w:type="page"/>
      </w:r>
    </w:p>
    <w:p w14:paraId="48B799EF" w14:textId="1DACCEE5" w:rsidR="00DD10A0" w:rsidRPr="00B01850" w:rsidRDefault="00DD10A0" w:rsidP="00AE230E">
      <w:pPr>
        <w:spacing w:after="0" w:line="240" w:lineRule="auto"/>
        <w:jc w:val="both"/>
        <w:rPr>
          <w:rFonts w:ascii="Arial" w:hAnsi="Arial" w:cs="Arial"/>
          <w:b/>
          <w:bCs/>
        </w:rPr>
      </w:pPr>
      <w:r w:rsidRPr="00B01850">
        <w:rPr>
          <w:rFonts w:ascii="Arial" w:hAnsi="Arial" w:cs="Arial"/>
          <w:b/>
          <w:bCs/>
        </w:rPr>
        <w:lastRenderedPageBreak/>
        <w:t>Conclusions et recommandations</w:t>
      </w:r>
    </w:p>
    <w:p w14:paraId="46993313" w14:textId="77777777" w:rsidR="00DD10A0" w:rsidRPr="00B01850" w:rsidRDefault="00DD10A0" w:rsidP="00AE230E">
      <w:pPr>
        <w:spacing w:after="0" w:line="240" w:lineRule="auto"/>
        <w:jc w:val="both"/>
        <w:rPr>
          <w:rFonts w:ascii="Arial" w:hAnsi="Arial" w:cs="Arial"/>
        </w:rPr>
      </w:pPr>
    </w:p>
    <w:p w14:paraId="2E5189EF" w14:textId="77777777" w:rsidR="008550B6" w:rsidRPr="00B01850" w:rsidRDefault="008550B6" w:rsidP="00214DCC">
      <w:pPr>
        <w:pStyle w:val="ListParagraph"/>
        <w:numPr>
          <w:ilvl w:val="0"/>
          <w:numId w:val="65"/>
        </w:numPr>
        <w:spacing w:after="0" w:line="240" w:lineRule="auto"/>
        <w:jc w:val="both"/>
        <w:rPr>
          <w:rFonts w:ascii="Arial" w:hAnsi="Arial" w:cs="Arial"/>
        </w:rPr>
      </w:pPr>
      <w:r w:rsidRPr="00B01850">
        <w:rPr>
          <w:rFonts w:ascii="Arial" w:hAnsi="Arial" w:cs="Arial"/>
        </w:rPr>
        <w:t>R</w:t>
      </w:r>
      <w:r w:rsidR="00DD10A0" w:rsidRPr="00B01850">
        <w:rPr>
          <w:rFonts w:ascii="Arial" w:hAnsi="Arial" w:cs="Arial"/>
        </w:rPr>
        <w:t>ésumer les principales conclusions de ce rapport périodique et les recommandations sur les mesures à mettre en œuvre au cours de la prochaine période de suivi.</w:t>
      </w:r>
    </w:p>
    <w:p w14:paraId="16200201" w14:textId="77777777" w:rsidR="008550B6" w:rsidRPr="00B01850" w:rsidRDefault="00DD10A0" w:rsidP="00214DCC">
      <w:pPr>
        <w:pStyle w:val="ListParagraph"/>
        <w:numPr>
          <w:ilvl w:val="0"/>
          <w:numId w:val="65"/>
        </w:numPr>
        <w:spacing w:after="0" w:line="240" w:lineRule="auto"/>
        <w:jc w:val="both"/>
        <w:rPr>
          <w:rFonts w:ascii="Arial" w:hAnsi="Arial" w:cs="Arial"/>
        </w:rPr>
      </w:pPr>
      <w:r w:rsidRPr="00B01850">
        <w:rPr>
          <w:rFonts w:ascii="Arial" w:hAnsi="Arial" w:cs="Arial"/>
        </w:rPr>
        <w:t>Inclure un résumé (dans un tableau) des mesures ou activités qui ont été prévues par rapport à celles qui ont été réalisées</w:t>
      </w:r>
      <w:r w:rsidR="008550B6" w:rsidRPr="00B01850">
        <w:rPr>
          <w:rFonts w:ascii="Arial" w:hAnsi="Arial" w:cs="Arial"/>
        </w:rPr>
        <w:t>.</w:t>
      </w:r>
    </w:p>
    <w:p w14:paraId="7E494427" w14:textId="01930914" w:rsidR="00DD10A0" w:rsidRPr="00B01850" w:rsidRDefault="008550B6" w:rsidP="00214DCC">
      <w:pPr>
        <w:pStyle w:val="ListParagraph"/>
        <w:numPr>
          <w:ilvl w:val="0"/>
          <w:numId w:val="65"/>
        </w:numPr>
        <w:spacing w:after="0" w:line="240" w:lineRule="auto"/>
        <w:jc w:val="both"/>
        <w:rPr>
          <w:rFonts w:ascii="Arial" w:hAnsi="Arial" w:cs="Arial"/>
        </w:rPr>
      </w:pPr>
      <w:r w:rsidRPr="00B01850">
        <w:rPr>
          <w:rFonts w:ascii="Arial" w:hAnsi="Arial" w:cs="Arial"/>
        </w:rPr>
        <w:t>I</w:t>
      </w:r>
      <w:r w:rsidR="00DD10A0" w:rsidRPr="00B01850">
        <w:rPr>
          <w:rFonts w:ascii="Arial" w:hAnsi="Arial" w:cs="Arial"/>
        </w:rPr>
        <w:t xml:space="preserve">ndiquer les raisons pour lesquelles certaines activités n'ont pas encore été menées. </w:t>
      </w:r>
    </w:p>
    <w:p w14:paraId="5B494C8E" w14:textId="77777777" w:rsidR="00E2500D" w:rsidRPr="00B01850" w:rsidRDefault="00DD10A0" w:rsidP="00074E1A">
      <w:pPr>
        <w:spacing w:before="120" w:after="0" w:line="240" w:lineRule="auto"/>
        <w:jc w:val="both"/>
        <w:rPr>
          <w:rFonts w:ascii="Arial" w:hAnsi="Arial" w:cs="Arial"/>
        </w:rPr>
      </w:pPr>
      <w:r w:rsidRPr="00B01850">
        <w:rPr>
          <w:rFonts w:ascii="Arial" w:hAnsi="Arial" w:cs="Arial"/>
        </w:rPr>
        <w:t>Inclure un tableau des activités prévues pour le trimestre/la période de déclaration à venir.</w:t>
      </w:r>
    </w:p>
    <w:p w14:paraId="28A9CF73" w14:textId="77777777" w:rsidR="00E2500D" w:rsidRPr="00B01850" w:rsidRDefault="00E2500D" w:rsidP="00E2500D">
      <w:pPr>
        <w:pStyle w:val="NoSpacing"/>
        <w:ind w:left="50"/>
        <w:jc w:val="both"/>
        <w:rPr>
          <w:rFonts w:ascii="Arial" w:hAnsi="Arial" w:cs="Arial"/>
          <w:lang w:val="fr-FR"/>
        </w:rPr>
      </w:pPr>
    </w:p>
    <w:p w14:paraId="5DC495E9" w14:textId="77777777" w:rsidR="00DD10A0" w:rsidRPr="00B01850" w:rsidRDefault="00DD10A0" w:rsidP="00DD10A0">
      <w:pPr>
        <w:pStyle w:val="NoSpacing"/>
        <w:ind w:left="410"/>
        <w:rPr>
          <w:rFonts w:ascii="Arial" w:hAnsi="Arial" w:cs="Arial"/>
          <w:lang w:val="fr-FR"/>
        </w:rPr>
      </w:pPr>
    </w:p>
    <w:p w14:paraId="59B7ED80" w14:textId="77777777" w:rsidR="00DD10A0" w:rsidRPr="00B01850" w:rsidRDefault="00DD10A0" w:rsidP="00DD10A0">
      <w:pPr>
        <w:pStyle w:val="NoSpacing"/>
        <w:ind w:left="410"/>
        <w:rPr>
          <w:rFonts w:ascii="Arial" w:hAnsi="Arial" w:cs="Arial"/>
          <w:lang w:val="fr-FR"/>
        </w:rPr>
      </w:pPr>
    </w:p>
    <w:p w14:paraId="623E14D8" w14:textId="77777777" w:rsidR="00DD10A0" w:rsidRPr="00B01850" w:rsidRDefault="00DD10A0" w:rsidP="00DD10A0">
      <w:pPr>
        <w:pStyle w:val="NoSpacing"/>
        <w:ind w:left="410"/>
        <w:rPr>
          <w:rFonts w:ascii="Arial" w:hAnsi="Arial" w:cs="Arial"/>
          <w:lang w:val="fr-FR"/>
        </w:rPr>
      </w:pPr>
    </w:p>
    <w:p w14:paraId="2EA38C51" w14:textId="77777777" w:rsidR="00DD10A0" w:rsidRPr="00B01850" w:rsidRDefault="00DD10A0" w:rsidP="00DD10A0">
      <w:pPr>
        <w:pStyle w:val="NoSpacing"/>
        <w:ind w:left="410"/>
        <w:rPr>
          <w:rFonts w:ascii="Arial" w:hAnsi="Arial" w:cs="Arial"/>
          <w:lang w:val="fr-FR"/>
        </w:rPr>
      </w:pPr>
    </w:p>
    <w:p w14:paraId="457B4CA6" w14:textId="004C3CE1" w:rsidR="00E2500D" w:rsidRPr="00B01850" w:rsidRDefault="00E2500D" w:rsidP="413FC328">
      <w:pPr>
        <w:rPr>
          <w:rFonts w:ascii="Arial" w:eastAsiaTheme="majorEastAsia" w:hAnsi="Arial" w:cs="Arial"/>
          <w:color w:val="365F91" w:themeColor="accent1" w:themeShade="BF"/>
        </w:rPr>
      </w:pPr>
      <w:r w:rsidRPr="00B01850">
        <w:rPr>
          <w:rFonts w:ascii="Arial" w:hAnsi="Arial" w:cs="Arial"/>
        </w:rPr>
        <w:br w:type="page"/>
      </w:r>
    </w:p>
    <w:p w14:paraId="11E3C702" w14:textId="11866507" w:rsidR="00CC2043" w:rsidRPr="00B01850" w:rsidRDefault="00FF1DB9" w:rsidP="00CC2043">
      <w:pPr>
        <w:pStyle w:val="Heading1"/>
        <w:rPr>
          <w:rFonts w:ascii="Arial" w:hAnsi="Arial" w:cs="Arial"/>
          <w:color w:val="auto"/>
          <w:sz w:val="22"/>
          <w:szCs w:val="22"/>
        </w:rPr>
      </w:pPr>
      <w:bookmarkStart w:id="145" w:name="_Toc1546775588"/>
      <w:bookmarkStart w:id="146" w:name="_Hlk196718752"/>
      <w:bookmarkStart w:id="147" w:name="_Toc197382160"/>
      <w:r w:rsidRPr="00B01850">
        <w:rPr>
          <w:rFonts w:ascii="Arial" w:hAnsi="Arial" w:cs="Arial"/>
          <w:color w:val="auto"/>
          <w:sz w:val="22"/>
          <w:szCs w:val="22"/>
        </w:rPr>
        <w:lastRenderedPageBreak/>
        <w:t xml:space="preserve">Annexe 2 : Procédures de </w:t>
      </w:r>
      <w:r w:rsidR="001B57DA" w:rsidRPr="00B01850">
        <w:rPr>
          <w:rFonts w:ascii="Arial" w:hAnsi="Arial" w:cs="Arial"/>
          <w:color w:val="auto"/>
          <w:sz w:val="22"/>
          <w:szCs w:val="22"/>
        </w:rPr>
        <w:t>G</w:t>
      </w:r>
      <w:r w:rsidRPr="00B01850">
        <w:rPr>
          <w:rFonts w:ascii="Arial" w:hAnsi="Arial" w:cs="Arial"/>
          <w:color w:val="auto"/>
          <w:sz w:val="22"/>
          <w:szCs w:val="22"/>
        </w:rPr>
        <w:t xml:space="preserve">estion de la </w:t>
      </w:r>
      <w:r w:rsidR="001B57DA" w:rsidRPr="00B01850">
        <w:rPr>
          <w:rFonts w:ascii="Arial" w:hAnsi="Arial" w:cs="Arial"/>
          <w:color w:val="auto"/>
          <w:sz w:val="22"/>
          <w:szCs w:val="22"/>
        </w:rPr>
        <w:t>M</w:t>
      </w:r>
      <w:r w:rsidRPr="00B01850">
        <w:rPr>
          <w:rFonts w:ascii="Arial" w:hAnsi="Arial" w:cs="Arial"/>
          <w:color w:val="auto"/>
          <w:sz w:val="22"/>
          <w:szCs w:val="22"/>
        </w:rPr>
        <w:t>ain-d'œuvre (</w:t>
      </w:r>
      <w:proofErr w:type="spellStart"/>
      <w:r w:rsidRPr="00B01850">
        <w:rPr>
          <w:rFonts w:ascii="Arial" w:hAnsi="Arial" w:cs="Arial"/>
          <w:color w:val="auto"/>
          <w:sz w:val="22"/>
          <w:szCs w:val="22"/>
        </w:rPr>
        <w:t>PGM</w:t>
      </w:r>
      <w:r w:rsidR="006846D6" w:rsidRPr="00B01850">
        <w:rPr>
          <w:rFonts w:ascii="Arial" w:hAnsi="Arial" w:cs="Arial"/>
          <w:color w:val="auto"/>
          <w:sz w:val="22"/>
          <w:szCs w:val="22"/>
        </w:rPr>
        <w:t>o</w:t>
      </w:r>
      <w:proofErr w:type="spellEnd"/>
      <w:r w:rsidRPr="00B01850">
        <w:rPr>
          <w:rFonts w:ascii="Arial" w:hAnsi="Arial" w:cs="Arial"/>
          <w:color w:val="auto"/>
          <w:sz w:val="22"/>
          <w:szCs w:val="22"/>
        </w:rPr>
        <w:t>)</w:t>
      </w:r>
      <w:bookmarkEnd w:id="145"/>
      <w:bookmarkEnd w:id="147"/>
    </w:p>
    <w:bookmarkEnd w:id="146"/>
    <w:p w14:paraId="75CE1578" w14:textId="77777777" w:rsidR="00367946" w:rsidRPr="00B01850" w:rsidRDefault="00367946" w:rsidP="00367946">
      <w:pPr>
        <w:spacing w:after="0" w:line="240" w:lineRule="auto"/>
        <w:rPr>
          <w:rFonts w:ascii="Arial" w:eastAsia="Times New Roman" w:hAnsi="Arial" w:cs="Arial"/>
          <w:color w:val="000000"/>
        </w:rPr>
      </w:pPr>
    </w:p>
    <w:p w14:paraId="7E1A9AB2" w14:textId="0786D016" w:rsidR="00367946" w:rsidRPr="00B01850" w:rsidRDefault="00367946" w:rsidP="00367946">
      <w:pPr>
        <w:spacing w:after="0" w:line="240" w:lineRule="auto"/>
        <w:jc w:val="both"/>
        <w:rPr>
          <w:rFonts w:ascii="Arial" w:hAnsi="Arial" w:cs="Arial"/>
        </w:rPr>
      </w:pPr>
      <w:r w:rsidRPr="00B01850">
        <w:rPr>
          <w:rFonts w:ascii="Arial" w:hAnsi="Arial" w:cs="Arial"/>
        </w:rPr>
        <w:t xml:space="preserve">La NES </w:t>
      </w:r>
      <w:r w:rsidR="004F33C5" w:rsidRPr="00B01850">
        <w:rPr>
          <w:rFonts w:ascii="Arial" w:hAnsi="Arial" w:cs="Arial"/>
        </w:rPr>
        <w:t>N</w:t>
      </w:r>
      <w:r w:rsidRPr="00B01850">
        <w:rPr>
          <w:rFonts w:ascii="Arial" w:hAnsi="Arial" w:cs="Arial"/>
        </w:rPr>
        <w:t xml:space="preserve">°2 sur l'emploi et les conditions de travail </w:t>
      </w:r>
      <w:r w:rsidR="00A81625" w:rsidRPr="00B01850">
        <w:rPr>
          <w:rFonts w:ascii="Arial" w:hAnsi="Arial" w:cs="Arial"/>
        </w:rPr>
        <w:t xml:space="preserve">est pertinente dans le cadre de la mise en œuvre des </w:t>
      </w:r>
      <w:r w:rsidRPr="00B01850">
        <w:rPr>
          <w:rFonts w:ascii="Arial" w:hAnsi="Arial" w:cs="Arial"/>
        </w:rPr>
        <w:t xml:space="preserve">activités du CERP. </w:t>
      </w:r>
      <w:r w:rsidR="00F90A74" w:rsidRPr="00B01850">
        <w:rPr>
          <w:rFonts w:ascii="Arial" w:hAnsi="Arial" w:cs="Arial"/>
        </w:rPr>
        <w:t>Les présentes procédures de gestion de la main d’œuvre (</w:t>
      </w:r>
      <w:proofErr w:type="spellStart"/>
      <w:r w:rsidR="00F90A74" w:rsidRPr="00B01850">
        <w:rPr>
          <w:rFonts w:ascii="Arial" w:hAnsi="Arial" w:cs="Arial"/>
        </w:rPr>
        <w:t>PGMo</w:t>
      </w:r>
      <w:proofErr w:type="spellEnd"/>
      <w:r w:rsidR="00F90A74" w:rsidRPr="00B01850">
        <w:rPr>
          <w:rFonts w:ascii="Arial" w:hAnsi="Arial" w:cs="Arial"/>
        </w:rPr>
        <w:t>) ont été élaborée c</w:t>
      </w:r>
      <w:r w:rsidRPr="00B01850">
        <w:rPr>
          <w:rFonts w:ascii="Arial" w:hAnsi="Arial" w:cs="Arial"/>
        </w:rPr>
        <w:t>onformément</w:t>
      </w:r>
      <w:r w:rsidR="00F90A74" w:rsidRPr="00B01850">
        <w:rPr>
          <w:rFonts w:ascii="Arial" w:hAnsi="Arial" w:cs="Arial"/>
        </w:rPr>
        <w:t xml:space="preserve"> aux exigences de cette norme. </w:t>
      </w:r>
      <w:r w:rsidR="00E842DC" w:rsidRPr="00B01850">
        <w:rPr>
          <w:rFonts w:ascii="Arial" w:hAnsi="Arial" w:cs="Arial"/>
        </w:rPr>
        <w:t>Ell</w:t>
      </w:r>
      <w:r w:rsidRPr="00B01850">
        <w:rPr>
          <w:rFonts w:ascii="Arial" w:hAnsi="Arial" w:cs="Arial"/>
        </w:rPr>
        <w:t>es ont pour objet de définir l</w:t>
      </w:r>
      <w:r w:rsidR="00C11B07" w:rsidRPr="00B01850">
        <w:rPr>
          <w:rFonts w:ascii="Arial" w:hAnsi="Arial" w:cs="Arial"/>
        </w:rPr>
        <w:t>es relations de travail dans le cadre de la mise en œuvre du CERP</w:t>
      </w:r>
      <w:r w:rsidR="00C2637C" w:rsidRPr="00B01850">
        <w:rPr>
          <w:rFonts w:ascii="Arial" w:hAnsi="Arial" w:cs="Arial"/>
        </w:rPr>
        <w:t xml:space="preserve"> en Guinée</w:t>
      </w:r>
      <w:r w:rsidR="00C11B07" w:rsidRPr="00B01850">
        <w:rPr>
          <w:rFonts w:ascii="Arial" w:hAnsi="Arial" w:cs="Arial"/>
        </w:rPr>
        <w:t xml:space="preserve">. </w:t>
      </w:r>
      <w:r w:rsidR="00111AC5" w:rsidRPr="00B01850">
        <w:rPr>
          <w:rFonts w:ascii="Arial" w:hAnsi="Arial" w:cs="Arial"/>
        </w:rPr>
        <w:t xml:space="preserve">Elle s’applique à toutes les catégories de travailleurs du projet </w:t>
      </w:r>
      <w:r w:rsidRPr="00B01850">
        <w:rPr>
          <w:rFonts w:ascii="Arial" w:hAnsi="Arial" w:cs="Arial"/>
        </w:rPr>
        <w:t xml:space="preserve">a manière dont </w:t>
      </w:r>
      <w:r w:rsidR="00C11B07" w:rsidRPr="00B01850">
        <w:rPr>
          <w:rFonts w:ascii="Arial" w:hAnsi="Arial" w:cs="Arial"/>
        </w:rPr>
        <w:t>l’UGP</w:t>
      </w:r>
      <w:r w:rsidR="00E842DC" w:rsidRPr="00B01850">
        <w:rPr>
          <w:rFonts w:ascii="Arial" w:hAnsi="Arial" w:cs="Arial"/>
        </w:rPr>
        <w:t xml:space="preserve">, les fonctionnaires </w:t>
      </w:r>
      <w:r w:rsidR="00080438" w:rsidRPr="00B01850">
        <w:rPr>
          <w:rFonts w:ascii="Arial" w:hAnsi="Arial" w:cs="Arial"/>
        </w:rPr>
        <w:t xml:space="preserve">impliqués dans </w:t>
      </w:r>
      <w:r w:rsidR="00E842DC" w:rsidRPr="00B01850">
        <w:rPr>
          <w:rFonts w:ascii="Arial" w:hAnsi="Arial" w:cs="Arial"/>
        </w:rPr>
        <w:t xml:space="preserve">la mise en œuvre du projet, les </w:t>
      </w:r>
      <w:r w:rsidR="00080438" w:rsidRPr="00B01850">
        <w:rPr>
          <w:rFonts w:ascii="Arial" w:hAnsi="Arial" w:cs="Arial"/>
        </w:rPr>
        <w:t xml:space="preserve">travailleurs des entreprises partenaires et des sous-traitants, etc. </w:t>
      </w:r>
      <w:r w:rsidR="00F90EB8" w:rsidRPr="00B01850">
        <w:rPr>
          <w:rFonts w:ascii="Arial" w:hAnsi="Arial" w:cs="Arial"/>
        </w:rPr>
        <w:t xml:space="preserve">elle définit le cadre de gestion des </w:t>
      </w:r>
      <w:r w:rsidRPr="00B01850">
        <w:rPr>
          <w:rFonts w:ascii="Arial" w:hAnsi="Arial" w:cs="Arial"/>
        </w:rPr>
        <w:t xml:space="preserve">risques et les impacts associés aux </w:t>
      </w:r>
      <w:r w:rsidR="00F90EB8" w:rsidRPr="00B01850">
        <w:rPr>
          <w:rFonts w:ascii="Arial" w:hAnsi="Arial" w:cs="Arial"/>
        </w:rPr>
        <w:t xml:space="preserve">questions de main-d’œuvre. </w:t>
      </w:r>
      <w:r w:rsidRPr="00B01850">
        <w:rPr>
          <w:rFonts w:ascii="Arial" w:hAnsi="Arial" w:cs="Arial"/>
        </w:rPr>
        <w:t xml:space="preserve">Les objectifs des </w:t>
      </w:r>
      <w:r w:rsidR="0063528A" w:rsidRPr="00B01850">
        <w:rPr>
          <w:rFonts w:ascii="Arial" w:hAnsi="Arial" w:cs="Arial"/>
        </w:rPr>
        <w:t xml:space="preserve">présentes </w:t>
      </w:r>
      <w:r w:rsidRPr="00B01850">
        <w:rPr>
          <w:rFonts w:ascii="Arial" w:hAnsi="Arial" w:cs="Arial"/>
        </w:rPr>
        <w:t xml:space="preserve">procédures de gestion de la main-d'œuvre </w:t>
      </w:r>
      <w:r w:rsidR="0063528A" w:rsidRPr="00B01850">
        <w:rPr>
          <w:rFonts w:ascii="Arial" w:hAnsi="Arial" w:cs="Arial"/>
        </w:rPr>
        <w:t xml:space="preserve">se résument à : </w:t>
      </w:r>
    </w:p>
    <w:p w14:paraId="5DAD937A" w14:textId="3B4374C0" w:rsidR="00367946" w:rsidRPr="00B01850" w:rsidRDefault="00367946" w:rsidP="00214DCC">
      <w:pPr>
        <w:numPr>
          <w:ilvl w:val="0"/>
          <w:numId w:val="5"/>
        </w:numPr>
        <w:pBdr>
          <w:top w:val="nil"/>
          <w:left w:val="nil"/>
          <w:bottom w:val="nil"/>
          <w:right w:val="nil"/>
          <w:between w:val="nil"/>
        </w:pBdr>
        <w:spacing w:before="120" w:after="0" w:line="240" w:lineRule="auto"/>
        <w:jc w:val="both"/>
        <w:rPr>
          <w:rFonts w:ascii="Arial" w:hAnsi="Arial" w:cs="Arial"/>
          <w:color w:val="000000"/>
        </w:rPr>
      </w:pPr>
      <w:r w:rsidRPr="00B01850">
        <w:rPr>
          <w:rFonts w:ascii="Arial" w:hAnsi="Arial" w:cs="Arial"/>
          <w:color w:val="000000"/>
        </w:rPr>
        <w:t>Identifier les différent</w:t>
      </w:r>
      <w:r w:rsidR="005F70D9" w:rsidRPr="00B01850">
        <w:rPr>
          <w:rFonts w:ascii="Arial" w:hAnsi="Arial" w:cs="Arial"/>
          <w:color w:val="000000"/>
        </w:rPr>
        <w:t>e</w:t>
      </w:r>
      <w:r w:rsidRPr="00B01850">
        <w:rPr>
          <w:rFonts w:ascii="Arial" w:hAnsi="Arial" w:cs="Arial"/>
          <w:color w:val="000000"/>
        </w:rPr>
        <w:t xml:space="preserve">s </w:t>
      </w:r>
      <w:r w:rsidR="00703A82" w:rsidRPr="00B01850">
        <w:rPr>
          <w:rFonts w:ascii="Arial" w:hAnsi="Arial" w:cs="Arial"/>
          <w:color w:val="000000"/>
        </w:rPr>
        <w:t xml:space="preserve">catégories de main d’œuvre qui pourraient intervenir dans la mise en œuvre du </w:t>
      </w:r>
      <w:r w:rsidR="00B51973" w:rsidRPr="00B01850">
        <w:rPr>
          <w:rFonts w:ascii="Arial" w:hAnsi="Arial" w:cs="Arial"/>
          <w:color w:val="000000"/>
        </w:rPr>
        <w:t>CERP</w:t>
      </w:r>
      <w:r w:rsidR="005F70D9" w:rsidRPr="00B01850">
        <w:rPr>
          <w:rFonts w:ascii="Arial" w:hAnsi="Arial" w:cs="Arial"/>
          <w:color w:val="000000"/>
        </w:rPr>
        <w:t> ;</w:t>
      </w:r>
    </w:p>
    <w:p w14:paraId="66FF900D" w14:textId="70C7E9DA" w:rsidR="00367946" w:rsidRPr="00B01850" w:rsidRDefault="00367946" w:rsidP="00214DCC">
      <w:pPr>
        <w:numPr>
          <w:ilvl w:val="0"/>
          <w:numId w:val="5"/>
        </w:numPr>
        <w:pBdr>
          <w:top w:val="nil"/>
          <w:left w:val="nil"/>
          <w:bottom w:val="nil"/>
          <w:right w:val="nil"/>
          <w:between w:val="nil"/>
        </w:pBdr>
        <w:spacing w:after="0" w:line="240" w:lineRule="auto"/>
        <w:jc w:val="both"/>
        <w:rPr>
          <w:rFonts w:ascii="Arial" w:hAnsi="Arial" w:cs="Arial"/>
          <w:color w:val="000000"/>
        </w:rPr>
      </w:pPr>
      <w:r w:rsidRPr="00B01850">
        <w:rPr>
          <w:rFonts w:ascii="Arial" w:hAnsi="Arial" w:cs="Arial"/>
          <w:color w:val="000000"/>
        </w:rPr>
        <w:t xml:space="preserve">Déterminer, analyser et évaluer les risques et effets </w:t>
      </w:r>
      <w:r w:rsidR="005F70D9" w:rsidRPr="00B01850">
        <w:rPr>
          <w:rFonts w:ascii="Arial" w:hAnsi="Arial" w:cs="Arial"/>
          <w:color w:val="000000"/>
        </w:rPr>
        <w:t xml:space="preserve">relatifs à </w:t>
      </w:r>
      <w:r w:rsidRPr="00B01850">
        <w:rPr>
          <w:rFonts w:ascii="Arial" w:hAnsi="Arial" w:cs="Arial"/>
          <w:color w:val="000000"/>
        </w:rPr>
        <w:t xml:space="preserve">la main-d'œuvre </w:t>
      </w:r>
      <w:r w:rsidR="005F70D9" w:rsidRPr="00B01850">
        <w:rPr>
          <w:rFonts w:ascii="Arial" w:hAnsi="Arial" w:cs="Arial"/>
          <w:color w:val="000000"/>
        </w:rPr>
        <w:t xml:space="preserve">du </w:t>
      </w:r>
      <w:r w:rsidRPr="00B01850">
        <w:rPr>
          <w:rFonts w:ascii="Arial" w:hAnsi="Arial" w:cs="Arial"/>
          <w:color w:val="000000"/>
        </w:rPr>
        <w:t>projet</w:t>
      </w:r>
      <w:r w:rsidR="005F70D9" w:rsidRPr="00B01850">
        <w:rPr>
          <w:rFonts w:ascii="Arial" w:hAnsi="Arial" w:cs="Arial"/>
          <w:color w:val="000000"/>
        </w:rPr>
        <w:t> ;</w:t>
      </w:r>
    </w:p>
    <w:p w14:paraId="209F9102" w14:textId="56492FCA" w:rsidR="00367946" w:rsidRPr="00B01850" w:rsidRDefault="00367946" w:rsidP="00214DCC">
      <w:pPr>
        <w:numPr>
          <w:ilvl w:val="0"/>
          <w:numId w:val="5"/>
        </w:numPr>
        <w:pBdr>
          <w:top w:val="nil"/>
          <w:left w:val="nil"/>
          <w:bottom w:val="nil"/>
          <w:right w:val="nil"/>
          <w:between w:val="nil"/>
        </w:pBdr>
        <w:spacing w:after="0" w:line="240" w:lineRule="auto"/>
        <w:jc w:val="both"/>
        <w:rPr>
          <w:rFonts w:ascii="Arial" w:hAnsi="Arial" w:cs="Arial"/>
          <w:color w:val="000000"/>
        </w:rPr>
      </w:pPr>
      <w:r w:rsidRPr="00B01850">
        <w:rPr>
          <w:rFonts w:ascii="Arial" w:hAnsi="Arial" w:cs="Arial"/>
          <w:color w:val="000000"/>
        </w:rPr>
        <w:t>Définir les procédures pour répondre aux exigences de la NES n°2 et de la législation nationale applicable.</w:t>
      </w:r>
    </w:p>
    <w:p w14:paraId="768C813E" w14:textId="7801F162" w:rsidR="00367946" w:rsidRPr="00B01850" w:rsidRDefault="00367946" w:rsidP="00E03135">
      <w:pPr>
        <w:spacing w:before="120" w:after="0" w:line="240" w:lineRule="auto"/>
        <w:jc w:val="both"/>
        <w:rPr>
          <w:rFonts w:ascii="Arial" w:hAnsi="Arial" w:cs="Arial"/>
        </w:rPr>
      </w:pPr>
      <w:r w:rsidRPr="00B01850">
        <w:rPr>
          <w:rFonts w:ascii="Arial" w:hAnsi="Arial" w:cs="Arial"/>
        </w:rPr>
        <w:t xml:space="preserve">Les </w:t>
      </w:r>
      <w:r w:rsidR="000F7906" w:rsidRPr="00B01850">
        <w:rPr>
          <w:rFonts w:ascii="Arial" w:hAnsi="Arial" w:cs="Arial"/>
        </w:rPr>
        <w:t xml:space="preserve">présentes </w:t>
      </w:r>
      <w:r w:rsidRPr="00B01850">
        <w:rPr>
          <w:rFonts w:ascii="Arial" w:hAnsi="Arial" w:cs="Arial"/>
        </w:rPr>
        <w:t xml:space="preserve">procédures de gestion de la main-d'œuvre seront appliquées </w:t>
      </w:r>
      <w:r w:rsidR="000F7906" w:rsidRPr="00B01850">
        <w:rPr>
          <w:rFonts w:ascii="Arial" w:hAnsi="Arial" w:cs="Arial"/>
        </w:rPr>
        <w:t xml:space="preserve">conformément à la législation nationale et à l’interdépendance </w:t>
      </w:r>
      <w:r w:rsidRPr="00B01850">
        <w:rPr>
          <w:rFonts w:ascii="Arial" w:hAnsi="Arial" w:cs="Arial"/>
        </w:rPr>
        <w:t>de la NES n° 2 avec les autres NES</w:t>
      </w:r>
      <w:r w:rsidR="008B1E95" w:rsidRPr="00B01850">
        <w:rPr>
          <w:rFonts w:ascii="Arial" w:hAnsi="Arial" w:cs="Arial"/>
        </w:rPr>
        <w:t xml:space="preserve"> du Cadre Environnemental et Social </w:t>
      </w:r>
      <w:r w:rsidR="00B51973" w:rsidRPr="00B01850">
        <w:rPr>
          <w:rFonts w:ascii="Arial" w:hAnsi="Arial" w:cs="Arial"/>
        </w:rPr>
        <w:t xml:space="preserve">(CES) </w:t>
      </w:r>
      <w:r w:rsidR="008B1E95" w:rsidRPr="00B01850">
        <w:rPr>
          <w:rFonts w:ascii="Arial" w:hAnsi="Arial" w:cs="Arial"/>
        </w:rPr>
        <w:t>de la Banque mondiale</w:t>
      </w:r>
      <w:r w:rsidRPr="00B01850">
        <w:rPr>
          <w:rFonts w:ascii="Arial" w:hAnsi="Arial" w:cs="Arial"/>
        </w:rPr>
        <w:t>.</w:t>
      </w:r>
      <w:r w:rsidR="00953AA2" w:rsidRPr="00B01850">
        <w:rPr>
          <w:rFonts w:ascii="Arial" w:hAnsi="Arial" w:cs="Arial"/>
        </w:rPr>
        <w:t xml:space="preserve"> Elles seront appliquées aux différentes catégories de </w:t>
      </w:r>
      <w:r w:rsidRPr="00B01850">
        <w:rPr>
          <w:rFonts w:ascii="Arial" w:hAnsi="Arial" w:cs="Arial"/>
        </w:rPr>
        <w:t xml:space="preserve">main-d'œuvre </w:t>
      </w:r>
      <w:r w:rsidR="00953AA2" w:rsidRPr="00B01850">
        <w:rPr>
          <w:rFonts w:ascii="Arial" w:hAnsi="Arial" w:cs="Arial"/>
        </w:rPr>
        <w:t xml:space="preserve">du CERP </w:t>
      </w:r>
      <w:r w:rsidRPr="00B01850">
        <w:rPr>
          <w:rFonts w:ascii="Arial" w:hAnsi="Arial" w:cs="Arial"/>
        </w:rPr>
        <w:t>comme suit :</w:t>
      </w:r>
    </w:p>
    <w:p w14:paraId="07471BBE" w14:textId="1FD13A07" w:rsidR="00367946" w:rsidRPr="00B01850" w:rsidRDefault="00367946" w:rsidP="00214DCC">
      <w:pPr>
        <w:numPr>
          <w:ilvl w:val="0"/>
          <w:numId w:val="6"/>
        </w:numPr>
        <w:pBdr>
          <w:top w:val="nil"/>
          <w:left w:val="nil"/>
          <w:bottom w:val="nil"/>
          <w:right w:val="nil"/>
          <w:between w:val="nil"/>
        </w:pBdr>
        <w:spacing w:before="120" w:after="0" w:line="240" w:lineRule="auto"/>
        <w:jc w:val="both"/>
        <w:rPr>
          <w:rFonts w:ascii="Arial" w:hAnsi="Arial" w:cs="Arial"/>
          <w:color w:val="000000"/>
        </w:rPr>
      </w:pPr>
      <w:r w:rsidRPr="00B01850">
        <w:rPr>
          <w:rFonts w:ascii="Arial" w:hAnsi="Arial" w:cs="Arial"/>
          <w:b/>
          <w:color w:val="000000"/>
        </w:rPr>
        <w:t>Travailleurs directs.</w:t>
      </w:r>
      <w:r w:rsidRPr="00B01850">
        <w:rPr>
          <w:rFonts w:ascii="Arial" w:hAnsi="Arial" w:cs="Arial"/>
          <w:color w:val="000000"/>
        </w:rPr>
        <w:t xml:space="preserve"> Les </w:t>
      </w:r>
      <w:r w:rsidR="00111E11" w:rsidRPr="00B01850">
        <w:rPr>
          <w:rFonts w:ascii="Arial" w:hAnsi="Arial" w:cs="Arial"/>
          <w:color w:val="000000"/>
        </w:rPr>
        <w:t xml:space="preserve">travailleurs directs </w:t>
      </w:r>
      <w:r w:rsidR="00756E39" w:rsidRPr="00B01850">
        <w:rPr>
          <w:rFonts w:ascii="Arial" w:hAnsi="Arial" w:cs="Arial"/>
          <w:color w:val="000000"/>
        </w:rPr>
        <w:t>recrut</w:t>
      </w:r>
      <w:r w:rsidR="00C1108F" w:rsidRPr="00B01850">
        <w:rPr>
          <w:rFonts w:ascii="Arial" w:hAnsi="Arial" w:cs="Arial"/>
          <w:color w:val="000000"/>
        </w:rPr>
        <w:t xml:space="preserve">és </w:t>
      </w:r>
      <w:r w:rsidR="00756E39" w:rsidRPr="00B01850">
        <w:rPr>
          <w:rFonts w:ascii="Arial" w:hAnsi="Arial" w:cs="Arial"/>
          <w:color w:val="000000"/>
        </w:rPr>
        <w:t>pour r</w:t>
      </w:r>
      <w:r w:rsidR="00C1108F" w:rsidRPr="00B01850">
        <w:rPr>
          <w:rFonts w:ascii="Arial" w:hAnsi="Arial" w:cs="Arial"/>
          <w:color w:val="000000"/>
        </w:rPr>
        <w:t>éa</w:t>
      </w:r>
      <w:r w:rsidR="00756E39" w:rsidRPr="00B01850">
        <w:rPr>
          <w:rFonts w:ascii="Arial" w:hAnsi="Arial" w:cs="Arial"/>
          <w:color w:val="000000"/>
        </w:rPr>
        <w:t>li</w:t>
      </w:r>
      <w:r w:rsidR="00C1108F" w:rsidRPr="00B01850">
        <w:rPr>
          <w:rFonts w:ascii="Arial" w:hAnsi="Arial" w:cs="Arial"/>
          <w:color w:val="000000"/>
        </w:rPr>
        <w:t xml:space="preserve">ser des activités spécifiques au </w:t>
      </w:r>
      <w:r w:rsidR="00514A1C" w:rsidRPr="00B01850">
        <w:rPr>
          <w:rFonts w:ascii="Arial" w:hAnsi="Arial" w:cs="Arial"/>
          <w:color w:val="000000"/>
        </w:rPr>
        <w:t xml:space="preserve">sein ou au </w:t>
      </w:r>
      <w:r w:rsidR="00C1108F" w:rsidRPr="00B01850">
        <w:rPr>
          <w:rFonts w:ascii="Arial" w:hAnsi="Arial" w:cs="Arial"/>
          <w:color w:val="000000"/>
        </w:rPr>
        <w:t>compte d</w:t>
      </w:r>
      <w:r w:rsidR="00514A1C" w:rsidRPr="00B01850">
        <w:rPr>
          <w:rFonts w:ascii="Arial" w:hAnsi="Arial" w:cs="Arial"/>
          <w:color w:val="000000"/>
        </w:rPr>
        <w:t>e l’UGP du CERP.</w:t>
      </w:r>
    </w:p>
    <w:p w14:paraId="731B8CB3" w14:textId="5E61B081" w:rsidR="006924C3" w:rsidRPr="00B01850" w:rsidRDefault="00096264" w:rsidP="00214DCC">
      <w:pPr>
        <w:numPr>
          <w:ilvl w:val="0"/>
          <w:numId w:val="6"/>
        </w:numPr>
        <w:pBdr>
          <w:top w:val="nil"/>
          <w:left w:val="nil"/>
          <w:bottom w:val="nil"/>
          <w:right w:val="nil"/>
          <w:between w:val="nil"/>
        </w:pBdr>
        <w:spacing w:before="120" w:after="0" w:line="240" w:lineRule="auto"/>
        <w:jc w:val="both"/>
        <w:rPr>
          <w:rFonts w:ascii="Arial" w:hAnsi="Arial" w:cs="Arial"/>
          <w:color w:val="000000"/>
        </w:rPr>
      </w:pPr>
      <w:r w:rsidRPr="00B01850">
        <w:rPr>
          <w:rFonts w:ascii="Arial" w:hAnsi="Arial" w:cs="Arial"/>
          <w:b/>
          <w:color w:val="000000"/>
        </w:rPr>
        <w:t>Travailleurs contractuels :</w:t>
      </w:r>
      <w:r w:rsidRPr="00B01850">
        <w:rPr>
          <w:rFonts w:ascii="Arial" w:hAnsi="Arial" w:cs="Arial"/>
          <w:color w:val="000000"/>
        </w:rPr>
        <w:t xml:space="preserve"> les personnes employées ou recrutées par </w:t>
      </w:r>
      <w:r w:rsidR="00D41070" w:rsidRPr="00B01850">
        <w:rPr>
          <w:rFonts w:ascii="Arial" w:hAnsi="Arial" w:cs="Arial"/>
          <w:color w:val="000000"/>
        </w:rPr>
        <w:t xml:space="preserve">des tiers </w:t>
      </w:r>
      <w:r w:rsidR="00947C0D" w:rsidRPr="00B01850">
        <w:rPr>
          <w:rFonts w:ascii="Arial" w:hAnsi="Arial" w:cs="Arial"/>
          <w:color w:val="000000"/>
        </w:rPr>
        <w:t xml:space="preserve">pour effectuer des activités liées aux fonctions essentielles du projet, </w:t>
      </w:r>
      <w:r w:rsidR="00180166" w:rsidRPr="00B01850">
        <w:rPr>
          <w:rFonts w:ascii="Arial" w:hAnsi="Arial" w:cs="Arial"/>
          <w:color w:val="000000"/>
        </w:rPr>
        <w:t>indépendamment de la localisation de ces activités.</w:t>
      </w:r>
    </w:p>
    <w:p w14:paraId="6ECDC146" w14:textId="5DD8C294" w:rsidR="00367946" w:rsidRPr="00B01850" w:rsidRDefault="000A0D5D" w:rsidP="00214DCC">
      <w:pPr>
        <w:numPr>
          <w:ilvl w:val="0"/>
          <w:numId w:val="6"/>
        </w:numPr>
        <w:pBdr>
          <w:top w:val="nil"/>
          <w:left w:val="nil"/>
          <w:bottom w:val="nil"/>
          <w:right w:val="nil"/>
          <w:between w:val="nil"/>
        </w:pBdr>
        <w:spacing w:after="0" w:line="240" w:lineRule="auto"/>
        <w:jc w:val="both"/>
        <w:rPr>
          <w:rFonts w:ascii="Arial" w:hAnsi="Arial" w:cs="Arial"/>
          <w:color w:val="000000"/>
        </w:rPr>
      </w:pPr>
      <w:r w:rsidRPr="00B01850">
        <w:rPr>
          <w:rFonts w:ascii="Arial" w:hAnsi="Arial" w:cs="Arial"/>
          <w:b/>
          <w:color w:val="000000"/>
        </w:rPr>
        <w:t>Travailleurs des fournisseurs principaux ou sous-traitants</w:t>
      </w:r>
      <w:r w:rsidR="00367946" w:rsidRPr="00B01850">
        <w:rPr>
          <w:rFonts w:ascii="Arial" w:hAnsi="Arial" w:cs="Arial"/>
          <w:b/>
          <w:color w:val="000000"/>
        </w:rPr>
        <w:t>.</w:t>
      </w:r>
      <w:r w:rsidR="00367946" w:rsidRPr="00B01850">
        <w:rPr>
          <w:rFonts w:ascii="Arial" w:hAnsi="Arial" w:cs="Arial"/>
          <w:color w:val="000000"/>
        </w:rPr>
        <w:t xml:space="preserve"> Les personnes engagées par l'intermédiaire de</w:t>
      </w:r>
      <w:r w:rsidR="001E7833" w:rsidRPr="00B01850">
        <w:rPr>
          <w:rFonts w:ascii="Arial" w:hAnsi="Arial" w:cs="Arial"/>
          <w:color w:val="000000"/>
        </w:rPr>
        <w:t>s</w:t>
      </w:r>
      <w:r w:rsidR="00367946" w:rsidRPr="00B01850">
        <w:rPr>
          <w:rFonts w:ascii="Arial" w:hAnsi="Arial" w:cs="Arial"/>
          <w:color w:val="000000"/>
        </w:rPr>
        <w:t xml:space="preserve"> entreprises</w:t>
      </w:r>
      <w:r w:rsidR="001E7833" w:rsidRPr="00B01850">
        <w:rPr>
          <w:rFonts w:ascii="Arial" w:hAnsi="Arial" w:cs="Arial"/>
          <w:color w:val="000000"/>
        </w:rPr>
        <w:t xml:space="preserve"> partenaires </w:t>
      </w:r>
      <w:r w:rsidR="00367946" w:rsidRPr="00B01850">
        <w:rPr>
          <w:rFonts w:ascii="Arial" w:hAnsi="Arial" w:cs="Arial"/>
          <w:color w:val="000000"/>
        </w:rPr>
        <w:t xml:space="preserve">ou </w:t>
      </w:r>
      <w:r w:rsidR="001E7833" w:rsidRPr="00B01850">
        <w:rPr>
          <w:rFonts w:ascii="Arial" w:hAnsi="Arial" w:cs="Arial"/>
          <w:color w:val="000000"/>
        </w:rPr>
        <w:t xml:space="preserve">leurs sous-traitants </w:t>
      </w:r>
      <w:r w:rsidR="00367946" w:rsidRPr="00B01850">
        <w:rPr>
          <w:rFonts w:ascii="Arial" w:hAnsi="Arial" w:cs="Arial"/>
          <w:color w:val="000000"/>
        </w:rPr>
        <w:t xml:space="preserve">pour mettre en œuvre les activités du projet. Il peut s'agir de personnel des Nations Unies, d'ONG </w:t>
      </w:r>
      <w:r w:rsidR="001E7833" w:rsidRPr="00B01850">
        <w:rPr>
          <w:rFonts w:ascii="Arial" w:hAnsi="Arial" w:cs="Arial"/>
          <w:color w:val="000000"/>
        </w:rPr>
        <w:t xml:space="preserve">nationales ou internationale </w:t>
      </w:r>
      <w:r w:rsidR="00367946" w:rsidRPr="00B01850">
        <w:rPr>
          <w:rFonts w:ascii="Arial" w:hAnsi="Arial" w:cs="Arial"/>
          <w:color w:val="000000"/>
        </w:rPr>
        <w:t xml:space="preserve">et d'autres </w:t>
      </w:r>
      <w:r w:rsidR="00101EAF" w:rsidRPr="00B01850">
        <w:rPr>
          <w:rFonts w:ascii="Arial" w:hAnsi="Arial" w:cs="Arial"/>
          <w:color w:val="000000"/>
        </w:rPr>
        <w:t>fournisseurs de services spécifiques.</w:t>
      </w:r>
    </w:p>
    <w:p w14:paraId="6B70D9C1" w14:textId="7A9ED1EE" w:rsidR="00B91DE3" w:rsidRPr="00B01850" w:rsidRDefault="00B91DE3" w:rsidP="00214DCC">
      <w:pPr>
        <w:numPr>
          <w:ilvl w:val="0"/>
          <w:numId w:val="6"/>
        </w:numPr>
        <w:pBdr>
          <w:top w:val="nil"/>
          <w:left w:val="nil"/>
          <w:bottom w:val="nil"/>
          <w:right w:val="nil"/>
          <w:between w:val="nil"/>
        </w:pBdr>
        <w:spacing w:after="0" w:line="240" w:lineRule="auto"/>
        <w:jc w:val="both"/>
        <w:rPr>
          <w:rFonts w:ascii="Arial" w:hAnsi="Arial" w:cs="Arial"/>
        </w:rPr>
      </w:pPr>
      <w:r w:rsidRPr="00B01850">
        <w:rPr>
          <w:rFonts w:ascii="Arial" w:hAnsi="Arial" w:cs="Arial"/>
          <w:b/>
          <w:color w:val="000000"/>
        </w:rPr>
        <w:t>Travailleurs communautaires</w:t>
      </w:r>
      <w:r w:rsidRPr="00B01850">
        <w:rPr>
          <w:rFonts w:ascii="Arial" w:hAnsi="Arial" w:cs="Arial"/>
          <w:color w:val="000000"/>
        </w:rPr>
        <w:t>.</w:t>
      </w:r>
      <w:r w:rsidR="00B32EDF" w:rsidRPr="00B01850">
        <w:rPr>
          <w:rFonts w:ascii="Arial" w:hAnsi="Arial" w:cs="Arial"/>
        </w:rPr>
        <w:t xml:space="preserve"> </w:t>
      </w:r>
      <w:r w:rsidR="00FE57F0" w:rsidRPr="00B01850">
        <w:rPr>
          <w:rFonts w:ascii="Arial" w:hAnsi="Arial" w:cs="Arial"/>
        </w:rPr>
        <w:t>Les travailleurs communautaires désignent essentiellement la main-d’œuvre issue des communautés locales fournie sur une base volontaire ou sur la base d’un « contrat/protocole de collaboration » liés aux travaux contre rémunération.</w:t>
      </w:r>
      <w:r w:rsidR="004839BD" w:rsidRPr="00B01850">
        <w:rPr>
          <w:rFonts w:ascii="Arial" w:hAnsi="Arial" w:cs="Arial"/>
        </w:rPr>
        <w:t xml:space="preserve"> </w:t>
      </w:r>
      <w:r w:rsidR="00FE57F0" w:rsidRPr="00B01850">
        <w:rPr>
          <w:rFonts w:ascii="Arial" w:hAnsi="Arial" w:cs="Arial"/>
        </w:rPr>
        <w:t>Il peut concerner les groupements de femmes, de jeunes et les autres associations de développement.</w:t>
      </w:r>
      <w:r w:rsidR="008611A6" w:rsidRPr="00B01850">
        <w:rPr>
          <w:rFonts w:ascii="Arial" w:hAnsi="Arial" w:cs="Arial"/>
        </w:rPr>
        <w:t xml:space="preserve"> Le choix des travailleurs communautaires se fera suivant des critères définis par l’UGP du projet ainsi que du type d’urgence pour laquelle le CERP a été activé.</w:t>
      </w:r>
      <w:r w:rsidR="00282C87" w:rsidRPr="00B01850">
        <w:rPr>
          <w:rFonts w:eastAsiaTheme="minorHAnsi"/>
        </w:rPr>
        <w:t xml:space="preserve"> Ainsi, </w:t>
      </w:r>
      <w:r w:rsidR="00282C87" w:rsidRPr="00B01850">
        <w:rPr>
          <w:rFonts w:ascii="Arial" w:hAnsi="Arial" w:cs="Arial"/>
        </w:rPr>
        <w:t>l’âge minimum requis est fixé pour les employeurs conformément à la Loi N°L/2014/072/CNT du 10 janvier 2014 portant Code du travail. Les travailleurs communautaires recrutés percevront un salaire journalier définit conforme au code de travail en vigueur en Guinée.</w:t>
      </w:r>
      <w:r w:rsidR="00061A6E" w:rsidRPr="00B01850">
        <w:rPr>
          <w:rFonts w:ascii="Arial" w:hAnsi="Arial" w:cs="Arial"/>
          <w:bCs/>
        </w:rPr>
        <w:t xml:space="preserve"> Toutefois, l’Article 3</w:t>
      </w:r>
      <w:r w:rsidR="00061A6E" w:rsidRPr="00B01850">
        <w:rPr>
          <w:rFonts w:ascii="Arial" w:hAnsi="Arial" w:cs="Arial"/>
          <w:b/>
          <w:bCs/>
        </w:rPr>
        <w:t xml:space="preserve"> </w:t>
      </w:r>
      <w:r w:rsidR="00061A6E" w:rsidRPr="00B01850">
        <w:rPr>
          <w:rFonts w:ascii="Arial" w:hAnsi="Arial" w:cs="Arial"/>
          <w:bCs/>
        </w:rPr>
        <w:t>du Code de Travail Guinéen interdit l</w:t>
      </w:r>
      <w:r w:rsidR="00061A6E" w:rsidRPr="00B01850">
        <w:rPr>
          <w:rFonts w:ascii="Arial" w:hAnsi="Arial" w:cs="Arial"/>
        </w:rPr>
        <w:t>e travail forcé ou obligatoire.</w:t>
      </w:r>
    </w:p>
    <w:p w14:paraId="556D48C9" w14:textId="77777777" w:rsidR="00367946" w:rsidRPr="00B01850" w:rsidRDefault="00367946" w:rsidP="00367946">
      <w:pPr>
        <w:spacing w:after="0" w:line="240" w:lineRule="auto"/>
        <w:jc w:val="both"/>
        <w:rPr>
          <w:rFonts w:ascii="Arial" w:hAnsi="Arial" w:cs="Arial"/>
        </w:rPr>
      </w:pPr>
    </w:p>
    <w:p w14:paraId="5C8E3A68" w14:textId="2F68A06C" w:rsidR="00367946" w:rsidRPr="00B01850" w:rsidRDefault="007A4A61" w:rsidP="00367946">
      <w:pPr>
        <w:spacing w:after="0" w:line="240" w:lineRule="auto"/>
        <w:jc w:val="both"/>
        <w:rPr>
          <w:rFonts w:ascii="Arial" w:hAnsi="Arial" w:cs="Arial"/>
        </w:rPr>
      </w:pPr>
      <w:r w:rsidRPr="00B01850">
        <w:rPr>
          <w:rFonts w:ascii="Arial" w:hAnsi="Arial" w:cs="Arial"/>
        </w:rPr>
        <w:t>C</w:t>
      </w:r>
      <w:r w:rsidR="00367946" w:rsidRPr="00B01850">
        <w:rPr>
          <w:rFonts w:ascii="Arial" w:hAnsi="Arial" w:cs="Arial"/>
        </w:rPr>
        <w:t xml:space="preserve">es procédures de gestion de la main-d'œuvre s'appliqueront </w:t>
      </w:r>
      <w:r w:rsidRPr="00B01850">
        <w:rPr>
          <w:rFonts w:ascii="Arial" w:hAnsi="Arial" w:cs="Arial"/>
        </w:rPr>
        <w:t xml:space="preserve">aussi bien à toutes les catégories de </w:t>
      </w:r>
      <w:r w:rsidR="00367946" w:rsidRPr="00B01850">
        <w:rPr>
          <w:rFonts w:ascii="Arial" w:hAnsi="Arial" w:cs="Arial"/>
        </w:rPr>
        <w:t xml:space="preserve">travailleurs du Projet, qu'ils soient à temps plein, à temps partiel, temporaires ou saisonniers. </w:t>
      </w:r>
    </w:p>
    <w:p w14:paraId="67C839F9" w14:textId="77777777" w:rsidR="007C74E9" w:rsidRPr="00B01850" w:rsidRDefault="007C74E9" w:rsidP="00367946">
      <w:pPr>
        <w:spacing w:after="0" w:line="240" w:lineRule="auto"/>
        <w:jc w:val="both"/>
        <w:rPr>
          <w:rFonts w:ascii="Arial" w:hAnsi="Arial" w:cs="Arial"/>
        </w:rPr>
      </w:pPr>
    </w:p>
    <w:p w14:paraId="25A33DB2" w14:textId="73117652" w:rsidR="00061A6E" w:rsidRPr="00B01850" w:rsidRDefault="007C74E9" w:rsidP="00061A6E">
      <w:pPr>
        <w:spacing w:after="0" w:line="240" w:lineRule="auto"/>
        <w:jc w:val="both"/>
        <w:rPr>
          <w:rFonts w:ascii="Arial" w:hAnsi="Arial" w:cs="Arial"/>
        </w:rPr>
      </w:pPr>
      <w:r w:rsidRPr="00B01850">
        <w:rPr>
          <w:rFonts w:ascii="Arial" w:hAnsi="Arial" w:cs="Arial"/>
        </w:rPr>
        <w:t xml:space="preserve">Pour les activités de niveau 1, il n'y aura pas recours à la main-d'œuvre communautaire.  Ces procédures de gestion de la main-d'œuvre </w:t>
      </w:r>
      <w:r w:rsidR="00B32EDF" w:rsidRPr="00B01850">
        <w:rPr>
          <w:rFonts w:ascii="Arial" w:hAnsi="Arial" w:cs="Arial"/>
        </w:rPr>
        <w:t xml:space="preserve">restent dynamiques et </w:t>
      </w:r>
      <w:r w:rsidRPr="00B01850">
        <w:rPr>
          <w:rFonts w:ascii="Arial" w:hAnsi="Arial" w:cs="Arial"/>
        </w:rPr>
        <w:t xml:space="preserve">seront mises à jour </w:t>
      </w:r>
      <w:r w:rsidR="00B32EDF" w:rsidRPr="00B01850">
        <w:rPr>
          <w:rFonts w:ascii="Arial" w:hAnsi="Arial" w:cs="Arial"/>
        </w:rPr>
        <w:t>chaque fois quand ce sera nécessaire</w:t>
      </w:r>
      <w:r w:rsidR="002B3162" w:rsidRPr="00B01850">
        <w:rPr>
          <w:rFonts w:ascii="Arial" w:hAnsi="Arial" w:cs="Arial"/>
        </w:rPr>
        <w:t>,</w:t>
      </w:r>
      <w:r w:rsidR="00B32EDF" w:rsidRPr="00B01850">
        <w:rPr>
          <w:rFonts w:ascii="Arial" w:hAnsi="Arial" w:cs="Arial"/>
        </w:rPr>
        <w:t xml:space="preserve"> pour prendre en </w:t>
      </w:r>
      <w:r w:rsidRPr="00B01850">
        <w:rPr>
          <w:rFonts w:ascii="Arial" w:hAnsi="Arial" w:cs="Arial"/>
        </w:rPr>
        <w:t xml:space="preserve">compte </w:t>
      </w:r>
      <w:r w:rsidR="00B32EDF" w:rsidRPr="00B01850">
        <w:rPr>
          <w:rFonts w:ascii="Arial" w:hAnsi="Arial" w:cs="Arial"/>
        </w:rPr>
        <w:t>les nouvelles spécificités relatives à la gestion de la main</w:t>
      </w:r>
      <w:r w:rsidRPr="00B01850">
        <w:rPr>
          <w:rFonts w:ascii="Arial" w:hAnsi="Arial" w:cs="Arial"/>
        </w:rPr>
        <w:t>-d'œuvre</w:t>
      </w:r>
      <w:r w:rsidR="00B32EDF" w:rsidRPr="00B01850">
        <w:rPr>
          <w:rFonts w:ascii="Arial" w:hAnsi="Arial" w:cs="Arial"/>
        </w:rPr>
        <w:t>.</w:t>
      </w:r>
      <w:r w:rsidR="00061A6E" w:rsidRPr="00B01850">
        <w:rPr>
          <w:rFonts w:ascii="Arial" w:hAnsi="Arial" w:cs="Arial"/>
        </w:rPr>
        <w:t xml:space="preserve"> </w:t>
      </w:r>
    </w:p>
    <w:p w14:paraId="239DD254" w14:textId="77777777" w:rsidR="00367946" w:rsidRPr="00B01850" w:rsidRDefault="00367946" w:rsidP="00367946">
      <w:pPr>
        <w:spacing w:after="0" w:line="240" w:lineRule="auto"/>
        <w:jc w:val="both"/>
        <w:rPr>
          <w:rFonts w:ascii="Arial" w:hAnsi="Arial" w:cs="Arial"/>
        </w:rPr>
      </w:pPr>
    </w:p>
    <w:p w14:paraId="789A950A" w14:textId="65D5B772" w:rsidR="00367946" w:rsidRPr="00B01850" w:rsidRDefault="00367946" w:rsidP="00367946">
      <w:pPr>
        <w:spacing w:after="0" w:line="240" w:lineRule="auto"/>
        <w:jc w:val="both"/>
        <w:rPr>
          <w:rFonts w:ascii="Arial" w:hAnsi="Arial" w:cs="Arial"/>
          <w:b/>
          <w:bCs/>
        </w:rPr>
      </w:pPr>
      <w:r w:rsidRPr="00B01850">
        <w:rPr>
          <w:rFonts w:ascii="Arial" w:hAnsi="Arial" w:cs="Arial"/>
          <w:b/>
          <w:bCs/>
        </w:rPr>
        <w:lastRenderedPageBreak/>
        <w:t>Prévisions relatives à l'emploi</w:t>
      </w:r>
    </w:p>
    <w:p w14:paraId="5D548722" w14:textId="77777777" w:rsidR="00367946" w:rsidRPr="00B01850" w:rsidRDefault="00367946" w:rsidP="00367946">
      <w:pPr>
        <w:spacing w:after="0" w:line="240" w:lineRule="auto"/>
        <w:jc w:val="both"/>
        <w:rPr>
          <w:rFonts w:ascii="Arial" w:hAnsi="Arial" w:cs="Arial"/>
          <w:b/>
        </w:rPr>
      </w:pPr>
    </w:p>
    <w:p w14:paraId="739E1A3A" w14:textId="27CC51B0" w:rsidR="00367946" w:rsidRPr="00B01850" w:rsidRDefault="00367946" w:rsidP="00367946">
      <w:pPr>
        <w:spacing w:after="0" w:line="240" w:lineRule="auto"/>
        <w:jc w:val="both"/>
        <w:rPr>
          <w:rFonts w:ascii="Arial" w:hAnsi="Arial" w:cs="Arial"/>
          <w:color w:val="000000" w:themeColor="text1"/>
        </w:rPr>
      </w:pPr>
      <w:r w:rsidRPr="00B01850">
        <w:rPr>
          <w:rFonts w:ascii="Arial" w:hAnsi="Arial" w:cs="Arial"/>
          <w:color w:val="000000" w:themeColor="text1"/>
        </w:rPr>
        <w:t xml:space="preserve">Les besoins de main-d'œuvre suivants sont attendus par type d'activité. Le nombre de travailleurs ne peut pas être estimé à ce stade, car les activités et leur portée ne sont pas connues. Les travailleurs directs peuvent provenir de différents ministères, car les activités peuvent nécessiter la participation de différents ministères. </w:t>
      </w:r>
    </w:p>
    <w:p w14:paraId="75C0ECD7" w14:textId="77777777" w:rsidR="00C83618" w:rsidRPr="00B01850" w:rsidRDefault="00C83618" w:rsidP="00DA596F">
      <w:pPr>
        <w:pStyle w:val="Caption"/>
        <w:spacing w:after="0"/>
        <w:rPr>
          <w:rFonts w:ascii="Arial" w:hAnsi="Arial" w:cs="Arial"/>
          <w:sz w:val="22"/>
          <w:szCs w:val="22"/>
        </w:rPr>
      </w:pPr>
      <w:bookmarkStart w:id="148" w:name="_Toc178919540"/>
      <w:bookmarkStart w:id="149" w:name="_Toc178919702"/>
    </w:p>
    <w:p w14:paraId="1016E51A" w14:textId="38C9D2BA" w:rsidR="00357737" w:rsidRPr="00B01850" w:rsidRDefault="00357737" w:rsidP="00583BBF">
      <w:pPr>
        <w:pStyle w:val="Caption"/>
        <w:spacing w:after="0"/>
        <w:rPr>
          <w:rFonts w:ascii="Arial" w:hAnsi="Arial" w:cs="Arial"/>
          <w:i w:val="0"/>
          <w:iCs w:val="0"/>
          <w:color w:val="auto"/>
          <w:sz w:val="22"/>
          <w:szCs w:val="22"/>
        </w:rPr>
      </w:pPr>
      <w:r w:rsidRPr="00B01850">
        <w:rPr>
          <w:rFonts w:ascii="Arial" w:hAnsi="Arial" w:cs="Arial"/>
          <w:i w:val="0"/>
          <w:iCs w:val="0"/>
          <w:color w:val="auto"/>
          <w:sz w:val="22"/>
          <w:szCs w:val="22"/>
        </w:rPr>
        <w:t xml:space="preserve">Table </w:t>
      </w:r>
      <w:r w:rsidR="00583BBF" w:rsidRPr="00B01850">
        <w:rPr>
          <w:rFonts w:ascii="Arial" w:hAnsi="Arial" w:cs="Arial"/>
          <w:i w:val="0"/>
          <w:iCs w:val="0"/>
          <w:color w:val="auto"/>
          <w:sz w:val="22"/>
          <w:szCs w:val="22"/>
        </w:rPr>
        <w:t>N°…</w:t>
      </w:r>
      <w:r w:rsidRPr="00B01850">
        <w:rPr>
          <w:rFonts w:ascii="Arial" w:hAnsi="Arial" w:cs="Arial"/>
          <w:i w:val="0"/>
          <w:iCs w:val="0"/>
          <w:color w:val="auto"/>
          <w:sz w:val="22"/>
          <w:szCs w:val="22"/>
        </w:rPr>
        <w:t>Prévisions relatives à l'emploi</w:t>
      </w:r>
      <w:bookmarkEnd w:id="148"/>
      <w:bookmarkEnd w:id="149"/>
    </w:p>
    <w:tbl>
      <w:tblPr>
        <w:tblStyle w:val="TableGrid"/>
        <w:tblW w:w="9540" w:type="dxa"/>
        <w:tblLook w:val="04A0" w:firstRow="1" w:lastRow="0" w:firstColumn="1" w:lastColumn="0" w:noHBand="0" w:noVBand="1"/>
      </w:tblPr>
      <w:tblGrid>
        <w:gridCol w:w="4135"/>
        <w:gridCol w:w="5405"/>
      </w:tblGrid>
      <w:tr w:rsidR="00EC53EE" w:rsidRPr="00B01850" w14:paraId="6C482380" w14:textId="77777777" w:rsidTr="006F4943">
        <w:trPr>
          <w:trHeight w:val="432"/>
        </w:trPr>
        <w:tc>
          <w:tcPr>
            <w:tcW w:w="4135" w:type="dxa"/>
            <w:shd w:val="clear" w:color="auto" w:fill="FDE9D9" w:themeFill="accent6" w:themeFillTint="33"/>
            <w:vAlign w:val="center"/>
          </w:tcPr>
          <w:p w14:paraId="3A25282A" w14:textId="717742CD" w:rsidR="00EC53EE" w:rsidRPr="00B01850" w:rsidRDefault="00EC53EE" w:rsidP="00932BDD">
            <w:pPr>
              <w:jc w:val="center"/>
              <w:rPr>
                <w:rFonts w:ascii="Arial" w:hAnsi="Arial" w:cs="Arial"/>
                <w:i/>
                <w:iCs/>
                <w:sz w:val="22"/>
                <w:szCs w:val="22"/>
              </w:rPr>
            </w:pPr>
            <w:r w:rsidRPr="00B01850">
              <w:rPr>
                <w:rFonts w:ascii="Arial" w:hAnsi="Arial" w:cs="Arial"/>
                <w:i/>
                <w:iCs/>
                <w:sz w:val="22"/>
                <w:szCs w:val="22"/>
              </w:rPr>
              <w:t>Activités du projet</w:t>
            </w:r>
          </w:p>
        </w:tc>
        <w:tc>
          <w:tcPr>
            <w:tcW w:w="5405" w:type="dxa"/>
            <w:shd w:val="clear" w:color="auto" w:fill="FDE9D9" w:themeFill="accent6" w:themeFillTint="33"/>
            <w:vAlign w:val="center"/>
          </w:tcPr>
          <w:p w14:paraId="3E82B856" w14:textId="77777777" w:rsidR="00EC53EE" w:rsidRPr="00B01850" w:rsidRDefault="00EC53EE" w:rsidP="00932BDD">
            <w:pPr>
              <w:jc w:val="center"/>
              <w:rPr>
                <w:rFonts w:ascii="Arial" w:hAnsi="Arial" w:cs="Arial"/>
                <w:i/>
                <w:iCs/>
                <w:sz w:val="22"/>
                <w:szCs w:val="22"/>
              </w:rPr>
            </w:pPr>
            <w:r w:rsidRPr="00B01850">
              <w:rPr>
                <w:rFonts w:ascii="Arial" w:hAnsi="Arial" w:cs="Arial"/>
                <w:i/>
                <w:iCs/>
                <w:sz w:val="22"/>
                <w:szCs w:val="22"/>
              </w:rPr>
              <w:t>Types de travailleurs</w:t>
            </w:r>
          </w:p>
        </w:tc>
      </w:tr>
      <w:tr w:rsidR="00EC53EE" w:rsidRPr="00B01850" w14:paraId="3909429A" w14:textId="77777777" w:rsidTr="006F4943">
        <w:tc>
          <w:tcPr>
            <w:tcW w:w="4135" w:type="dxa"/>
            <w:vAlign w:val="center"/>
          </w:tcPr>
          <w:p w14:paraId="2686E076" w14:textId="7F6524C9" w:rsidR="00EC53EE" w:rsidRPr="00B01850" w:rsidRDefault="00EC53EE">
            <w:pPr>
              <w:jc w:val="both"/>
              <w:rPr>
                <w:rFonts w:ascii="Arial" w:hAnsi="Arial" w:cs="Arial"/>
                <w:sz w:val="22"/>
                <w:szCs w:val="22"/>
              </w:rPr>
            </w:pPr>
            <w:r w:rsidRPr="00B01850">
              <w:rPr>
                <w:rFonts w:ascii="Arial" w:hAnsi="Arial" w:cs="Arial"/>
                <w:color w:val="000000" w:themeColor="text1"/>
                <w:sz w:val="22"/>
                <w:szCs w:val="22"/>
              </w:rPr>
              <w:t xml:space="preserve">Transferts monétaires aux ménages </w:t>
            </w:r>
          </w:p>
        </w:tc>
        <w:tc>
          <w:tcPr>
            <w:tcW w:w="5405" w:type="dxa"/>
            <w:vAlign w:val="center"/>
          </w:tcPr>
          <w:p w14:paraId="4508D3D0" w14:textId="7AD965E9" w:rsidR="00EC53EE" w:rsidRPr="00B01850" w:rsidRDefault="00EC53EE">
            <w:pPr>
              <w:jc w:val="both"/>
              <w:rPr>
                <w:rFonts w:ascii="Arial" w:hAnsi="Arial" w:cs="Arial"/>
                <w:sz w:val="22"/>
                <w:szCs w:val="22"/>
              </w:rPr>
            </w:pPr>
            <w:r w:rsidRPr="00B01850">
              <w:rPr>
                <w:rFonts w:ascii="Arial" w:hAnsi="Arial" w:cs="Arial"/>
                <w:sz w:val="22"/>
                <w:szCs w:val="22"/>
              </w:rPr>
              <w:t>Travailleurs directs</w:t>
            </w:r>
            <w:r w:rsidR="00367449" w:rsidRPr="00B01850">
              <w:rPr>
                <w:rFonts w:ascii="Arial" w:hAnsi="Arial" w:cs="Arial"/>
                <w:sz w:val="22"/>
                <w:szCs w:val="22"/>
              </w:rPr>
              <w:t xml:space="preserve"> (prend en compte les </w:t>
            </w:r>
            <w:r w:rsidR="004B7653" w:rsidRPr="00B01850">
              <w:rPr>
                <w:rFonts w:ascii="Arial" w:hAnsi="Arial" w:cs="Arial"/>
                <w:sz w:val="22"/>
                <w:szCs w:val="22"/>
              </w:rPr>
              <w:t>fonctionnaires</w:t>
            </w:r>
            <w:r w:rsidR="00367449" w:rsidRPr="00B01850">
              <w:rPr>
                <w:rFonts w:ascii="Arial" w:hAnsi="Arial" w:cs="Arial"/>
                <w:sz w:val="22"/>
                <w:szCs w:val="22"/>
              </w:rPr>
              <w:t>)</w:t>
            </w:r>
            <w:r w:rsidR="004B7653" w:rsidRPr="00B01850">
              <w:rPr>
                <w:rFonts w:ascii="Arial" w:hAnsi="Arial" w:cs="Arial"/>
                <w:sz w:val="22"/>
                <w:szCs w:val="22"/>
              </w:rPr>
              <w:t xml:space="preserve">, </w:t>
            </w:r>
            <w:r w:rsidR="00907C72" w:rsidRPr="00B01850">
              <w:rPr>
                <w:rFonts w:ascii="Arial" w:hAnsi="Arial" w:cs="Arial"/>
                <w:sz w:val="22"/>
                <w:szCs w:val="22"/>
              </w:rPr>
              <w:t xml:space="preserve">travailleurs contractuels </w:t>
            </w:r>
            <w:r w:rsidRPr="00B01850">
              <w:rPr>
                <w:rFonts w:ascii="Arial" w:hAnsi="Arial" w:cs="Arial"/>
                <w:sz w:val="22"/>
                <w:szCs w:val="22"/>
              </w:rPr>
              <w:t xml:space="preserve">et </w:t>
            </w:r>
            <w:r w:rsidR="00907C72" w:rsidRPr="00B01850">
              <w:rPr>
                <w:rFonts w:ascii="Arial" w:hAnsi="Arial" w:cs="Arial"/>
                <w:sz w:val="22"/>
                <w:szCs w:val="22"/>
              </w:rPr>
              <w:t>t</w:t>
            </w:r>
            <w:r w:rsidR="00B443F1" w:rsidRPr="00B01850">
              <w:rPr>
                <w:rFonts w:ascii="Arial" w:hAnsi="Arial" w:cs="Arial"/>
                <w:sz w:val="22"/>
                <w:szCs w:val="22"/>
              </w:rPr>
              <w:t>ravailleurs des fournisseurs principaux ou sous-traitants</w:t>
            </w:r>
          </w:p>
        </w:tc>
      </w:tr>
      <w:tr w:rsidR="00EC53EE" w:rsidRPr="00B01850" w14:paraId="2DDF0723" w14:textId="77777777" w:rsidTr="006F4943">
        <w:tc>
          <w:tcPr>
            <w:tcW w:w="4135" w:type="dxa"/>
            <w:vAlign w:val="center"/>
          </w:tcPr>
          <w:p w14:paraId="334CF1E7" w14:textId="565B9024" w:rsidR="00EC53EE" w:rsidRPr="00B01850" w:rsidRDefault="00EC53EE">
            <w:pPr>
              <w:jc w:val="both"/>
              <w:rPr>
                <w:rFonts w:ascii="Arial" w:hAnsi="Arial" w:cs="Arial"/>
                <w:sz w:val="22"/>
                <w:szCs w:val="22"/>
              </w:rPr>
            </w:pPr>
            <w:r w:rsidRPr="00B01850">
              <w:rPr>
                <w:rFonts w:ascii="Arial" w:hAnsi="Arial" w:cs="Arial"/>
                <w:color w:val="000000" w:themeColor="text1"/>
                <w:sz w:val="22"/>
                <w:szCs w:val="22"/>
              </w:rPr>
              <w:t>Acquisition de denrées alimentaires de base, de médicaments, de fournitures médicales, de médicaments vétérinaires, d'intrants agricoles, d'autres fournitures essentielles, d'équipements légers, de fourneaux verts, de matériaux d'abris, etc.</w:t>
            </w:r>
          </w:p>
        </w:tc>
        <w:tc>
          <w:tcPr>
            <w:tcW w:w="5405" w:type="dxa"/>
            <w:vAlign w:val="center"/>
          </w:tcPr>
          <w:p w14:paraId="29E8EA3C" w14:textId="3C79A0C0" w:rsidR="0093670C" w:rsidRPr="00B01850" w:rsidRDefault="00EC53EE" w:rsidP="0093670C">
            <w:pPr>
              <w:jc w:val="both"/>
              <w:rPr>
                <w:rFonts w:ascii="Arial" w:hAnsi="Arial" w:cs="Arial"/>
                <w:sz w:val="22"/>
                <w:szCs w:val="22"/>
              </w:rPr>
            </w:pPr>
            <w:r w:rsidRPr="00B01850">
              <w:rPr>
                <w:rFonts w:ascii="Arial" w:hAnsi="Arial" w:cs="Arial"/>
                <w:sz w:val="22"/>
                <w:szCs w:val="22"/>
              </w:rPr>
              <w:t>Travailleurs directs</w:t>
            </w:r>
            <w:r w:rsidR="004E21AD" w:rsidRPr="00B01850">
              <w:rPr>
                <w:rFonts w:ascii="Arial" w:hAnsi="Arial" w:cs="Arial"/>
                <w:sz w:val="22"/>
                <w:szCs w:val="22"/>
              </w:rPr>
              <w:t xml:space="preserve"> </w:t>
            </w:r>
            <w:r w:rsidR="00367449" w:rsidRPr="00B01850">
              <w:rPr>
                <w:rFonts w:ascii="Arial" w:hAnsi="Arial" w:cs="Arial"/>
                <w:sz w:val="22"/>
                <w:szCs w:val="22"/>
              </w:rPr>
              <w:t>(prend en compte les fonctionnaires)</w:t>
            </w:r>
            <w:r w:rsidR="00DD7C97" w:rsidRPr="00B01850">
              <w:rPr>
                <w:rFonts w:ascii="Arial" w:hAnsi="Arial" w:cs="Arial"/>
                <w:sz w:val="22"/>
                <w:szCs w:val="22"/>
              </w:rPr>
              <w:t xml:space="preserve">, </w:t>
            </w:r>
            <w:r w:rsidR="00907C72" w:rsidRPr="00B01850">
              <w:rPr>
                <w:rFonts w:ascii="Arial" w:hAnsi="Arial" w:cs="Arial"/>
                <w:sz w:val="22"/>
                <w:szCs w:val="22"/>
              </w:rPr>
              <w:t>t</w:t>
            </w:r>
            <w:r w:rsidR="005E4723" w:rsidRPr="00B01850">
              <w:rPr>
                <w:rFonts w:ascii="Arial" w:hAnsi="Arial" w:cs="Arial"/>
                <w:sz w:val="22"/>
                <w:szCs w:val="22"/>
              </w:rPr>
              <w:t>ravailleurs des fournisseurs principaux ou sous-traitants</w:t>
            </w:r>
            <w:r w:rsidR="00DD7C97" w:rsidRPr="00B01850">
              <w:rPr>
                <w:rFonts w:ascii="Arial" w:hAnsi="Arial" w:cs="Arial"/>
                <w:sz w:val="22"/>
                <w:szCs w:val="22"/>
              </w:rPr>
              <w:t xml:space="preserve"> et travailleurs communautaires.</w:t>
            </w:r>
          </w:p>
          <w:p w14:paraId="758A6883" w14:textId="7426AD59" w:rsidR="00EC53EE" w:rsidRPr="00B01850" w:rsidRDefault="00EC53EE">
            <w:pPr>
              <w:jc w:val="both"/>
              <w:rPr>
                <w:rFonts w:ascii="Arial" w:hAnsi="Arial" w:cs="Arial"/>
                <w:sz w:val="22"/>
                <w:szCs w:val="22"/>
              </w:rPr>
            </w:pPr>
          </w:p>
        </w:tc>
      </w:tr>
      <w:tr w:rsidR="00EC53EE" w:rsidRPr="00B01850" w14:paraId="3C1B5EFE" w14:textId="77777777" w:rsidTr="006F4943">
        <w:tc>
          <w:tcPr>
            <w:tcW w:w="4135" w:type="dxa"/>
            <w:vAlign w:val="center"/>
          </w:tcPr>
          <w:p w14:paraId="60218B20" w14:textId="43E68DAA" w:rsidR="00EC53EE" w:rsidRPr="00B01850" w:rsidRDefault="0093670C">
            <w:pPr>
              <w:jc w:val="both"/>
              <w:rPr>
                <w:rFonts w:ascii="Arial" w:hAnsi="Arial" w:cs="Arial"/>
                <w:sz w:val="22"/>
                <w:szCs w:val="22"/>
              </w:rPr>
            </w:pPr>
            <w:r w:rsidRPr="00B01850">
              <w:rPr>
                <w:rFonts w:ascii="Arial" w:hAnsi="Arial" w:cs="Arial"/>
                <w:sz w:val="22"/>
                <w:szCs w:val="22"/>
              </w:rPr>
              <w:t>Financement des interventions d'urgence, des équipes de réparation, des opérations liées aux abris, des frais de transport</w:t>
            </w:r>
          </w:p>
        </w:tc>
        <w:tc>
          <w:tcPr>
            <w:tcW w:w="5405" w:type="dxa"/>
            <w:vAlign w:val="center"/>
          </w:tcPr>
          <w:p w14:paraId="07F571A4" w14:textId="6E513DD1" w:rsidR="00EC53EE" w:rsidRPr="00B01850" w:rsidRDefault="00EC53EE" w:rsidP="0093670C">
            <w:pPr>
              <w:jc w:val="both"/>
              <w:rPr>
                <w:rFonts w:ascii="Arial" w:hAnsi="Arial" w:cs="Arial"/>
                <w:sz w:val="22"/>
                <w:szCs w:val="22"/>
              </w:rPr>
            </w:pPr>
            <w:r w:rsidRPr="00B01850">
              <w:rPr>
                <w:rFonts w:ascii="Arial" w:hAnsi="Arial" w:cs="Arial"/>
                <w:sz w:val="22"/>
                <w:szCs w:val="22"/>
              </w:rPr>
              <w:t>Travailleurs directs</w:t>
            </w:r>
            <w:r w:rsidR="00367449" w:rsidRPr="00B01850">
              <w:rPr>
                <w:rFonts w:ascii="Arial" w:hAnsi="Arial" w:cs="Arial"/>
                <w:sz w:val="22"/>
                <w:szCs w:val="22"/>
              </w:rPr>
              <w:t xml:space="preserve"> (prend en compte les fonctionnaires)</w:t>
            </w:r>
            <w:r w:rsidR="00EA459B" w:rsidRPr="00B01850">
              <w:rPr>
                <w:rFonts w:ascii="Arial" w:hAnsi="Arial" w:cs="Arial"/>
                <w:sz w:val="22"/>
                <w:szCs w:val="22"/>
              </w:rPr>
              <w:t xml:space="preserve">, </w:t>
            </w:r>
            <w:r w:rsidRPr="00B01850">
              <w:rPr>
                <w:rFonts w:ascii="Arial" w:hAnsi="Arial" w:cs="Arial"/>
                <w:sz w:val="22"/>
                <w:szCs w:val="22"/>
              </w:rPr>
              <w:t>travailleurs contractuels</w:t>
            </w:r>
            <w:r w:rsidR="00EA459B" w:rsidRPr="00B01850">
              <w:rPr>
                <w:rFonts w:ascii="Arial" w:hAnsi="Arial" w:cs="Arial"/>
                <w:sz w:val="22"/>
                <w:szCs w:val="22"/>
              </w:rPr>
              <w:t xml:space="preserve"> et travailleurs communautaires.</w:t>
            </w:r>
          </w:p>
        </w:tc>
      </w:tr>
      <w:tr w:rsidR="0093670C" w:rsidRPr="00B01850" w14:paraId="31A1D167" w14:textId="77777777" w:rsidTr="006F4943">
        <w:tc>
          <w:tcPr>
            <w:tcW w:w="4135" w:type="dxa"/>
            <w:vAlign w:val="center"/>
          </w:tcPr>
          <w:p w14:paraId="01180C98" w14:textId="3A0B4A5E" w:rsidR="0093670C" w:rsidRPr="00B01850" w:rsidRDefault="0093670C">
            <w:pPr>
              <w:jc w:val="both"/>
              <w:rPr>
                <w:rFonts w:ascii="Arial" w:hAnsi="Arial" w:cs="Arial"/>
                <w:sz w:val="22"/>
                <w:szCs w:val="22"/>
              </w:rPr>
            </w:pPr>
            <w:r w:rsidRPr="00B01850">
              <w:rPr>
                <w:rFonts w:ascii="Arial" w:hAnsi="Arial" w:cs="Arial"/>
                <w:color w:val="000000" w:themeColor="text1"/>
                <w:sz w:val="22"/>
                <w:szCs w:val="22"/>
              </w:rPr>
              <w:t>Gestion du projet</w:t>
            </w:r>
          </w:p>
        </w:tc>
        <w:tc>
          <w:tcPr>
            <w:tcW w:w="5405" w:type="dxa"/>
            <w:vAlign w:val="center"/>
          </w:tcPr>
          <w:p w14:paraId="4D542BC8" w14:textId="223B0567" w:rsidR="0093670C" w:rsidRPr="00B01850" w:rsidRDefault="0093670C">
            <w:pPr>
              <w:jc w:val="both"/>
              <w:rPr>
                <w:rFonts w:ascii="Arial" w:hAnsi="Arial" w:cs="Arial"/>
                <w:sz w:val="22"/>
                <w:szCs w:val="22"/>
              </w:rPr>
            </w:pPr>
            <w:r w:rsidRPr="00B01850">
              <w:rPr>
                <w:rFonts w:ascii="Arial" w:hAnsi="Arial" w:cs="Arial"/>
                <w:sz w:val="22"/>
                <w:szCs w:val="22"/>
              </w:rPr>
              <w:t>Travailleurs directs</w:t>
            </w:r>
            <w:r w:rsidR="00827985" w:rsidRPr="00B01850">
              <w:rPr>
                <w:rFonts w:ascii="Arial" w:hAnsi="Arial" w:cs="Arial"/>
                <w:sz w:val="22"/>
                <w:szCs w:val="22"/>
              </w:rPr>
              <w:t xml:space="preserve"> </w:t>
            </w:r>
            <w:r w:rsidR="00367449" w:rsidRPr="00B01850">
              <w:rPr>
                <w:rFonts w:ascii="Arial" w:hAnsi="Arial" w:cs="Arial"/>
                <w:sz w:val="22"/>
                <w:szCs w:val="22"/>
              </w:rPr>
              <w:t>(prend en compte les fonctionnaires).</w:t>
            </w:r>
          </w:p>
        </w:tc>
      </w:tr>
    </w:tbl>
    <w:p w14:paraId="0498FEA5" w14:textId="77777777" w:rsidR="00367946" w:rsidRPr="00B01850" w:rsidRDefault="00367946" w:rsidP="00367946">
      <w:pPr>
        <w:spacing w:after="0" w:line="240" w:lineRule="auto"/>
        <w:jc w:val="both"/>
        <w:rPr>
          <w:rFonts w:ascii="Arial" w:hAnsi="Arial" w:cs="Arial"/>
        </w:rPr>
      </w:pPr>
    </w:p>
    <w:p w14:paraId="7C6DB7FC" w14:textId="233A66EB" w:rsidR="00367946" w:rsidRPr="00B01850" w:rsidRDefault="00367946" w:rsidP="00367946">
      <w:pPr>
        <w:spacing w:after="0" w:line="240" w:lineRule="auto"/>
        <w:jc w:val="both"/>
        <w:rPr>
          <w:rFonts w:ascii="Arial" w:hAnsi="Arial" w:cs="Arial"/>
          <w:color w:val="000000"/>
        </w:rPr>
      </w:pPr>
      <w:r w:rsidRPr="00B01850">
        <w:rPr>
          <w:rFonts w:ascii="Arial" w:hAnsi="Arial" w:cs="Arial"/>
          <w:color w:val="000000"/>
        </w:rPr>
        <w:t xml:space="preserve">Les besoins en main-d'œuvre du projet montrent que les procédures de gestion de la main-d'œuvre devront répondre aux besoins de </w:t>
      </w:r>
      <w:r w:rsidR="003E3CCD" w:rsidRPr="00B01850">
        <w:rPr>
          <w:rFonts w:ascii="Arial" w:hAnsi="Arial" w:cs="Arial"/>
          <w:color w:val="000000"/>
        </w:rPr>
        <w:t xml:space="preserve">quatre (4) </w:t>
      </w:r>
      <w:r w:rsidRPr="00B01850">
        <w:rPr>
          <w:rFonts w:ascii="Arial" w:hAnsi="Arial" w:cs="Arial"/>
          <w:color w:val="000000"/>
        </w:rPr>
        <w:t>catégories de travailleurs du projet telles que décrites dans la NES n° 2, à savoir les travailleurs directs, les travailleurs contractuels</w:t>
      </w:r>
      <w:r w:rsidR="00B82080" w:rsidRPr="00B01850">
        <w:rPr>
          <w:rFonts w:ascii="Arial" w:hAnsi="Arial" w:cs="Arial"/>
          <w:color w:val="000000"/>
        </w:rPr>
        <w:t xml:space="preserve">, </w:t>
      </w:r>
      <w:r w:rsidRPr="00B01850">
        <w:rPr>
          <w:rFonts w:ascii="Arial" w:hAnsi="Arial" w:cs="Arial"/>
          <w:color w:val="000000"/>
        </w:rPr>
        <w:t>les travailleurs des fournisseurs principaux</w:t>
      </w:r>
      <w:r w:rsidR="00B82080" w:rsidRPr="00B01850">
        <w:rPr>
          <w:rFonts w:ascii="Arial" w:hAnsi="Arial" w:cs="Arial"/>
          <w:color w:val="000000"/>
        </w:rPr>
        <w:t xml:space="preserve"> et sous-traitants et les travailleurs communautaires</w:t>
      </w:r>
      <w:r w:rsidRPr="00B01850">
        <w:rPr>
          <w:rFonts w:ascii="Arial" w:hAnsi="Arial" w:cs="Arial"/>
          <w:color w:val="000000"/>
        </w:rPr>
        <w:t>.</w:t>
      </w:r>
    </w:p>
    <w:p w14:paraId="08E0A9B9" w14:textId="77777777" w:rsidR="00357737" w:rsidRPr="00B01850" w:rsidRDefault="00357737" w:rsidP="00357737">
      <w:pPr>
        <w:spacing w:after="0" w:line="240" w:lineRule="auto"/>
        <w:jc w:val="both"/>
        <w:rPr>
          <w:rFonts w:ascii="Arial" w:hAnsi="Arial" w:cs="Arial"/>
          <w:color w:val="000000"/>
        </w:rPr>
      </w:pPr>
    </w:p>
    <w:p w14:paraId="26E050EE" w14:textId="36621CCB" w:rsidR="00367946" w:rsidRPr="00B01850" w:rsidRDefault="00367946" w:rsidP="00367946">
      <w:pPr>
        <w:spacing w:after="0" w:line="240" w:lineRule="auto"/>
        <w:rPr>
          <w:rFonts w:ascii="Arial" w:hAnsi="Arial" w:cs="Arial"/>
          <w:b/>
          <w:bCs/>
        </w:rPr>
      </w:pPr>
      <w:r w:rsidRPr="00B01850">
        <w:rPr>
          <w:rFonts w:ascii="Arial" w:hAnsi="Arial" w:cs="Arial"/>
          <w:b/>
          <w:bCs/>
        </w:rPr>
        <w:t xml:space="preserve">Dispositions pertinentes de la législation du travail du </w:t>
      </w:r>
      <w:r w:rsidR="00083181" w:rsidRPr="00B01850">
        <w:rPr>
          <w:rFonts w:ascii="Arial" w:hAnsi="Arial" w:cs="Arial"/>
          <w:b/>
          <w:bCs/>
        </w:rPr>
        <w:t>Guinée</w:t>
      </w:r>
    </w:p>
    <w:p w14:paraId="068D9175" w14:textId="77777777" w:rsidR="00367946" w:rsidRPr="00B01850" w:rsidRDefault="00367946" w:rsidP="00367946">
      <w:pPr>
        <w:spacing w:after="0" w:line="240" w:lineRule="auto"/>
        <w:rPr>
          <w:rFonts w:ascii="Arial" w:hAnsi="Arial" w:cs="Arial"/>
        </w:rPr>
      </w:pPr>
    </w:p>
    <w:p w14:paraId="0011E490" w14:textId="2D0FBCC6" w:rsidR="00367946" w:rsidRPr="00B01850" w:rsidRDefault="00367946" w:rsidP="0005794F">
      <w:pPr>
        <w:pStyle w:val="Caption"/>
        <w:spacing w:after="240"/>
        <w:rPr>
          <w:rFonts w:ascii="Arial" w:hAnsi="Arial" w:cs="Arial"/>
          <w:i w:val="0"/>
          <w:iCs w:val="0"/>
          <w:color w:val="auto"/>
          <w:sz w:val="22"/>
          <w:szCs w:val="22"/>
        </w:rPr>
      </w:pPr>
      <w:bookmarkStart w:id="150" w:name="_Toc150177935"/>
      <w:bookmarkStart w:id="151" w:name="_Toc178919541"/>
      <w:bookmarkStart w:id="152" w:name="_Toc178919703"/>
      <w:r w:rsidRPr="00B01850">
        <w:rPr>
          <w:rFonts w:ascii="Arial" w:hAnsi="Arial" w:cs="Arial"/>
          <w:i w:val="0"/>
          <w:iCs w:val="0"/>
          <w:color w:val="auto"/>
          <w:sz w:val="22"/>
          <w:szCs w:val="22"/>
        </w:rPr>
        <w:t>Table</w:t>
      </w:r>
      <w:r w:rsidR="00344602" w:rsidRPr="00B01850">
        <w:rPr>
          <w:rFonts w:ascii="Arial" w:hAnsi="Arial" w:cs="Arial"/>
          <w:i w:val="0"/>
          <w:iCs w:val="0"/>
          <w:color w:val="auto"/>
          <w:sz w:val="22"/>
          <w:szCs w:val="22"/>
        </w:rPr>
        <w:t xml:space="preserve">….: </w:t>
      </w:r>
      <w:r w:rsidRPr="00B01850">
        <w:rPr>
          <w:rFonts w:ascii="Arial" w:hAnsi="Arial" w:cs="Arial"/>
          <w:i w:val="0"/>
          <w:iCs w:val="0"/>
          <w:color w:val="auto"/>
          <w:sz w:val="22"/>
          <w:szCs w:val="22"/>
        </w:rPr>
        <w:t xml:space="preserve">Dispositions pertinentes de la législation du travail </w:t>
      </w:r>
      <w:r w:rsidR="000142C5" w:rsidRPr="00B01850">
        <w:rPr>
          <w:rFonts w:ascii="Arial" w:hAnsi="Arial" w:cs="Arial"/>
          <w:i w:val="0"/>
          <w:iCs w:val="0"/>
          <w:color w:val="auto"/>
          <w:sz w:val="22"/>
          <w:szCs w:val="22"/>
        </w:rPr>
        <w:t xml:space="preserve">en </w:t>
      </w:r>
      <w:r w:rsidR="00083181" w:rsidRPr="00B01850">
        <w:rPr>
          <w:rFonts w:ascii="Arial" w:hAnsi="Arial" w:cs="Arial"/>
          <w:i w:val="0"/>
          <w:iCs w:val="0"/>
          <w:color w:val="auto"/>
          <w:sz w:val="22"/>
          <w:szCs w:val="22"/>
        </w:rPr>
        <w:t>Guinée</w:t>
      </w:r>
      <w:bookmarkEnd w:id="150"/>
      <w:bookmarkEnd w:id="151"/>
      <w:bookmarkEnd w:id="152"/>
    </w:p>
    <w:tbl>
      <w:tblPr>
        <w:tblpPr w:leftFromText="141" w:rightFromText="141" w:bottomFromText="160"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0"/>
        <w:gridCol w:w="1495"/>
        <w:gridCol w:w="1767"/>
        <w:gridCol w:w="4508"/>
      </w:tblGrid>
      <w:tr w:rsidR="00194C65" w:rsidRPr="00B01850" w14:paraId="64ABC5AE" w14:textId="77777777" w:rsidTr="0005794F">
        <w:trPr>
          <w:trHeight w:val="488"/>
          <w:tblHeader/>
        </w:trPr>
        <w:tc>
          <w:tcPr>
            <w:tcW w:w="84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133000DE" w14:textId="77777777" w:rsidR="00194C65" w:rsidRPr="00B01850" w:rsidRDefault="00194C65" w:rsidP="009B3153">
            <w:pPr>
              <w:spacing w:line="256" w:lineRule="auto"/>
              <w:jc w:val="center"/>
              <w:rPr>
                <w:rFonts w:ascii="Arial" w:hAnsi="Arial" w:cs="Arial"/>
                <w:bCs/>
                <w:i/>
                <w:iCs/>
                <w:sz w:val="20"/>
                <w:szCs w:val="20"/>
              </w:rPr>
            </w:pPr>
            <w:r w:rsidRPr="00B01850">
              <w:rPr>
                <w:rFonts w:ascii="Arial" w:hAnsi="Arial" w:cs="Arial"/>
                <w:bCs/>
                <w:i/>
                <w:iCs/>
                <w:sz w:val="20"/>
                <w:szCs w:val="20"/>
              </w:rPr>
              <w:t>Critères</w:t>
            </w:r>
          </w:p>
        </w:tc>
        <w:tc>
          <w:tcPr>
            <w:tcW w:w="799"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339E047D" w14:textId="77777777" w:rsidR="00194C65" w:rsidRPr="00B01850" w:rsidRDefault="00194C65" w:rsidP="009B3153">
            <w:pPr>
              <w:jc w:val="center"/>
              <w:rPr>
                <w:rFonts w:ascii="Arial" w:hAnsi="Arial" w:cs="Arial"/>
                <w:bCs/>
                <w:i/>
                <w:iCs/>
                <w:sz w:val="20"/>
                <w:szCs w:val="20"/>
              </w:rPr>
            </w:pPr>
            <w:r w:rsidRPr="00B01850">
              <w:rPr>
                <w:rFonts w:ascii="Arial" w:hAnsi="Arial" w:cs="Arial"/>
                <w:bCs/>
                <w:i/>
                <w:iCs/>
                <w:sz w:val="20"/>
                <w:szCs w:val="20"/>
              </w:rPr>
              <w:t xml:space="preserve">Articles spécifiques </w:t>
            </w:r>
          </w:p>
        </w:tc>
        <w:tc>
          <w:tcPr>
            <w:tcW w:w="945"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501EFFF5" w14:textId="77777777" w:rsidR="00194C65" w:rsidRPr="00B01850" w:rsidRDefault="00194C65" w:rsidP="009B3153">
            <w:pPr>
              <w:spacing w:line="256" w:lineRule="auto"/>
              <w:ind w:left="-108"/>
              <w:jc w:val="center"/>
              <w:rPr>
                <w:rFonts w:ascii="Arial" w:hAnsi="Arial" w:cs="Arial"/>
                <w:bCs/>
                <w:i/>
                <w:iCs/>
                <w:sz w:val="20"/>
                <w:szCs w:val="20"/>
              </w:rPr>
            </w:pPr>
            <w:r w:rsidRPr="00B01850">
              <w:rPr>
                <w:rFonts w:ascii="Arial" w:hAnsi="Arial" w:cs="Arial"/>
                <w:bCs/>
                <w:i/>
                <w:iCs/>
                <w:sz w:val="20"/>
                <w:szCs w:val="20"/>
              </w:rPr>
              <w:t>Documents de Référence</w:t>
            </w:r>
          </w:p>
        </w:tc>
        <w:tc>
          <w:tcPr>
            <w:tcW w:w="2411" w:type="pct"/>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hideMark/>
          </w:tcPr>
          <w:p w14:paraId="504E3DF5" w14:textId="77777777" w:rsidR="00194C65" w:rsidRPr="00B01850" w:rsidRDefault="00194C65" w:rsidP="009B3153">
            <w:pPr>
              <w:spacing w:line="256" w:lineRule="auto"/>
              <w:ind w:left="-108"/>
              <w:jc w:val="center"/>
              <w:rPr>
                <w:rFonts w:ascii="Arial" w:hAnsi="Arial" w:cs="Arial"/>
                <w:bCs/>
                <w:i/>
                <w:iCs/>
                <w:sz w:val="20"/>
                <w:szCs w:val="20"/>
              </w:rPr>
            </w:pPr>
            <w:r w:rsidRPr="00B01850">
              <w:rPr>
                <w:rFonts w:ascii="Arial" w:hAnsi="Arial" w:cs="Arial"/>
                <w:bCs/>
                <w:i/>
                <w:iCs/>
                <w:sz w:val="20"/>
                <w:szCs w:val="20"/>
              </w:rPr>
              <w:t xml:space="preserve">Clause </w:t>
            </w:r>
          </w:p>
        </w:tc>
      </w:tr>
      <w:tr w:rsidR="00194C65" w:rsidRPr="00B01850" w14:paraId="04BEED32" w14:textId="77777777" w:rsidTr="0005794F">
        <w:trPr>
          <w:trHeight w:val="1770"/>
        </w:trPr>
        <w:tc>
          <w:tcPr>
            <w:tcW w:w="845" w:type="pct"/>
            <w:vMerge w:val="restart"/>
            <w:tcBorders>
              <w:top w:val="single" w:sz="4" w:space="0" w:color="auto"/>
              <w:left w:val="single" w:sz="4" w:space="0" w:color="auto"/>
              <w:bottom w:val="single" w:sz="4" w:space="0" w:color="auto"/>
              <w:right w:val="single" w:sz="4" w:space="0" w:color="auto"/>
            </w:tcBorders>
            <w:hideMark/>
          </w:tcPr>
          <w:p w14:paraId="2CCB90B5" w14:textId="77777777" w:rsidR="00194C65" w:rsidRPr="00B01850" w:rsidRDefault="00194C65" w:rsidP="009B3153">
            <w:pPr>
              <w:ind w:left="29"/>
              <w:rPr>
                <w:rFonts w:ascii="Arial" w:hAnsi="Arial" w:cs="Arial"/>
                <w:sz w:val="20"/>
                <w:szCs w:val="20"/>
              </w:rPr>
            </w:pPr>
            <w:r w:rsidRPr="00B01850">
              <w:rPr>
                <w:rFonts w:ascii="Arial" w:hAnsi="Arial" w:cs="Arial"/>
                <w:sz w:val="20"/>
                <w:szCs w:val="20"/>
              </w:rPr>
              <w:t>Sur la liberté du travail et une juste rémunération.</w:t>
            </w:r>
          </w:p>
        </w:tc>
        <w:tc>
          <w:tcPr>
            <w:tcW w:w="799" w:type="pct"/>
            <w:tcBorders>
              <w:top w:val="single" w:sz="4" w:space="0" w:color="auto"/>
              <w:left w:val="single" w:sz="4" w:space="0" w:color="auto"/>
              <w:bottom w:val="single" w:sz="4" w:space="0" w:color="auto"/>
              <w:right w:val="single" w:sz="4" w:space="0" w:color="auto"/>
            </w:tcBorders>
            <w:hideMark/>
          </w:tcPr>
          <w:p w14:paraId="187B4A32" w14:textId="77777777" w:rsidR="00194C65" w:rsidRPr="00B01850" w:rsidRDefault="00194C65" w:rsidP="009B3153">
            <w:pPr>
              <w:spacing w:line="256" w:lineRule="auto"/>
              <w:rPr>
                <w:rFonts w:ascii="Arial" w:hAnsi="Arial" w:cs="Arial"/>
                <w:sz w:val="20"/>
                <w:szCs w:val="20"/>
              </w:rPr>
            </w:pPr>
            <w:r w:rsidRPr="00B01850">
              <w:rPr>
                <w:rFonts w:ascii="Arial" w:hAnsi="Arial" w:cs="Arial"/>
                <w:sz w:val="20"/>
                <w:szCs w:val="20"/>
              </w:rPr>
              <w:t>Article 242.1 du Code du Travail de la République de Guinée ;</w:t>
            </w:r>
          </w:p>
        </w:tc>
        <w:tc>
          <w:tcPr>
            <w:tcW w:w="945" w:type="pct"/>
            <w:tcBorders>
              <w:top w:val="single" w:sz="4" w:space="0" w:color="auto"/>
              <w:left w:val="single" w:sz="4" w:space="0" w:color="auto"/>
              <w:bottom w:val="single" w:sz="4" w:space="0" w:color="auto"/>
              <w:right w:val="single" w:sz="4" w:space="0" w:color="auto"/>
            </w:tcBorders>
            <w:hideMark/>
          </w:tcPr>
          <w:p w14:paraId="4CDA1CDB" w14:textId="77777777" w:rsidR="00194C65" w:rsidRPr="00B01850" w:rsidRDefault="00194C65" w:rsidP="009B3153">
            <w:pPr>
              <w:spacing w:line="256" w:lineRule="auto"/>
              <w:ind w:right="8"/>
              <w:jc w:val="both"/>
              <w:rPr>
                <w:rFonts w:ascii="Arial" w:hAnsi="Arial" w:cs="Arial"/>
                <w:sz w:val="20"/>
                <w:szCs w:val="20"/>
              </w:rPr>
            </w:pPr>
            <w:r w:rsidRPr="00B01850">
              <w:rPr>
                <w:rFonts w:ascii="Arial" w:hAnsi="Arial" w:cs="Arial"/>
                <w:sz w:val="20"/>
                <w:szCs w:val="20"/>
              </w:rPr>
              <w:t>Loi L/2014/072/CNT du 10 janvier 2014, portant Code du Travail de la République de Guinée.</w:t>
            </w:r>
          </w:p>
        </w:tc>
        <w:tc>
          <w:tcPr>
            <w:tcW w:w="2411" w:type="pct"/>
            <w:tcBorders>
              <w:top w:val="single" w:sz="4" w:space="0" w:color="auto"/>
              <w:left w:val="single" w:sz="4" w:space="0" w:color="auto"/>
              <w:bottom w:val="single" w:sz="4" w:space="0" w:color="auto"/>
              <w:right w:val="single" w:sz="4" w:space="0" w:color="auto"/>
            </w:tcBorders>
            <w:hideMark/>
          </w:tcPr>
          <w:p w14:paraId="6691DC57" w14:textId="77777777" w:rsidR="00194C65" w:rsidRPr="00B01850" w:rsidRDefault="00194C65" w:rsidP="009B3153">
            <w:pPr>
              <w:spacing w:line="256" w:lineRule="auto"/>
              <w:ind w:right="8"/>
              <w:jc w:val="both"/>
              <w:rPr>
                <w:rFonts w:ascii="Arial" w:hAnsi="Arial" w:cs="Arial"/>
                <w:sz w:val="20"/>
                <w:szCs w:val="20"/>
              </w:rPr>
            </w:pPr>
            <w:r w:rsidRPr="00B01850">
              <w:rPr>
                <w:rFonts w:ascii="Arial" w:hAnsi="Arial" w:cs="Arial"/>
                <w:sz w:val="20"/>
                <w:szCs w:val="20"/>
              </w:rPr>
              <w:t>Aucun employeur ne peut restreindre de quelque manière que ce soit la liberté du travailleur de disposer de son salaire à son gré.</w:t>
            </w:r>
          </w:p>
        </w:tc>
      </w:tr>
      <w:tr w:rsidR="00194C65" w:rsidRPr="00B01850" w14:paraId="1A6E5B59" w14:textId="77777777" w:rsidTr="00194C65">
        <w:trPr>
          <w:trHeight w:val="104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B9E46BF" w14:textId="77777777" w:rsidR="00194C65" w:rsidRPr="00B01850" w:rsidRDefault="00194C65" w:rsidP="009B3153">
            <w:pPr>
              <w:spacing w:line="256" w:lineRule="auto"/>
              <w:rPr>
                <w:rFonts w:ascii="Arial" w:hAnsi="Arial" w:cs="Arial"/>
                <w:sz w:val="20"/>
                <w:szCs w:val="20"/>
                <w:lang w:eastAsia="en-GB" w:bidi="en-GB"/>
              </w:rPr>
            </w:pPr>
          </w:p>
        </w:tc>
        <w:tc>
          <w:tcPr>
            <w:tcW w:w="799" w:type="pct"/>
            <w:tcBorders>
              <w:top w:val="single" w:sz="4" w:space="0" w:color="auto"/>
              <w:left w:val="single" w:sz="4" w:space="0" w:color="auto"/>
              <w:bottom w:val="single" w:sz="4" w:space="0" w:color="auto"/>
              <w:right w:val="single" w:sz="4" w:space="0" w:color="auto"/>
            </w:tcBorders>
            <w:hideMark/>
          </w:tcPr>
          <w:p w14:paraId="720CCDF9" w14:textId="77777777" w:rsidR="00194C65" w:rsidRPr="00B01850" w:rsidRDefault="00194C65" w:rsidP="009B3153">
            <w:pPr>
              <w:spacing w:line="256" w:lineRule="auto"/>
              <w:rPr>
                <w:rFonts w:ascii="Arial" w:hAnsi="Arial" w:cs="Arial"/>
                <w:sz w:val="20"/>
                <w:szCs w:val="20"/>
              </w:rPr>
            </w:pPr>
            <w:r w:rsidRPr="00B01850">
              <w:rPr>
                <w:rFonts w:ascii="Arial" w:hAnsi="Arial" w:cs="Arial"/>
                <w:sz w:val="20"/>
                <w:szCs w:val="20"/>
              </w:rPr>
              <w:t>Article 21 de la Charte de la transition</w:t>
            </w:r>
          </w:p>
        </w:tc>
        <w:tc>
          <w:tcPr>
            <w:tcW w:w="945" w:type="pct"/>
            <w:tcBorders>
              <w:top w:val="single" w:sz="4" w:space="0" w:color="auto"/>
              <w:left w:val="single" w:sz="4" w:space="0" w:color="auto"/>
              <w:bottom w:val="single" w:sz="4" w:space="0" w:color="auto"/>
              <w:right w:val="single" w:sz="4" w:space="0" w:color="auto"/>
            </w:tcBorders>
            <w:hideMark/>
          </w:tcPr>
          <w:p w14:paraId="7046B953" w14:textId="77777777" w:rsidR="00194C65" w:rsidRPr="00B01850" w:rsidRDefault="00194C65" w:rsidP="009B3153">
            <w:pPr>
              <w:spacing w:line="256" w:lineRule="auto"/>
              <w:ind w:right="8"/>
              <w:jc w:val="both"/>
              <w:rPr>
                <w:rFonts w:ascii="Arial" w:hAnsi="Arial" w:cs="Arial"/>
                <w:sz w:val="20"/>
                <w:szCs w:val="20"/>
              </w:rPr>
            </w:pPr>
            <w:r w:rsidRPr="00B01850">
              <w:rPr>
                <w:rFonts w:ascii="Arial" w:hAnsi="Arial" w:cs="Arial"/>
                <w:sz w:val="20"/>
                <w:szCs w:val="20"/>
              </w:rPr>
              <w:t>RG, Charte de la Transition, Septembre 2021</w:t>
            </w:r>
          </w:p>
        </w:tc>
        <w:tc>
          <w:tcPr>
            <w:tcW w:w="2411" w:type="pct"/>
            <w:tcBorders>
              <w:top w:val="single" w:sz="4" w:space="0" w:color="auto"/>
              <w:left w:val="single" w:sz="4" w:space="0" w:color="auto"/>
              <w:bottom w:val="single" w:sz="4" w:space="0" w:color="auto"/>
              <w:right w:val="single" w:sz="4" w:space="0" w:color="auto"/>
            </w:tcBorders>
            <w:hideMark/>
          </w:tcPr>
          <w:p w14:paraId="64408655" w14:textId="77777777" w:rsidR="00194C65" w:rsidRPr="00B01850" w:rsidRDefault="00194C65" w:rsidP="009B3153">
            <w:pPr>
              <w:spacing w:line="256" w:lineRule="auto"/>
              <w:ind w:right="8"/>
              <w:jc w:val="both"/>
              <w:rPr>
                <w:rFonts w:ascii="Arial" w:hAnsi="Arial" w:cs="Arial"/>
                <w:sz w:val="20"/>
                <w:szCs w:val="20"/>
              </w:rPr>
            </w:pPr>
            <w:r w:rsidRPr="00B01850">
              <w:rPr>
                <w:rFonts w:ascii="Arial" w:hAnsi="Arial" w:cs="Arial"/>
                <w:sz w:val="20"/>
                <w:szCs w:val="20"/>
              </w:rPr>
              <w:t>Tout citoyen à droit au travail et à une juste rémunération. Nul ne peut être lésé dans son emploi en raison de son origine, de sa religion, de son sexe ou de ses opinions.</w:t>
            </w:r>
          </w:p>
        </w:tc>
      </w:tr>
      <w:tr w:rsidR="00194C65" w:rsidRPr="00B01850" w14:paraId="734737AE" w14:textId="77777777" w:rsidTr="0005794F">
        <w:trPr>
          <w:trHeight w:val="419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6B33176" w14:textId="77777777" w:rsidR="00194C65" w:rsidRPr="00B01850" w:rsidRDefault="00194C65" w:rsidP="009B3153">
            <w:pPr>
              <w:spacing w:line="256" w:lineRule="auto"/>
              <w:rPr>
                <w:rFonts w:ascii="Arial" w:hAnsi="Arial" w:cs="Arial"/>
                <w:sz w:val="20"/>
                <w:szCs w:val="20"/>
                <w:lang w:eastAsia="en-GB" w:bidi="en-GB"/>
              </w:rPr>
            </w:pPr>
          </w:p>
        </w:tc>
        <w:tc>
          <w:tcPr>
            <w:tcW w:w="799" w:type="pct"/>
            <w:tcBorders>
              <w:top w:val="single" w:sz="4" w:space="0" w:color="auto"/>
              <w:left w:val="single" w:sz="4" w:space="0" w:color="auto"/>
              <w:bottom w:val="single" w:sz="4" w:space="0" w:color="auto"/>
              <w:right w:val="single" w:sz="4" w:space="0" w:color="auto"/>
            </w:tcBorders>
            <w:hideMark/>
          </w:tcPr>
          <w:p w14:paraId="737D4452" w14:textId="77777777" w:rsidR="00194C65" w:rsidRPr="00B01850" w:rsidRDefault="00194C65" w:rsidP="009B3153">
            <w:pPr>
              <w:spacing w:line="256" w:lineRule="auto"/>
              <w:rPr>
                <w:rFonts w:ascii="Arial" w:hAnsi="Arial" w:cs="Arial"/>
                <w:sz w:val="20"/>
                <w:szCs w:val="20"/>
              </w:rPr>
            </w:pPr>
            <w:r w:rsidRPr="00B01850">
              <w:rPr>
                <w:rFonts w:ascii="Arial" w:hAnsi="Arial" w:cs="Arial"/>
                <w:sz w:val="20"/>
                <w:szCs w:val="20"/>
              </w:rPr>
              <w:t>Articles 241.1 et 241.2 du Code du Travail de la République de Guinée</w:t>
            </w:r>
          </w:p>
        </w:tc>
        <w:tc>
          <w:tcPr>
            <w:tcW w:w="945" w:type="pct"/>
            <w:tcBorders>
              <w:top w:val="single" w:sz="4" w:space="0" w:color="auto"/>
              <w:left w:val="single" w:sz="4" w:space="0" w:color="auto"/>
              <w:bottom w:val="single" w:sz="4" w:space="0" w:color="auto"/>
              <w:right w:val="single" w:sz="4" w:space="0" w:color="auto"/>
            </w:tcBorders>
            <w:hideMark/>
          </w:tcPr>
          <w:p w14:paraId="27B2F06E" w14:textId="77777777" w:rsidR="00194C65" w:rsidRPr="00B01850" w:rsidRDefault="00194C65" w:rsidP="009B3153">
            <w:pPr>
              <w:spacing w:line="256" w:lineRule="auto"/>
              <w:ind w:right="8"/>
              <w:jc w:val="both"/>
              <w:rPr>
                <w:rFonts w:ascii="Arial" w:hAnsi="Arial" w:cs="Arial"/>
                <w:sz w:val="20"/>
                <w:szCs w:val="20"/>
              </w:rPr>
            </w:pPr>
            <w:r w:rsidRPr="00B01850">
              <w:rPr>
                <w:rFonts w:ascii="Arial" w:hAnsi="Arial" w:cs="Arial"/>
                <w:sz w:val="20"/>
                <w:szCs w:val="20"/>
              </w:rPr>
              <w:t>Loi L/2014/072/CNT du 10 janvier 2014, portant Code du Travail de la République de Guinée.</w:t>
            </w:r>
          </w:p>
        </w:tc>
        <w:tc>
          <w:tcPr>
            <w:tcW w:w="2411" w:type="pct"/>
            <w:tcBorders>
              <w:top w:val="single" w:sz="4" w:space="0" w:color="auto"/>
              <w:left w:val="single" w:sz="4" w:space="0" w:color="auto"/>
              <w:bottom w:val="single" w:sz="4" w:space="0" w:color="auto"/>
              <w:right w:val="single" w:sz="4" w:space="0" w:color="auto"/>
            </w:tcBorders>
            <w:hideMark/>
          </w:tcPr>
          <w:p w14:paraId="16BE8282" w14:textId="77777777" w:rsidR="00194C65" w:rsidRPr="00B01850" w:rsidRDefault="00194C65" w:rsidP="009B3153">
            <w:pPr>
              <w:spacing w:line="256" w:lineRule="auto"/>
              <w:ind w:right="8"/>
              <w:jc w:val="both"/>
              <w:rPr>
                <w:rFonts w:ascii="Arial" w:hAnsi="Arial" w:cs="Arial"/>
                <w:sz w:val="20"/>
                <w:szCs w:val="20"/>
              </w:rPr>
            </w:pPr>
            <w:r w:rsidRPr="00B01850">
              <w:rPr>
                <w:rFonts w:ascii="Arial" w:hAnsi="Arial" w:cs="Arial"/>
                <w:sz w:val="20"/>
                <w:szCs w:val="20"/>
              </w:rPr>
              <w:t>Sous réserve des dispositions de l’article 241.7 du présent Code et des conventions collectives, le salaire et ses éléments constitutifs se négocient librement entre l’employeur et le travailleur.</w:t>
            </w:r>
          </w:p>
          <w:p w14:paraId="25A160D6" w14:textId="77777777" w:rsidR="00194C65" w:rsidRPr="00B01850" w:rsidRDefault="00194C65" w:rsidP="009B3153">
            <w:pPr>
              <w:spacing w:line="256" w:lineRule="auto"/>
              <w:ind w:right="8"/>
              <w:jc w:val="both"/>
              <w:rPr>
                <w:rFonts w:ascii="Arial" w:hAnsi="Arial" w:cs="Arial"/>
                <w:sz w:val="20"/>
                <w:szCs w:val="20"/>
              </w:rPr>
            </w:pPr>
            <w:r w:rsidRPr="00B01850">
              <w:rPr>
                <w:rFonts w:ascii="Arial" w:hAnsi="Arial" w:cs="Arial"/>
                <w:sz w:val="20"/>
                <w:szCs w:val="20"/>
              </w:rPr>
              <w:t xml:space="preserve">Tout employeur doit assurer, pour un même travail ou pour un travail de valeur égale, l’égalité de rémunération entre les salariés quel que soient leur origine, leur sexe et leur âge dans les conditions prévues au présent titre.  </w:t>
            </w:r>
          </w:p>
          <w:p w14:paraId="3B0CC0A4" w14:textId="77777777" w:rsidR="00194C65" w:rsidRPr="00B01850" w:rsidRDefault="00194C65" w:rsidP="009B3153">
            <w:pPr>
              <w:spacing w:line="256" w:lineRule="auto"/>
              <w:ind w:right="8"/>
              <w:jc w:val="both"/>
              <w:rPr>
                <w:rFonts w:ascii="Arial" w:hAnsi="Arial" w:cs="Arial"/>
                <w:sz w:val="20"/>
                <w:szCs w:val="20"/>
              </w:rPr>
            </w:pPr>
            <w:r w:rsidRPr="00B01850">
              <w:rPr>
                <w:rFonts w:ascii="Arial" w:hAnsi="Arial" w:cs="Arial"/>
                <w:sz w:val="20"/>
                <w:szCs w:val="20"/>
              </w:rPr>
              <w:t>Par rémunération, il faut entendre le salaire de base et tous les autres avantages et accessoires, primes et indemnités de toute nature, payés directement ou indirectement, en espèce ou en nature, par l’employeur au travailleur en raison de l’emploi de celui-ci.</w:t>
            </w:r>
          </w:p>
        </w:tc>
      </w:tr>
      <w:tr w:rsidR="00194C65" w:rsidRPr="00B01850" w14:paraId="275BB373" w14:textId="77777777" w:rsidTr="00194C65">
        <w:trPr>
          <w:trHeight w:val="575"/>
        </w:trPr>
        <w:tc>
          <w:tcPr>
            <w:tcW w:w="845" w:type="pct"/>
            <w:vMerge w:val="restart"/>
            <w:tcBorders>
              <w:top w:val="single" w:sz="4" w:space="0" w:color="auto"/>
              <w:left w:val="single" w:sz="4" w:space="0" w:color="auto"/>
              <w:bottom w:val="single" w:sz="4" w:space="0" w:color="auto"/>
              <w:right w:val="single" w:sz="4" w:space="0" w:color="auto"/>
            </w:tcBorders>
            <w:hideMark/>
          </w:tcPr>
          <w:p w14:paraId="0E3001D4" w14:textId="77777777" w:rsidR="00194C65" w:rsidRPr="00B01850" w:rsidRDefault="00194C65" w:rsidP="009B3153">
            <w:pPr>
              <w:ind w:left="29"/>
              <w:rPr>
                <w:rFonts w:ascii="Arial" w:hAnsi="Arial" w:cs="Arial"/>
                <w:sz w:val="20"/>
                <w:szCs w:val="20"/>
              </w:rPr>
            </w:pPr>
            <w:r w:rsidRPr="00B01850">
              <w:rPr>
                <w:rFonts w:ascii="Arial" w:hAnsi="Arial" w:cs="Arial"/>
                <w:sz w:val="20"/>
                <w:szCs w:val="20"/>
              </w:rPr>
              <w:t>Discrimination sur les lieux de travail</w:t>
            </w:r>
          </w:p>
        </w:tc>
        <w:tc>
          <w:tcPr>
            <w:tcW w:w="799" w:type="pct"/>
            <w:tcBorders>
              <w:top w:val="single" w:sz="4" w:space="0" w:color="auto"/>
              <w:left w:val="single" w:sz="4" w:space="0" w:color="auto"/>
              <w:bottom w:val="single" w:sz="4" w:space="0" w:color="auto"/>
              <w:right w:val="single" w:sz="4" w:space="0" w:color="auto"/>
            </w:tcBorders>
            <w:vAlign w:val="center"/>
            <w:hideMark/>
          </w:tcPr>
          <w:p w14:paraId="62C2DFFB" w14:textId="77777777" w:rsidR="00194C65" w:rsidRPr="00B01850" w:rsidRDefault="00194C65" w:rsidP="009B3153">
            <w:pPr>
              <w:rPr>
                <w:rFonts w:ascii="Arial" w:hAnsi="Arial" w:cs="Arial"/>
                <w:sz w:val="20"/>
                <w:szCs w:val="20"/>
              </w:rPr>
            </w:pPr>
            <w:r w:rsidRPr="00B01850">
              <w:rPr>
                <w:rFonts w:ascii="Arial" w:hAnsi="Arial" w:cs="Arial"/>
                <w:sz w:val="20"/>
                <w:szCs w:val="20"/>
              </w:rPr>
              <w:t>Article 4 du Code du Travail de la République de Guinée interdit la discrimination sous toutes ses formes</w:t>
            </w:r>
          </w:p>
        </w:tc>
        <w:tc>
          <w:tcPr>
            <w:tcW w:w="945" w:type="pct"/>
            <w:tcBorders>
              <w:top w:val="single" w:sz="4" w:space="0" w:color="auto"/>
              <w:left w:val="single" w:sz="4" w:space="0" w:color="auto"/>
              <w:bottom w:val="single" w:sz="4" w:space="0" w:color="auto"/>
              <w:right w:val="single" w:sz="4" w:space="0" w:color="auto"/>
            </w:tcBorders>
            <w:hideMark/>
          </w:tcPr>
          <w:p w14:paraId="69178256"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Loi L/2014/072/CNT du 10 janvier 2014, portant Code du Travail de la République de Guinée.</w:t>
            </w:r>
          </w:p>
        </w:tc>
        <w:tc>
          <w:tcPr>
            <w:tcW w:w="2411" w:type="pct"/>
            <w:tcBorders>
              <w:top w:val="single" w:sz="4" w:space="0" w:color="auto"/>
              <w:left w:val="single" w:sz="4" w:space="0" w:color="auto"/>
              <w:bottom w:val="single" w:sz="4" w:space="0" w:color="auto"/>
              <w:right w:val="single" w:sz="4" w:space="0" w:color="auto"/>
            </w:tcBorders>
            <w:vAlign w:val="center"/>
            <w:hideMark/>
          </w:tcPr>
          <w:p w14:paraId="45F01B7F"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Le travailleur peut saisir directement la juridiction chargée de travail pour dénoncer les actes de discrimination dont il a été victime. Toutefois, il pourra saisir l’Inspecteur du travail du ressort pour la conciliation.</w:t>
            </w:r>
          </w:p>
        </w:tc>
      </w:tr>
      <w:tr w:rsidR="00194C65" w:rsidRPr="00B01850" w14:paraId="3C51045D" w14:textId="77777777" w:rsidTr="00194C65">
        <w:trPr>
          <w:trHeight w:val="57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400143A" w14:textId="77777777" w:rsidR="00194C65" w:rsidRPr="00B01850" w:rsidRDefault="00194C65" w:rsidP="009B3153">
            <w:pPr>
              <w:spacing w:line="256" w:lineRule="auto"/>
              <w:rPr>
                <w:rFonts w:ascii="Arial" w:hAnsi="Arial" w:cs="Arial"/>
                <w:sz w:val="20"/>
                <w:szCs w:val="20"/>
                <w:lang w:eastAsia="en-GB" w:bidi="en-GB"/>
              </w:rPr>
            </w:pPr>
          </w:p>
        </w:tc>
        <w:tc>
          <w:tcPr>
            <w:tcW w:w="799" w:type="pct"/>
            <w:tcBorders>
              <w:top w:val="single" w:sz="4" w:space="0" w:color="auto"/>
              <w:left w:val="single" w:sz="4" w:space="0" w:color="auto"/>
              <w:bottom w:val="single" w:sz="4" w:space="0" w:color="auto"/>
              <w:right w:val="single" w:sz="4" w:space="0" w:color="auto"/>
            </w:tcBorders>
            <w:hideMark/>
          </w:tcPr>
          <w:p w14:paraId="1214B98F" w14:textId="77777777" w:rsidR="00194C65" w:rsidRPr="00B01850" w:rsidRDefault="00194C65" w:rsidP="009B3153">
            <w:pPr>
              <w:rPr>
                <w:rFonts w:ascii="Arial" w:hAnsi="Arial" w:cs="Arial"/>
                <w:sz w:val="20"/>
                <w:szCs w:val="20"/>
              </w:rPr>
            </w:pPr>
            <w:r w:rsidRPr="00B01850">
              <w:rPr>
                <w:rFonts w:ascii="Arial" w:hAnsi="Arial" w:cs="Arial"/>
                <w:sz w:val="20"/>
                <w:szCs w:val="20"/>
              </w:rPr>
              <w:t>Article 15 de la Charte de la transition</w:t>
            </w:r>
          </w:p>
        </w:tc>
        <w:tc>
          <w:tcPr>
            <w:tcW w:w="945" w:type="pct"/>
            <w:tcBorders>
              <w:top w:val="single" w:sz="4" w:space="0" w:color="auto"/>
              <w:left w:val="single" w:sz="4" w:space="0" w:color="auto"/>
              <w:bottom w:val="single" w:sz="4" w:space="0" w:color="auto"/>
              <w:right w:val="single" w:sz="4" w:space="0" w:color="auto"/>
            </w:tcBorders>
            <w:hideMark/>
          </w:tcPr>
          <w:p w14:paraId="401F572D"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RG, Charte de la Transition, Septembre 2021</w:t>
            </w:r>
          </w:p>
        </w:tc>
        <w:tc>
          <w:tcPr>
            <w:tcW w:w="2411" w:type="pct"/>
            <w:tcBorders>
              <w:top w:val="single" w:sz="4" w:space="0" w:color="auto"/>
              <w:left w:val="single" w:sz="4" w:space="0" w:color="auto"/>
              <w:bottom w:val="single" w:sz="4" w:space="0" w:color="auto"/>
              <w:right w:val="single" w:sz="4" w:space="0" w:color="auto"/>
            </w:tcBorders>
            <w:vAlign w:val="center"/>
            <w:hideMark/>
          </w:tcPr>
          <w:p w14:paraId="0D6023FB"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La loi punit quiconque par un acte de discrimination raciale, ethnique, religieuse, par un acte de propagande régionaliste ou communautariste, ou par tout autre acte qui porte atteinte à l'unité nationale, à la sécurité de l'Etat, à l'intégrité du territoire de la République, ou au bon fonctionnement démocratique des Institutions.</w:t>
            </w:r>
          </w:p>
        </w:tc>
      </w:tr>
      <w:tr w:rsidR="00194C65" w:rsidRPr="00B01850" w14:paraId="6534F0E6" w14:textId="77777777" w:rsidTr="00194C65">
        <w:trPr>
          <w:trHeight w:val="57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B2135C3" w14:textId="77777777" w:rsidR="00194C65" w:rsidRPr="00B01850" w:rsidRDefault="00194C65" w:rsidP="009B3153">
            <w:pPr>
              <w:spacing w:line="256" w:lineRule="auto"/>
              <w:rPr>
                <w:rFonts w:ascii="Arial" w:hAnsi="Arial" w:cs="Arial"/>
                <w:sz w:val="20"/>
                <w:szCs w:val="20"/>
                <w:lang w:eastAsia="en-GB" w:bidi="en-GB"/>
              </w:rPr>
            </w:pPr>
          </w:p>
        </w:tc>
        <w:tc>
          <w:tcPr>
            <w:tcW w:w="799" w:type="pct"/>
            <w:tcBorders>
              <w:top w:val="single" w:sz="4" w:space="0" w:color="auto"/>
              <w:left w:val="single" w:sz="4" w:space="0" w:color="auto"/>
              <w:bottom w:val="single" w:sz="4" w:space="0" w:color="auto"/>
              <w:right w:val="single" w:sz="4" w:space="0" w:color="auto"/>
            </w:tcBorders>
            <w:hideMark/>
          </w:tcPr>
          <w:p w14:paraId="14182261" w14:textId="45A96793" w:rsidR="00194C65" w:rsidRPr="00B01850" w:rsidRDefault="00194C65" w:rsidP="009B3153">
            <w:pPr>
              <w:rPr>
                <w:rFonts w:ascii="Arial" w:hAnsi="Arial" w:cs="Arial"/>
                <w:sz w:val="20"/>
                <w:szCs w:val="20"/>
              </w:rPr>
            </w:pPr>
            <w:r w:rsidRPr="00B01850">
              <w:rPr>
                <w:rFonts w:ascii="Arial" w:hAnsi="Arial" w:cs="Arial"/>
                <w:sz w:val="20"/>
                <w:szCs w:val="20"/>
              </w:rPr>
              <w:t>Constitution avril 2020</w:t>
            </w:r>
          </w:p>
        </w:tc>
        <w:tc>
          <w:tcPr>
            <w:tcW w:w="945" w:type="pct"/>
            <w:tcBorders>
              <w:top w:val="single" w:sz="4" w:space="0" w:color="auto"/>
              <w:left w:val="single" w:sz="4" w:space="0" w:color="auto"/>
              <w:bottom w:val="single" w:sz="4" w:space="0" w:color="auto"/>
              <w:right w:val="single" w:sz="4" w:space="0" w:color="auto"/>
            </w:tcBorders>
            <w:hideMark/>
          </w:tcPr>
          <w:p w14:paraId="7CEBA0FA"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RG, Constitution de la République de Guinée, Avril 2020.</w:t>
            </w:r>
          </w:p>
        </w:tc>
        <w:tc>
          <w:tcPr>
            <w:tcW w:w="2411" w:type="pct"/>
            <w:tcBorders>
              <w:top w:val="single" w:sz="4" w:space="0" w:color="auto"/>
              <w:left w:val="single" w:sz="4" w:space="0" w:color="auto"/>
              <w:bottom w:val="single" w:sz="4" w:space="0" w:color="auto"/>
              <w:right w:val="single" w:sz="4" w:space="0" w:color="auto"/>
            </w:tcBorders>
            <w:vAlign w:val="center"/>
            <w:hideMark/>
          </w:tcPr>
          <w:p w14:paraId="768B8A6F"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Tous les individus, hommes et femmes, naissent libres et demeurent égaux devant la loi.</w:t>
            </w:r>
          </w:p>
          <w:p w14:paraId="624AA8A7"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Nul ne peut faire de discrimination du fait notamment de sa naissance, de sa race, de son ethnie, de son sexe, de sa langue, de sa situation sociale, de ses convictions religieuses, philosophiques ou politique</w:t>
            </w:r>
          </w:p>
        </w:tc>
      </w:tr>
      <w:tr w:rsidR="00194C65" w:rsidRPr="00B01850" w14:paraId="21E43E84" w14:textId="77777777" w:rsidTr="00194C65">
        <w:trPr>
          <w:trHeight w:val="705"/>
        </w:trPr>
        <w:tc>
          <w:tcPr>
            <w:tcW w:w="845" w:type="pct"/>
            <w:tcBorders>
              <w:top w:val="single" w:sz="4" w:space="0" w:color="auto"/>
              <w:left w:val="single" w:sz="4" w:space="0" w:color="auto"/>
              <w:bottom w:val="single" w:sz="4" w:space="0" w:color="auto"/>
              <w:right w:val="single" w:sz="4" w:space="0" w:color="auto"/>
            </w:tcBorders>
            <w:hideMark/>
          </w:tcPr>
          <w:p w14:paraId="3B0A866A" w14:textId="77777777" w:rsidR="00194C65" w:rsidRPr="00B01850" w:rsidRDefault="00194C65" w:rsidP="009B3153">
            <w:pPr>
              <w:ind w:left="29"/>
              <w:rPr>
                <w:rFonts w:ascii="Arial" w:hAnsi="Arial" w:cs="Arial"/>
                <w:sz w:val="20"/>
                <w:szCs w:val="20"/>
              </w:rPr>
            </w:pPr>
            <w:r w:rsidRPr="00B01850">
              <w:rPr>
                <w:rFonts w:ascii="Arial" w:hAnsi="Arial" w:cs="Arial"/>
                <w:sz w:val="20"/>
                <w:szCs w:val="20"/>
              </w:rPr>
              <w:lastRenderedPageBreak/>
              <w:t>Sur le repos hebdomadaire, les jours fériés, chômés et jours de chômage autorisés par arrêté présidentiel</w:t>
            </w:r>
          </w:p>
        </w:tc>
        <w:tc>
          <w:tcPr>
            <w:tcW w:w="799" w:type="pct"/>
            <w:tcBorders>
              <w:top w:val="single" w:sz="4" w:space="0" w:color="auto"/>
              <w:left w:val="single" w:sz="4" w:space="0" w:color="auto"/>
              <w:bottom w:val="single" w:sz="4" w:space="0" w:color="auto"/>
              <w:right w:val="single" w:sz="4" w:space="0" w:color="auto"/>
            </w:tcBorders>
            <w:hideMark/>
          </w:tcPr>
          <w:p w14:paraId="1DD368B3" w14:textId="77777777" w:rsidR="00194C65" w:rsidRPr="00B01850" w:rsidRDefault="00194C65" w:rsidP="009B3153">
            <w:pPr>
              <w:rPr>
                <w:rFonts w:ascii="Arial" w:hAnsi="Arial" w:cs="Arial"/>
                <w:sz w:val="20"/>
                <w:szCs w:val="20"/>
              </w:rPr>
            </w:pPr>
            <w:r w:rsidRPr="00B01850">
              <w:rPr>
                <w:rFonts w:ascii="Arial" w:hAnsi="Arial" w:cs="Arial"/>
                <w:sz w:val="20"/>
                <w:szCs w:val="20"/>
              </w:rPr>
              <w:t>Articles 222.1, 222.6, 222.7, 222.8, 222.9, 222.10 et 222.11 du Code du Travail de la République de Guinée</w:t>
            </w:r>
          </w:p>
        </w:tc>
        <w:tc>
          <w:tcPr>
            <w:tcW w:w="945" w:type="pct"/>
            <w:tcBorders>
              <w:top w:val="single" w:sz="4" w:space="0" w:color="auto"/>
              <w:left w:val="single" w:sz="4" w:space="0" w:color="auto"/>
              <w:bottom w:val="single" w:sz="4" w:space="0" w:color="auto"/>
              <w:right w:val="single" w:sz="4" w:space="0" w:color="auto"/>
            </w:tcBorders>
            <w:hideMark/>
          </w:tcPr>
          <w:p w14:paraId="52646CD9"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Loi L/2014/072/CNT du 10 janvier 2014, portant Code du Travail de la République de Guinée.</w:t>
            </w:r>
          </w:p>
        </w:tc>
        <w:tc>
          <w:tcPr>
            <w:tcW w:w="2411" w:type="pct"/>
            <w:tcBorders>
              <w:top w:val="single" w:sz="4" w:space="0" w:color="auto"/>
              <w:left w:val="single" w:sz="4" w:space="0" w:color="auto"/>
              <w:bottom w:val="single" w:sz="4" w:space="0" w:color="auto"/>
              <w:right w:val="single" w:sz="4" w:space="0" w:color="auto"/>
            </w:tcBorders>
            <w:vAlign w:val="center"/>
            <w:hideMark/>
          </w:tcPr>
          <w:p w14:paraId="71B0A828"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Le repos hebdomadaire est obligatoire. Il est au minimum de vingt-quatre heures consécutives par semaine. Il a lieu en principe le dimanche ;</w:t>
            </w:r>
          </w:p>
          <w:p w14:paraId="212FF2E1"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Les fêtes légales sont déterminées par décret. Elles sont des jours fériés, chômés et payés, même si celles-ci tombent un dimanche ou le jour retenu pour le repos hebdomadaire. Le chômage de ces jours de fête ne peut être une cause de réduction des salaires mensuels, bimensuels, hebdomadaires ou journaliers. Les heures de travail perdues par suite du chômage des jours fériés ne peuvent donner lieu à une récupération ;</w:t>
            </w:r>
          </w:p>
          <w:p w14:paraId="47856E64"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Dans les entreprises ou établissements qui, en raison de la nature des activités, ne peuvent interrompre le travail, les salariés qui travaillent un jour férié ont droit, en plus de la rémunération prévue à l’article précédent, à une rémunération pour le travail effectué. Cette rémunération est calculée sur la base du taux horaire majoré de soixante pour cent la journée, de cent pour cent la nuit ;</w:t>
            </w:r>
          </w:p>
          <w:p w14:paraId="64E8C532"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Sauf dispositions plus favorables d’une convention collective, le travailleur salarié a droit à un congé payé à la charge de l’employeur à raison de deux jours et demi ouvrables par mois de service effectif ;</w:t>
            </w:r>
          </w:p>
          <w:p w14:paraId="50E20B52"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 xml:space="preserve">Sont assimilés à des périodes de travail effectif pour la détermination de la durée de congé, les périodes de congé payé, de congé formation, les absences pour accidents de travail et maladies professionnelles, les congés de maternité.  </w:t>
            </w:r>
          </w:p>
          <w:p w14:paraId="0AD921CF"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Les absences dues à une maladie non professionnelle ou à un accident de droit commun sont assimilées à des périodes de travail effectif dans les conditions déterminées par convention collective ;</w:t>
            </w:r>
          </w:p>
          <w:p w14:paraId="46F2AD95"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Les jours ouvrables sont tous les jours de la semaine à l’exception du dimanche et des jours de fêtes légales. Toutefois, le premier jour de congé est celui au cours duquel le salarié aurait dû être à son travail, s’il n’était pas parti en congé ;</w:t>
            </w:r>
          </w:p>
          <w:p w14:paraId="66FA0D7C"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lastRenderedPageBreak/>
              <w:t>Tout autre mode de détermination de la durée du congé payé annuel ainsi que tout autre mode de décompte des jours de congé payé résultant d’usages ou de conventions sont admis que s’ils aboutissent à un résultat au moins aussi favorable pour le salarié que le mode de détermination et de décompte légal.</w:t>
            </w:r>
          </w:p>
        </w:tc>
      </w:tr>
      <w:tr w:rsidR="00194C65" w:rsidRPr="00B01850" w14:paraId="72CC83E6" w14:textId="77777777" w:rsidTr="00194C65">
        <w:trPr>
          <w:trHeight w:val="829"/>
        </w:trPr>
        <w:tc>
          <w:tcPr>
            <w:tcW w:w="845" w:type="pct"/>
            <w:tcBorders>
              <w:top w:val="single" w:sz="4" w:space="0" w:color="auto"/>
              <w:left w:val="single" w:sz="4" w:space="0" w:color="auto"/>
              <w:bottom w:val="single" w:sz="4" w:space="0" w:color="auto"/>
              <w:right w:val="single" w:sz="4" w:space="0" w:color="auto"/>
            </w:tcBorders>
            <w:vAlign w:val="center"/>
            <w:hideMark/>
          </w:tcPr>
          <w:p w14:paraId="4C3F1A14" w14:textId="77777777" w:rsidR="00194C65" w:rsidRPr="00B01850" w:rsidRDefault="00194C65" w:rsidP="009B3153">
            <w:pPr>
              <w:ind w:left="29"/>
              <w:rPr>
                <w:rFonts w:ascii="Arial" w:hAnsi="Arial" w:cs="Arial"/>
                <w:sz w:val="20"/>
                <w:szCs w:val="20"/>
              </w:rPr>
            </w:pPr>
            <w:r w:rsidRPr="00B01850">
              <w:rPr>
                <w:rFonts w:ascii="Arial" w:hAnsi="Arial" w:cs="Arial"/>
                <w:sz w:val="20"/>
                <w:szCs w:val="20"/>
              </w:rPr>
              <w:lastRenderedPageBreak/>
              <w:t>Sur l’âge pour conclure un contrat</w:t>
            </w:r>
          </w:p>
        </w:tc>
        <w:tc>
          <w:tcPr>
            <w:tcW w:w="799" w:type="pct"/>
            <w:tcBorders>
              <w:top w:val="single" w:sz="4" w:space="0" w:color="auto"/>
              <w:left w:val="single" w:sz="4" w:space="0" w:color="auto"/>
              <w:bottom w:val="single" w:sz="4" w:space="0" w:color="auto"/>
              <w:right w:val="single" w:sz="4" w:space="0" w:color="auto"/>
            </w:tcBorders>
            <w:hideMark/>
          </w:tcPr>
          <w:p w14:paraId="2BD86016" w14:textId="77777777" w:rsidR="00194C65" w:rsidRPr="00B01850" w:rsidRDefault="00194C65" w:rsidP="009B3153">
            <w:pPr>
              <w:rPr>
                <w:rFonts w:ascii="Arial" w:hAnsi="Arial" w:cs="Arial"/>
                <w:sz w:val="20"/>
                <w:szCs w:val="20"/>
              </w:rPr>
            </w:pPr>
            <w:r w:rsidRPr="00B01850">
              <w:rPr>
                <w:rFonts w:ascii="Arial" w:hAnsi="Arial" w:cs="Arial"/>
                <w:sz w:val="20"/>
                <w:szCs w:val="20"/>
              </w:rPr>
              <w:t>Article 121.4 du Code du Travail de la République de Guinée</w:t>
            </w:r>
          </w:p>
        </w:tc>
        <w:tc>
          <w:tcPr>
            <w:tcW w:w="945" w:type="pct"/>
            <w:tcBorders>
              <w:top w:val="single" w:sz="4" w:space="0" w:color="auto"/>
              <w:left w:val="single" w:sz="4" w:space="0" w:color="auto"/>
              <w:bottom w:val="single" w:sz="4" w:space="0" w:color="auto"/>
              <w:right w:val="single" w:sz="4" w:space="0" w:color="auto"/>
            </w:tcBorders>
            <w:hideMark/>
          </w:tcPr>
          <w:p w14:paraId="26EAF845"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Loi L/2014/072/CNT du 10 janvier 2014, portant Code du Travail de la République de Guinée.</w:t>
            </w:r>
          </w:p>
        </w:tc>
        <w:tc>
          <w:tcPr>
            <w:tcW w:w="2411" w:type="pct"/>
            <w:tcBorders>
              <w:top w:val="single" w:sz="4" w:space="0" w:color="auto"/>
              <w:left w:val="single" w:sz="4" w:space="0" w:color="auto"/>
              <w:bottom w:val="single" w:sz="4" w:space="0" w:color="auto"/>
              <w:right w:val="single" w:sz="4" w:space="0" w:color="auto"/>
            </w:tcBorders>
            <w:hideMark/>
          </w:tcPr>
          <w:p w14:paraId="1F434576"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Le contrat de travail écrit ne peut être conclu qu’avec un individu ayant atteint l’âge minimum de seize (16) ans.</w:t>
            </w:r>
          </w:p>
        </w:tc>
      </w:tr>
      <w:tr w:rsidR="00194C65" w:rsidRPr="00B01850" w14:paraId="0ABB7001" w14:textId="77777777" w:rsidTr="00194C65">
        <w:trPr>
          <w:trHeight w:val="158"/>
        </w:trPr>
        <w:tc>
          <w:tcPr>
            <w:tcW w:w="845" w:type="pct"/>
            <w:vMerge w:val="restart"/>
            <w:tcBorders>
              <w:top w:val="single" w:sz="4" w:space="0" w:color="auto"/>
              <w:left w:val="single" w:sz="4" w:space="0" w:color="auto"/>
              <w:bottom w:val="single" w:sz="4" w:space="0" w:color="auto"/>
              <w:right w:val="single" w:sz="4" w:space="0" w:color="auto"/>
            </w:tcBorders>
            <w:hideMark/>
          </w:tcPr>
          <w:p w14:paraId="2AED0C10" w14:textId="77777777" w:rsidR="00194C65" w:rsidRPr="00B01850" w:rsidRDefault="00194C65" w:rsidP="009B3153">
            <w:pPr>
              <w:ind w:left="29"/>
              <w:rPr>
                <w:rFonts w:ascii="Arial" w:hAnsi="Arial" w:cs="Arial"/>
                <w:sz w:val="20"/>
                <w:szCs w:val="20"/>
              </w:rPr>
            </w:pPr>
            <w:r w:rsidRPr="00B01850">
              <w:rPr>
                <w:rFonts w:ascii="Arial" w:hAnsi="Arial" w:cs="Arial"/>
                <w:sz w:val="20"/>
                <w:szCs w:val="20"/>
              </w:rPr>
              <w:t>Sur le genre et le harcèlement sexuel</w:t>
            </w:r>
          </w:p>
        </w:tc>
        <w:tc>
          <w:tcPr>
            <w:tcW w:w="799" w:type="pct"/>
            <w:tcBorders>
              <w:top w:val="single" w:sz="4" w:space="0" w:color="auto"/>
              <w:left w:val="single" w:sz="4" w:space="0" w:color="auto"/>
              <w:bottom w:val="single" w:sz="4" w:space="0" w:color="auto"/>
              <w:right w:val="single" w:sz="4" w:space="0" w:color="auto"/>
            </w:tcBorders>
            <w:hideMark/>
          </w:tcPr>
          <w:p w14:paraId="62F47EE1" w14:textId="77777777" w:rsidR="00194C65" w:rsidRPr="00B01850" w:rsidRDefault="00194C65" w:rsidP="009B3153">
            <w:pPr>
              <w:spacing w:line="256" w:lineRule="auto"/>
              <w:rPr>
                <w:rFonts w:ascii="Arial" w:hAnsi="Arial" w:cs="Arial"/>
                <w:sz w:val="20"/>
                <w:szCs w:val="20"/>
              </w:rPr>
            </w:pPr>
            <w:r w:rsidRPr="00B01850">
              <w:rPr>
                <w:rFonts w:ascii="Arial" w:hAnsi="Arial" w:cs="Arial"/>
                <w:sz w:val="20"/>
                <w:szCs w:val="20"/>
              </w:rPr>
              <w:t>Charte de transition 2021</w:t>
            </w:r>
          </w:p>
        </w:tc>
        <w:tc>
          <w:tcPr>
            <w:tcW w:w="945" w:type="pct"/>
            <w:tcBorders>
              <w:top w:val="single" w:sz="4" w:space="0" w:color="auto"/>
              <w:left w:val="single" w:sz="4" w:space="0" w:color="auto"/>
              <w:bottom w:val="single" w:sz="4" w:space="0" w:color="auto"/>
              <w:right w:val="single" w:sz="4" w:space="0" w:color="auto"/>
            </w:tcBorders>
            <w:hideMark/>
          </w:tcPr>
          <w:p w14:paraId="58B45900"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RG, Charte de la Transition, Septembre 2021</w:t>
            </w:r>
          </w:p>
        </w:tc>
        <w:tc>
          <w:tcPr>
            <w:tcW w:w="2411" w:type="pct"/>
            <w:tcBorders>
              <w:top w:val="single" w:sz="4" w:space="0" w:color="auto"/>
              <w:left w:val="single" w:sz="4" w:space="0" w:color="auto"/>
              <w:bottom w:val="single" w:sz="4" w:space="0" w:color="auto"/>
              <w:right w:val="single" w:sz="4" w:space="0" w:color="auto"/>
            </w:tcBorders>
            <w:hideMark/>
          </w:tcPr>
          <w:p w14:paraId="19C737FC"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Cette charte de transition rappelle l’égalité des citoyens de Guinée en droits et en devoirs (article 9). Même si elle n’est pas explicite sur l’interdiction des violences sexuelles, des viols et de la traite des êtres humains, la charte interdit la torture et les peines ou les traitements cruels inhumains (article11)</w:t>
            </w:r>
          </w:p>
        </w:tc>
      </w:tr>
      <w:tr w:rsidR="00194C65" w:rsidRPr="00B01850" w14:paraId="57EBDE16" w14:textId="77777777" w:rsidTr="00194C65">
        <w:trPr>
          <w:trHeight w:val="1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C48558" w14:textId="77777777" w:rsidR="00194C65" w:rsidRPr="00B01850" w:rsidRDefault="00194C65" w:rsidP="009B3153">
            <w:pPr>
              <w:spacing w:line="256" w:lineRule="auto"/>
              <w:rPr>
                <w:rFonts w:ascii="Arial" w:hAnsi="Arial" w:cs="Arial"/>
                <w:sz w:val="20"/>
                <w:szCs w:val="20"/>
                <w:lang w:eastAsia="en-GB" w:bidi="en-GB"/>
              </w:rPr>
            </w:pPr>
          </w:p>
        </w:tc>
        <w:tc>
          <w:tcPr>
            <w:tcW w:w="799" w:type="pct"/>
            <w:tcBorders>
              <w:top w:val="single" w:sz="4" w:space="0" w:color="auto"/>
              <w:left w:val="single" w:sz="4" w:space="0" w:color="auto"/>
              <w:bottom w:val="single" w:sz="4" w:space="0" w:color="auto"/>
              <w:right w:val="single" w:sz="4" w:space="0" w:color="auto"/>
            </w:tcBorders>
            <w:hideMark/>
          </w:tcPr>
          <w:p w14:paraId="353C568A" w14:textId="77777777" w:rsidR="00194C65" w:rsidRPr="00B01850" w:rsidRDefault="00194C65" w:rsidP="009B3153">
            <w:pPr>
              <w:spacing w:line="256" w:lineRule="auto"/>
              <w:rPr>
                <w:rFonts w:ascii="Arial" w:hAnsi="Arial" w:cs="Arial"/>
                <w:sz w:val="20"/>
                <w:szCs w:val="20"/>
              </w:rPr>
            </w:pPr>
            <w:r w:rsidRPr="00B01850">
              <w:rPr>
                <w:rFonts w:ascii="Arial" w:hAnsi="Arial" w:cs="Arial"/>
                <w:sz w:val="20"/>
                <w:szCs w:val="20"/>
              </w:rPr>
              <w:t>Politique national genre de 2011 (PNG, révisée en 2018)</w:t>
            </w:r>
          </w:p>
        </w:tc>
        <w:tc>
          <w:tcPr>
            <w:tcW w:w="945" w:type="pct"/>
            <w:tcBorders>
              <w:top w:val="single" w:sz="4" w:space="0" w:color="auto"/>
              <w:left w:val="single" w:sz="4" w:space="0" w:color="auto"/>
              <w:bottom w:val="single" w:sz="4" w:space="0" w:color="auto"/>
              <w:right w:val="single" w:sz="4" w:space="0" w:color="auto"/>
            </w:tcBorders>
            <w:hideMark/>
          </w:tcPr>
          <w:p w14:paraId="66D0B03E"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RG et MASPFE, Politique Nationale du Genre révisée, Conakry, 2018.</w:t>
            </w:r>
          </w:p>
        </w:tc>
        <w:tc>
          <w:tcPr>
            <w:tcW w:w="2411" w:type="pct"/>
            <w:tcBorders>
              <w:top w:val="single" w:sz="4" w:space="0" w:color="auto"/>
              <w:left w:val="single" w:sz="4" w:space="0" w:color="auto"/>
              <w:bottom w:val="single" w:sz="4" w:space="0" w:color="auto"/>
              <w:right w:val="single" w:sz="4" w:space="0" w:color="auto"/>
            </w:tcBorders>
            <w:hideMark/>
          </w:tcPr>
          <w:p w14:paraId="6F0618A1"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Cette Politique nationale genre a été adoptée pour répondre aux disparités entre les hommes et les femmes au niveau de l'éducation, de l'emploi, de l'économie et des instances de décision. Le secteur minier est inclus dans cette politique avec la prise en compte des besoins des femmes en matière de Responsabilité sociale des Entreprises (RSE) et d’accès à l’emploi pour les communautés locales.</w:t>
            </w:r>
          </w:p>
        </w:tc>
      </w:tr>
      <w:tr w:rsidR="00194C65" w:rsidRPr="00B01850" w14:paraId="12873581" w14:textId="77777777" w:rsidTr="00194C65">
        <w:trPr>
          <w:trHeight w:val="1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EB3C6BD" w14:textId="77777777" w:rsidR="00194C65" w:rsidRPr="00B01850" w:rsidRDefault="00194C65" w:rsidP="009B3153">
            <w:pPr>
              <w:spacing w:line="256" w:lineRule="auto"/>
              <w:rPr>
                <w:rFonts w:ascii="Arial" w:hAnsi="Arial" w:cs="Arial"/>
                <w:sz w:val="20"/>
                <w:szCs w:val="20"/>
                <w:lang w:eastAsia="en-GB" w:bidi="en-GB"/>
              </w:rPr>
            </w:pPr>
          </w:p>
        </w:tc>
        <w:tc>
          <w:tcPr>
            <w:tcW w:w="799" w:type="pct"/>
            <w:tcBorders>
              <w:top w:val="single" w:sz="4" w:space="0" w:color="auto"/>
              <w:left w:val="single" w:sz="4" w:space="0" w:color="auto"/>
              <w:bottom w:val="single" w:sz="4" w:space="0" w:color="auto"/>
              <w:right w:val="single" w:sz="4" w:space="0" w:color="auto"/>
            </w:tcBorders>
            <w:hideMark/>
          </w:tcPr>
          <w:p w14:paraId="21DC04D9" w14:textId="77777777" w:rsidR="00194C65" w:rsidRPr="00B01850" w:rsidRDefault="00194C65" w:rsidP="009B3153">
            <w:pPr>
              <w:spacing w:line="256" w:lineRule="auto"/>
              <w:rPr>
                <w:rFonts w:ascii="Arial" w:hAnsi="Arial" w:cs="Arial"/>
                <w:sz w:val="20"/>
                <w:szCs w:val="20"/>
              </w:rPr>
            </w:pPr>
            <w:r w:rsidRPr="00B01850">
              <w:rPr>
                <w:rFonts w:ascii="Arial" w:hAnsi="Arial" w:cs="Arial"/>
                <w:sz w:val="20"/>
                <w:szCs w:val="20"/>
              </w:rPr>
              <w:t>Code pénal de 2016</w:t>
            </w:r>
          </w:p>
        </w:tc>
        <w:tc>
          <w:tcPr>
            <w:tcW w:w="945" w:type="pct"/>
            <w:tcBorders>
              <w:top w:val="single" w:sz="4" w:space="0" w:color="auto"/>
              <w:left w:val="single" w:sz="4" w:space="0" w:color="auto"/>
              <w:bottom w:val="single" w:sz="4" w:space="0" w:color="auto"/>
              <w:right w:val="single" w:sz="4" w:space="0" w:color="auto"/>
            </w:tcBorders>
            <w:hideMark/>
          </w:tcPr>
          <w:p w14:paraId="10B2B78D"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Loi N°2016/059/AN portant Code Pénal, Octobre 2016;</w:t>
            </w:r>
          </w:p>
        </w:tc>
        <w:tc>
          <w:tcPr>
            <w:tcW w:w="2411" w:type="pct"/>
            <w:tcBorders>
              <w:top w:val="single" w:sz="4" w:space="0" w:color="auto"/>
              <w:left w:val="single" w:sz="4" w:space="0" w:color="auto"/>
              <w:bottom w:val="single" w:sz="4" w:space="0" w:color="auto"/>
              <w:right w:val="single" w:sz="4" w:space="0" w:color="auto"/>
            </w:tcBorders>
            <w:hideMark/>
          </w:tcPr>
          <w:p w14:paraId="333850F9"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Ce Code prévoit des sanctions pour les cas de violences, coups et blessures volontaires entre époux. Ces sanctions sont énoncées de l’article 239 à l’article 243.</w:t>
            </w:r>
          </w:p>
        </w:tc>
      </w:tr>
      <w:tr w:rsidR="00194C65" w:rsidRPr="00B01850" w14:paraId="0F791B2A" w14:textId="77777777" w:rsidTr="00194C65">
        <w:trPr>
          <w:trHeight w:val="1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81C4F8E" w14:textId="77777777" w:rsidR="00194C65" w:rsidRPr="00B01850" w:rsidRDefault="00194C65" w:rsidP="009B3153">
            <w:pPr>
              <w:spacing w:line="256" w:lineRule="auto"/>
              <w:rPr>
                <w:rFonts w:ascii="Arial" w:hAnsi="Arial" w:cs="Arial"/>
                <w:sz w:val="20"/>
                <w:szCs w:val="20"/>
                <w:lang w:eastAsia="en-GB" w:bidi="en-GB"/>
              </w:rPr>
            </w:pPr>
          </w:p>
        </w:tc>
        <w:tc>
          <w:tcPr>
            <w:tcW w:w="799" w:type="pct"/>
            <w:tcBorders>
              <w:top w:val="single" w:sz="4" w:space="0" w:color="auto"/>
              <w:left w:val="single" w:sz="4" w:space="0" w:color="auto"/>
              <w:bottom w:val="single" w:sz="4" w:space="0" w:color="auto"/>
              <w:right w:val="single" w:sz="4" w:space="0" w:color="auto"/>
            </w:tcBorders>
            <w:hideMark/>
          </w:tcPr>
          <w:p w14:paraId="2124F58C" w14:textId="77777777" w:rsidR="00194C65" w:rsidRPr="00B01850" w:rsidRDefault="00194C65" w:rsidP="009B3153">
            <w:pPr>
              <w:spacing w:line="256" w:lineRule="auto"/>
              <w:rPr>
                <w:rFonts w:ascii="Arial" w:hAnsi="Arial" w:cs="Arial"/>
                <w:sz w:val="20"/>
                <w:szCs w:val="20"/>
              </w:rPr>
            </w:pPr>
            <w:r w:rsidRPr="00B01850">
              <w:rPr>
                <w:rFonts w:ascii="Arial" w:hAnsi="Arial" w:cs="Arial"/>
                <w:sz w:val="20"/>
                <w:szCs w:val="20"/>
              </w:rPr>
              <w:t>Articles 7, 8 et 9 du Code du Travail de la République de Guinée</w:t>
            </w:r>
          </w:p>
        </w:tc>
        <w:tc>
          <w:tcPr>
            <w:tcW w:w="945" w:type="pct"/>
            <w:tcBorders>
              <w:top w:val="single" w:sz="4" w:space="0" w:color="auto"/>
              <w:left w:val="single" w:sz="4" w:space="0" w:color="auto"/>
              <w:bottom w:val="single" w:sz="4" w:space="0" w:color="auto"/>
              <w:right w:val="single" w:sz="4" w:space="0" w:color="auto"/>
            </w:tcBorders>
            <w:hideMark/>
          </w:tcPr>
          <w:p w14:paraId="21ECB21C"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Loi L/2014/072/CNT du 10 janvier 2014, portant Code du Travail de la République de Guinée.</w:t>
            </w:r>
          </w:p>
        </w:tc>
        <w:tc>
          <w:tcPr>
            <w:tcW w:w="2411" w:type="pct"/>
            <w:tcBorders>
              <w:top w:val="single" w:sz="4" w:space="0" w:color="auto"/>
              <w:left w:val="single" w:sz="4" w:space="0" w:color="auto"/>
              <w:bottom w:val="single" w:sz="4" w:space="0" w:color="auto"/>
              <w:right w:val="single" w:sz="4" w:space="0" w:color="auto"/>
            </w:tcBorders>
            <w:hideMark/>
          </w:tcPr>
          <w:p w14:paraId="1079A322"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 xml:space="preserve">Sont considérées comme harcèlement moral au travail, les conduites abusives et répétées de toute origine, externe ou interne à l’entreprise qui se manifestent notamment par des comportements, des paroles, des intimidations, des actes, des gestes et des écrits unilatéraux, ayant pour objet ou pour effet de porter atteinte à la personnalité, la dignité ou l’intégrité physique ou psychique d’un employeur ou d’un travailleur en milieu de travail, de mettre en péril l’entreprise </w:t>
            </w:r>
            <w:r w:rsidRPr="00B01850">
              <w:rPr>
                <w:rFonts w:ascii="Arial" w:hAnsi="Arial" w:cs="Arial"/>
                <w:sz w:val="20"/>
                <w:szCs w:val="20"/>
              </w:rPr>
              <w:lastRenderedPageBreak/>
              <w:t>ou l’emploi ou de créer un environnement intimidant, hostile, dégradant, humiliant ou offensant ;</w:t>
            </w:r>
          </w:p>
          <w:p w14:paraId="2574035B"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 xml:space="preserve">Est considérée comme harcèlement sexuel toute forme de comportement verbal, non verbal ou corporel de nature sexuelle, qui affecte la dignité de femmes ou d’hommes en milieu du travail. Il en est de même pour toute conduite de nature sexuelle qui a pour effet de créer un environnement de travail intimidant, hostile ou humiliant pour une personne.  </w:t>
            </w:r>
          </w:p>
          <w:p w14:paraId="6EB16FC8"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Aucun travailleur ne peut être sanctionné ni licencié pour avoir subi ou refusé de subir les agissements de harcèlement sexuel d’un employeur, de son représentant ou de toute personne qui, abusant de l’autorité que lui confère sa position ou ses fonctions, a donné des ordres, proféré des menaces, imposé des contraintes ou exercé des pressions de toute nature sur ce travailleur, dans le but d’obtenir des faveurs de nature sexuelle à son profit ou au profit d’un tiers ;</w:t>
            </w:r>
          </w:p>
          <w:p w14:paraId="281A2E90"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Le plaignant ou la victime doit établir des faits qui permettent de présumer l’existence d’un harcèlement. Au vu de ces éléments, il incombe à la partie défenderesse de prouver que ces agissements ne sont pas constitutifs d’un harcèlement et que sa décision est justifiée par des éléments objectifs étrangers à tout harcèlement.</w:t>
            </w:r>
          </w:p>
        </w:tc>
      </w:tr>
      <w:tr w:rsidR="00194C65" w:rsidRPr="00B01850" w14:paraId="46902D85" w14:textId="77777777" w:rsidTr="00194C65">
        <w:trPr>
          <w:trHeight w:val="158"/>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413CD5C" w14:textId="77777777" w:rsidR="00194C65" w:rsidRPr="00B01850" w:rsidRDefault="00194C65" w:rsidP="009B3153">
            <w:pPr>
              <w:spacing w:line="256" w:lineRule="auto"/>
              <w:rPr>
                <w:rFonts w:ascii="Arial" w:hAnsi="Arial" w:cs="Arial"/>
                <w:sz w:val="20"/>
                <w:szCs w:val="20"/>
                <w:lang w:eastAsia="en-GB" w:bidi="en-GB"/>
              </w:rPr>
            </w:pPr>
          </w:p>
        </w:tc>
        <w:tc>
          <w:tcPr>
            <w:tcW w:w="799" w:type="pct"/>
            <w:tcBorders>
              <w:top w:val="single" w:sz="4" w:space="0" w:color="auto"/>
              <w:left w:val="single" w:sz="4" w:space="0" w:color="auto"/>
              <w:bottom w:val="single" w:sz="4" w:space="0" w:color="auto"/>
              <w:right w:val="single" w:sz="4" w:space="0" w:color="auto"/>
            </w:tcBorders>
            <w:hideMark/>
          </w:tcPr>
          <w:p w14:paraId="76BA179D" w14:textId="77777777" w:rsidR="00194C65" w:rsidRPr="00B01850" w:rsidRDefault="00194C65" w:rsidP="009B3153">
            <w:pPr>
              <w:spacing w:line="256" w:lineRule="auto"/>
              <w:rPr>
                <w:rFonts w:ascii="Arial" w:hAnsi="Arial" w:cs="Arial"/>
                <w:sz w:val="20"/>
                <w:szCs w:val="20"/>
              </w:rPr>
            </w:pPr>
            <w:r w:rsidRPr="00B01850">
              <w:rPr>
                <w:rFonts w:ascii="Arial" w:hAnsi="Arial" w:cs="Arial"/>
                <w:sz w:val="20"/>
                <w:szCs w:val="20"/>
              </w:rPr>
              <w:t>Stratégie nationale de lutte contre les violences basées sur le genre</w:t>
            </w:r>
          </w:p>
        </w:tc>
        <w:tc>
          <w:tcPr>
            <w:tcW w:w="945" w:type="pct"/>
            <w:tcBorders>
              <w:top w:val="single" w:sz="4" w:space="0" w:color="auto"/>
              <w:left w:val="single" w:sz="4" w:space="0" w:color="auto"/>
              <w:bottom w:val="single" w:sz="4" w:space="0" w:color="auto"/>
              <w:right w:val="single" w:sz="4" w:space="0" w:color="auto"/>
            </w:tcBorders>
            <w:hideMark/>
          </w:tcPr>
          <w:p w14:paraId="5C28D007"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RG, MASPFE, UNFPA et UNICEF, Document de Nationale de Lutte contre les Violences Basées sur le Genre, Conakry, 2017.</w:t>
            </w:r>
          </w:p>
        </w:tc>
        <w:tc>
          <w:tcPr>
            <w:tcW w:w="2411" w:type="pct"/>
            <w:tcBorders>
              <w:top w:val="single" w:sz="4" w:space="0" w:color="auto"/>
              <w:left w:val="single" w:sz="4" w:space="0" w:color="auto"/>
              <w:bottom w:val="single" w:sz="4" w:space="0" w:color="auto"/>
              <w:right w:val="single" w:sz="4" w:space="0" w:color="auto"/>
            </w:tcBorders>
            <w:hideMark/>
          </w:tcPr>
          <w:p w14:paraId="24C18F43"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Cette stratégie vise trois objectifs fondamentaux : l’élaboration d’une stratégie nationale, la rédaction et la mise en œuvre d’un plan d’action opérationnel et la définition du mandat de l’Observatoire national de lutte contre les violences basées sur le genre.</w:t>
            </w:r>
          </w:p>
          <w:p w14:paraId="30A1B457"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Cette stratégie a notamment permis de contribuer à la Mise en place d’un numéro vert (116) pour les besoins d’informations et d’assistance aux victimes des violences à l’égard des femmes et filles.</w:t>
            </w:r>
          </w:p>
        </w:tc>
      </w:tr>
      <w:tr w:rsidR="00194C65" w:rsidRPr="00B01850" w14:paraId="78F9150D" w14:textId="77777777" w:rsidTr="00194C65">
        <w:trPr>
          <w:trHeight w:val="695"/>
        </w:trPr>
        <w:tc>
          <w:tcPr>
            <w:tcW w:w="845" w:type="pct"/>
            <w:vMerge w:val="restart"/>
            <w:tcBorders>
              <w:top w:val="single" w:sz="4" w:space="0" w:color="auto"/>
              <w:left w:val="single" w:sz="4" w:space="0" w:color="auto"/>
              <w:bottom w:val="single" w:sz="4" w:space="0" w:color="auto"/>
              <w:right w:val="single" w:sz="4" w:space="0" w:color="auto"/>
            </w:tcBorders>
            <w:hideMark/>
          </w:tcPr>
          <w:p w14:paraId="242F1ED6" w14:textId="77777777" w:rsidR="00194C65" w:rsidRPr="00B01850" w:rsidRDefault="00194C65" w:rsidP="009B3153">
            <w:pPr>
              <w:rPr>
                <w:rFonts w:ascii="Arial" w:hAnsi="Arial" w:cs="Arial"/>
                <w:sz w:val="20"/>
                <w:szCs w:val="20"/>
              </w:rPr>
            </w:pPr>
            <w:r w:rsidRPr="00B01850">
              <w:rPr>
                <w:rFonts w:ascii="Arial" w:hAnsi="Arial" w:cs="Arial"/>
                <w:sz w:val="20"/>
                <w:szCs w:val="20"/>
              </w:rPr>
              <w:t>Sur la sécurité sociale</w:t>
            </w:r>
          </w:p>
        </w:tc>
        <w:tc>
          <w:tcPr>
            <w:tcW w:w="799" w:type="pct"/>
            <w:tcBorders>
              <w:top w:val="single" w:sz="4" w:space="0" w:color="auto"/>
              <w:left w:val="single" w:sz="4" w:space="0" w:color="auto"/>
              <w:bottom w:val="single" w:sz="4" w:space="0" w:color="auto"/>
              <w:right w:val="single" w:sz="4" w:space="0" w:color="auto"/>
            </w:tcBorders>
            <w:hideMark/>
          </w:tcPr>
          <w:p w14:paraId="3EBEB136" w14:textId="77777777" w:rsidR="00194C65" w:rsidRPr="00B01850" w:rsidRDefault="00194C65" w:rsidP="009B3153">
            <w:pPr>
              <w:spacing w:line="232" w:lineRule="auto"/>
              <w:rPr>
                <w:rFonts w:ascii="Arial" w:hAnsi="Arial" w:cs="Arial"/>
                <w:sz w:val="20"/>
                <w:szCs w:val="20"/>
              </w:rPr>
            </w:pPr>
            <w:r w:rsidRPr="00B01850">
              <w:rPr>
                <w:rFonts w:ascii="Arial" w:hAnsi="Arial" w:cs="Arial"/>
                <w:sz w:val="20"/>
                <w:szCs w:val="20"/>
              </w:rPr>
              <w:t xml:space="preserve">Articles 63 et 64 de la Loi L /94/006/CTRN DU 14 </w:t>
            </w:r>
            <w:r w:rsidRPr="00B01850">
              <w:rPr>
                <w:rFonts w:ascii="Arial" w:hAnsi="Arial" w:cs="Arial"/>
                <w:sz w:val="20"/>
                <w:szCs w:val="20"/>
              </w:rPr>
              <w:lastRenderedPageBreak/>
              <w:t>FEVRIER 1994 portant Code de Sécurité Sociale</w:t>
            </w:r>
          </w:p>
        </w:tc>
        <w:tc>
          <w:tcPr>
            <w:tcW w:w="945" w:type="pct"/>
            <w:tcBorders>
              <w:top w:val="single" w:sz="4" w:space="0" w:color="auto"/>
              <w:left w:val="single" w:sz="4" w:space="0" w:color="auto"/>
              <w:bottom w:val="single" w:sz="4" w:space="0" w:color="auto"/>
              <w:right w:val="single" w:sz="4" w:space="0" w:color="auto"/>
            </w:tcBorders>
          </w:tcPr>
          <w:p w14:paraId="34A14AAC" w14:textId="77777777" w:rsidR="00194C65" w:rsidRPr="00B01850" w:rsidRDefault="00194C65" w:rsidP="009B3153">
            <w:pPr>
              <w:spacing w:line="256" w:lineRule="auto"/>
              <w:ind w:right="34"/>
              <w:jc w:val="both"/>
              <w:rPr>
                <w:rFonts w:ascii="Arial" w:hAnsi="Arial" w:cs="Arial"/>
                <w:sz w:val="20"/>
                <w:szCs w:val="20"/>
              </w:rPr>
            </w:pPr>
          </w:p>
        </w:tc>
        <w:tc>
          <w:tcPr>
            <w:tcW w:w="2411" w:type="pct"/>
            <w:tcBorders>
              <w:top w:val="single" w:sz="4" w:space="0" w:color="auto"/>
              <w:left w:val="single" w:sz="4" w:space="0" w:color="auto"/>
              <w:bottom w:val="single" w:sz="4" w:space="0" w:color="auto"/>
              <w:right w:val="single" w:sz="4" w:space="0" w:color="auto"/>
            </w:tcBorders>
            <w:vAlign w:val="center"/>
            <w:hideMark/>
          </w:tcPr>
          <w:p w14:paraId="2ABA6B19" w14:textId="77777777" w:rsidR="00194C65" w:rsidRPr="00B01850" w:rsidRDefault="00194C65" w:rsidP="009B3153">
            <w:pPr>
              <w:spacing w:line="256" w:lineRule="auto"/>
              <w:ind w:right="34"/>
              <w:jc w:val="both"/>
              <w:rPr>
                <w:rFonts w:ascii="Arial" w:hAnsi="Arial" w:cs="Arial"/>
                <w:sz w:val="20"/>
                <w:szCs w:val="20"/>
              </w:rPr>
            </w:pPr>
            <w:r w:rsidRPr="00B01850">
              <w:rPr>
                <w:rFonts w:ascii="Arial" w:hAnsi="Arial" w:cs="Arial"/>
                <w:sz w:val="20"/>
                <w:szCs w:val="20"/>
              </w:rPr>
              <w:t xml:space="preserve">Est considéré comme accident du travail, quelle qu'en soit la cause, l'accident survenu à un travailleur par le fait ou à l'occasion du travail, </w:t>
            </w:r>
            <w:r w:rsidRPr="00B01850">
              <w:rPr>
                <w:rFonts w:ascii="Arial" w:hAnsi="Arial" w:cs="Arial"/>
                <w:sz w:val="20"/>
                <w:szCs w:val="20"/>
              </w:rPr>
              <w:lastRenderedPageBreak/>
              <w:t xml:space="preserve">qu'il y ait ou non faute de sa part, est assimilé à un accident du travail. L'accident survenu à un travailleur pendant le trajet d'aller et de retour entre :  </w:t>
            </w:r>
          </w:p>
          <w:p w14:paraId="4CAB63EA" w14:textId="77777777" w:rsidR="00194C65" w:rsidRPr="00B01850" w:rsidRDefault="00194C65" w:rsidP="00214DCC">
            <w:pPr>
              <w:pStyle w:val="ListParagraph"/>
              <w:numPr>
                <w:ilvl w:val="0"/>
                <w:numId w:val="66"/>
              </w:numPr>
              <w:spacing w:after="0" w:line="240" w:lineRule="auto"/>
              <w:ind w:left="176" w:right="34" w:hanging="219"/>
              <w:jc w:val="both"/>
              <w:rPr>
                <w:rFonts w:ascii="Arial" w:hAnsi="Arial" w:cs="Arial"/>
                <w:sz w:val="20"/>
                <w:szCs w:val="20"/>
              </w:rPr>
            </w:pPr>
            <w:r w:rsidRPr="00B01850">
              <w:rPr>
                <w:rFonts w:ascii="Arial" w:hAnsi="Arial" w:cs="Arial"/>
                <w:sz w:val="20"/>
                <w:szCs w:val="20"/>
              </w:rPr>
              <w:t>Sa résidence principale, une résidence secondaire présentant un certain caractère de stabilité ou tout autre lieu où le travailleur se rend de façon habituelle pour des motifs d'ordre familial et le lieu où il effectue son travail ou perçoit sa rémunération ;</w:t>
            </w:r>
          </w:p>
          <w:p w14:paraId="6624ECEF" w14:textId="77777777" w:rsidR="00194C65" w:rsidRPr="00B01850" w:rsidRDefault="00194C65" w:rsidP="00214DCC">
            <w:pPr>
              <w:pStyle w:val="ListParagraph"/>
              <w:numPr>
                <w:ilvl w:val="0"/>
                <w:numId w:val="66"/>
              </w:numPr>
              <w:spacing w:after="0" w:line="240" w:lineRule="auto"/>
              <w:ind w:left="176" w:right="34" w:hanging="219"/>
              <w:jc w:val="both"/>
              <w:rPr>
                <w:rFonts w:ascii="Arial" w:hAnsi="Arial" w:cs="Arial"/>
                <w:sz w:val="20"/>
                <w:szCs w:val="20"/>
              </w:rPr>
            </w:pPr>
            <w:r w:rsidRPr="00B01850">
              <w:rPr>
                <w:rFonts w:ascii="Arial" w:hAnsi="Arial" w:cs="Arial"/>
                <w:sz w:val="20"/>
                <w:szCs w:val="20"/>
              </w:rPr>
              <w:t xml:space="preserve">Le lieu du travail et le restaurant, la cantine et d'une manière générale le lieu où le travailleur prend habituellement ses repas; dans la mesure où le parcours n'a pas été interrompu ou détourné par un motif d'intérêt personnel ou indépendant de l'emploi.  </w:t>
            </w:r>
          </w:p>
          <w:p w14:paraId="31A2805D" w14:textId="77777777" w:rsidR="00194C65" w:rsidRPr="00B01850" w:rsidRDefault="00194C65" w:rsidP="00214DCC">
            <w:pPr>
              <w:pStyle w:val="ListParagraph"/>
              <w:numPr>
                <w:ilvl w:val="0"/>
                <w:numId w:val="66"/>
              </w:numPr>
              <w:spacing w:after="0" w:line="240" w:lineRule="auto"/>
              <w:ind w:left="176" w:right="34" w:hanging="219"/>
              <w:jc w:val="both"/>
              <w:rPr>
                <w:rFonts w:ascii="Arial" w:hAnsi="Arial" w:cs="Arial"/>
                <w:sz w:val="20"/>
                <w:szCs w:val="20"/>
              </w:rPr>
            </w:pPr>
            <w:r w:rsidRPr="00B01850">
              <w:rPr>
                <w:rFonts w:ascii="Arial" w:hAnsi="Arial" w:cs="Arial"/>
                <w:sz w:val="20"/>
                <w:szCs w:val="20"/>
              </w:rPr>
              <w:t>L'accident survenu à un travailleur pendant un voyage dont les frais sont à la charge de l'employeur en application du code du travail. Article 64: Est considérée comme maladie professionnelle toute maladie causée par le fait ou à l'occasion du travail.</w:t>
            </w:r>
          </w:p>
          <w:p w14:paraId="42234D12" w14:textId="77777777" w:rsidR="00194C65" w:rsidRPr="00B01850" w:rsidRDefault="00194C65" w:rsidP="009B3153">
            <w:pPr>
              <w:spacing w:line="256" w:lineRule="auto"/>
              <w:ind w:left="-43" w:right="34"/>
              <w:jc w:val="both"/>
              <w:rPr>
                <w:rFonts w:ascii="Arial" w:hAnsi="Arial" w:cs="Arial"/>
                <w:sz w:val="20"/>
                <w:szCs w:val="20"/>
              </w:rPr>
            </w:pPr>
            <w:r w:rsidRPr="00B01850">
              <w:rPr>
                <w:rFonts w:ascii="Arial" w:hAnsi="Arial" w:cs="Arial"/>
                <w:sz w:val="20"/>
                <w:szCs w:val="20"/>
              </w:rPr>
              <w:t xml:space="preserve">Est considérée comme maladie professionnelle toute maladie causée par le fait ou à l'occasion du travail.  </w:t>
            </w:r>
          </w:p>
          <w:p w14:paraId="5F508AD9" w14:textId="77777777" w:rsidR="00194C65" w:rsidRPr="00B01850" w:rsidRDefault="00194C65" w:rsidP="009B3153">
            <w:pPr>
              <w:spacing w:line="256" w:lineRule="auto"/>
              <w:ind w:left="-43" w:right="34"/>
              <w:jc w:val="both"/>
              <w:rPr>
                <w:rFonts w:ascii="Arial" w:hAnsi="Arial" w:cs="Arial"/>
                <w:sz w:val="20"/>
                <w:szCs w:val="20"/>
              </w:rPr>
            </w:pPr>
            <w:r w:rsidRPr="00B01850">
              <w:rPr>
                <w:rFonts w:ascii="Arial" w:hAnsi="Arial" w:cs="Arial"/>
                <w:sz w:val="20"/>
                <w:szCs w:val="20"/>
              </w:rPr>
              <w:t xml:space="preserve">La procédure de réparation des accidents du travail et des maladies professionnelles est prévue par les dispositions réglementaires nationales en la matière.  </w:t>
            </w:r>
          </w:p>
          <w:p w14:paraId="2FEB8278" w14:textId="77777777" w:rsidR="00194C65" w:rsidRPr="00B01850" w:rsidRDefault="00194C65" w:rsidP="009B3153">
            <w:pPr>
              <w:spacing w:line="256" w:lineRule="auto"/>
              <w:ind w:left="-43" w:right="34"/>
              <w:jc w:val="both"/>
              <w:rPr>
                <w:rFonts w:ascii="Arial" w:hAnsi="Arial" w:cs="Arial"/>
                <w:sz w:val="20"/>
                <w:szCs w:val="20"/>
              </w:rPr>
            </w:pPr>
            <w:r w:rsidRPr="00B01850">
              <w:rPr>
                <w:rFonts w:ascii="Arial" w:hAnsi="Arial" w:cs="Arial"/>
                <w:sz w:val="20"/>
                <w:szCs w:val="20"/>
              </w:rPr>
              <w:t>En dehors des accidents de travail et maladies professionnelles, il existe d’autres risques notamment les travaux forcés, l’exploitation des enfants et autres incidents (par exemple les violences basées sur le genre). Les incidents de travail (parfois considérés comme accidents par certains) sont des évènements inattendus exerçant une faible influence (à la différence de l’accident qui en a une forte) ou évènement peu important en lui-même.</w:t>
            </w:r>
          </w:p>
        </w:tc>
      </w:tr>
      <w:tr w:rsidR="00194C65" w:rsidRPr="00B01850" w14:paraId="1496343A" w14:textId="77777777" w:rsidTr="00194C65">
        <w:trPr>
          <w:trHeight w:val="69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6A97D4D" w14:textId="77777777" w:rsidR="00194C65" w:rsidRPr="00B01850" w:rsidRDefault="00194C65" w:rsidP="009B3153">
            <w:pPr>
              <w:spacing w:line="256" w:lineRule="auto"/>
              <w:rPr>
                <w:rFonts w:ascii="Arial" w:hAnsi="Arial" w:cs="Arial"/>
                <w:sz w:val="20"/>
                <w:szCs w:val="20"/>
                <w:lang w:eastAsia="en-GB" w:bidi="en-GB"/>
              </w:rPr>
            </w:pPr>
          </w:p>
        </w:tc>
        <w:tc>
          <w:tcPr>
            <w:tcW w:w="799" w:type="pct"/>
            <w:tcBorders>
              <w:top w:val="single" w:sz="4" w:space="0" w:color="auto"/>
              <w:left w:val="single" w:sz="4" w:space="0" w:color="auto"/>
              <w:bottom w:val="single" w:sz="4" w:space="0" w:color="auto"/>
              <w:right w:val="single" w:sz="4" w:space="0" w:color="auto"/>
            </w:tcBorders>
            <w:hideMark/>
          </w:tcPr>
          <w:p w14:paraId="2F38A3E7" w14:textId="77777777" w:rsidR="00194C65" w:rsidRPr="00B01850" w:rsidRDefault="00194C65" w:rsidP="009B3153">
            <w:pPr>
              <w:spacing w:line="232" w:lineRule="auto"/>
              <w:rPr>
                <w:rFonts w:ascii="Arial" w:hAnsi="Arial" w:cs="Arial"/>
                <w:sz w:val="20"/>
                <w:szCs w:val="20"/>
              </w:rPr>
            </w:pPr>
            <w:r w:rsidRPr="00B01850">
              <w:rPr>
                <w:rFonts w:ascii="Arial" w:hAnsi="Arial" w:cs="Arial"/>
                <w:sz w:val="20"/>
                <w:szCs w:val="20"/>
              </w:rPr>
              <w:t xml:space="preserve">Articles 135.14, 152.1, 153.3 du Code du Travail de la </w:t>
            </w:r>
            <w:r w:rsidRPr="00B01850">
              <w:rPr>
                <w:rFonts w:ascii="Arial" w:hAnsi="Arial" w:cs="Arial"/>
                <w:sz w:val="20"/>
                <w:szCs w:val="20"/>
              </w:rPr>
              <w:lastRenderedPageBreak/>
              <w:t>République de Guinée</w:t>
            </w:r>
          </w:p>
        </w:tc>
        <w:tc>
          <w:tcPr>
            <w:tcW w:w="945" w:type="pct"/>
            <w:tcBorders>
              <w:top w:val="single" w:sz="4" w:space="0" w:color="auto"/>
              <w:left w:val="single" w:sz="4" w:space="0" w:color="auto"/>
              <w:bottom w:val="single" w:sz="4" w:space="0" w:color="auto"/>
              <w:right w:val="single" w:sz="4" w:space="0" w:color="auto"/>
            </w:tcBorders>
            <w:hideMark/>
          </w:tcPr>
          <w:p w14:paraId="2AF49FD9" w14:textId="77777777" w:rsidR="00194C65" w:rsidRPr="00B01850" w:rsidRDefault="00194C65" w:rsidP="009B3153">
            <w:pPr>
              <w:spacing w:line="256" w:lineRule="auto"/>
              <w:ind w:right="34"/>
              <w:jc w:val="both"/>
              <w:rPr>
                <w:rFonts w:ascii="Arial" w:hAnsi="Arial" w:cs="Arial"/>
                <w:sz w:val="20"/>
                <w:szCs w:val="20"/>
              </w:rPr>
            </w:pPr>
            <w:r w:rsidRPr="00B01850">
              <w:rPr>
                <w:rFonts w:ascii="Arial" w:hAnsi="Arial" w:cs="Arial"/>
                <w:sz w:val="20"/>
                <w:szCs w:val="20"/>
              </w:rPr>
              <w:lastRenderedPageBreak/>
              <w:t xml:space="preserve">Loi L/2014/072/CNT du 10 janvier 2014, portant Code du Travail </w:t>
            </w:r>
            <w:r w:rsidRPr="00B01850">
              <w:rPr>
                <w:rFonts w:ascii="Arial" w:hAnsi="Arial" w:cs="Arial"/>
                <w:sz w:val="20"/>
                <w:szCs w:val="20"/>
              </w:rPr>
              <w:lastRenderedPageBreak/>
              <w:t>de la République de Guinée.</w:t>
            </w:r>
          </w:p>
        </w:tc>
        <w:tc>
          <w:tcPr>
            <w:tcW w:w="2411" w:type="pct"/>
            <w:tcBorders>
              <w:top w:val="single" w:sz="4" w:space="0" w:color="auto"/>
              <w:left w:val="single" w:sz="4" w:space="0" w:color="auto"/>
              <w:bottom w:val="single" w:sz="4" w:space="0" w:color="auto"/>
              <w:right w:val="single" w:sz="4" w:space="0" w:color="auto"/>
            </w:tcBorders>
            <w:vAlign w:val="center"/>
            <w:hideMark/>
          </w:tcPr>
          <w:p w14:paraId="05A513E3" w14:textId="77777777" w:rsidR="00194C65" w:rsidRPr="00B01850" w:rsidRDefault="00194C65" w:rsidP="009B3153">
            <w:pPr>
              <w:spacing w:line="256" w:lineRule="auto"/>
              <w:ind w:right="34"/>
              <w:jc w:val="both"/>
              <w:rPr>
                <w:rFonts w:ascii="Arial" w:hAnsi="Arial" w:cs="Arial"/>
                <w:sz w:val="20"/>
                <w:szCs w:val="20"/>
              </w:rPr>
            </w:pPr>
            <w:r w:rsidRPr="00B01850">
              <w:rPr>
                <w:rFonts w:ascii="Arial" w:hAnsi="Arial" w:cs="Arial"/>
                <w:sz w:val="20"/>
                <w:szCs w:val="20"/>
              </w:rPr>
              <w:lastRenderedPageBreak/>
              <w:t>Les entreprises ou les sociétés sous-traitantes sont soumises aux dispositions du Code de la Sécurité Sociale et peuvent souscrire leurs assurances auprès des sociétés d’assurances installées en République de Guinée ;</w:t>
            </w:r>
          </w:p>
          <w:p w14:paraId="28F8ACF4" w14:textId="77777777" w:rsidR="00194C65" w:rsidRPr="00B01850" w:rsidRDefault="00194C65" w:rsidP="009B3153">
            <w:pPr>
              <w:spacing w:line="256" w:lineRule="auto"/>
              <w:ind w:right="34"/>
              <w:jc w:val="both"/>
              <w:rPr>
                <w:rFonts w:ascii="Arial" w:hAnsi="Arial" w:cs="Arial"/>
                <w:sz w:val="20"/>
                <w:szCs w:val="20"/>
              </w:rPr>
            </w:pPr>
            <w:r w:rsidRPr="00B01850">
              <w:rPr>
                <w:rFonts w:ascii="Arial" w:hAnsi="Arial" w:cs="Arial"/>
                <w:sz w:val="20"/>
                <w:szCs w:val="20"/>
              </w:rPr>
              <w:lastRenderedPageBreak/>
              <w:t xml:space="preserve">Le contrat de travail du salarié victime d’un accident du travail ou d’une maladie professionnelle est suspendu pendant toute la durée de l’arrêt de travail provoqué par l’accident ou la maladie. L’accident de trajet est assimilé à un accident du travail pour l’application des présentes dispositions. L’employeur est tenu de faire la déclaration à l’organisme chargé de la Sécurité Sociale et d’informer l’inspecteur du travail des accidents et maladies professionnelles dans les quarante-huit heures de la survenance de l’accident ou de la maladie professionnelle, faute de quoi il supportera les frais inhérents aux traitements liés à l’accident du travail ou à la maladie professionnelle. </w:t>
            </w:r>
          </w:p>
          <w:p w14:paraId="670FDD09" w14:textId="77777777" w:rsidR="00194C65" w:rsidRPr="00B01850" w:rsidRDefault="00194C65" w:rsidP="009B3153">
            <w:pPr>
              <w:spacing w:line="256" w:lineRule="auto"/>
              <w:ind w:right="34"/>
              <w:jc w:val="both"/>
              <w:rPr>
                <w:rFonts w:ascii="Arial" w:hAnsi="Arial" w:cs="Arial"/>
                <w:sz w:val="20"/>
                <w:szCs w:val="20"/>
              </w:rPr>
            </w:pPr>
            <w:r w:rsidRPr="00B01850">
              <w:rPr>
                <w:rFonts w:ascii="Arial" w:hAnsi="Arial" w:cs="Arial"/>
                <w:sz w:val="20"/>
                <w:szCs w:val="20"/>
              </w:rPr>
              <w:t>La durée des périodes de suspension est prise en compte pour la détermination de tous les avantages légaux ou conventionnels liés à l’ancienneté dans l’entreprise ;</w:t>
            </w:r>
          </w:p>
          <w:p w14:paraId="669F9EA6" w14:textId="77777777" w:rsidR="00194C65" w:rsidRPr="00B01850" w:rsidRDefault="00194C65" w:rsidP="009B3153">
            <w:pPr>
              <w:spacing w:line="256" w:lineRule="auto"/>
              <w:ind w:right="34"/>
              <w:jc w:val="both"/>
              <w:rPr>
                <w:rFonts w:ascii="Arial" w:hAnsi="Arial" w:cs="Arial"/>
                <w:sz w:val="20"/>
                <w:szCs w:val="20"/>
              </w:rPr>
            </w:pPr>
            <w:r w:rsidRPr="00B01850">
              <w:rPr>
                <w:rFonts w:ascii="Arial" w:hAnsi="Arial" w:cs="Arial"/>
                <w:sz w:val="20"/>
                <w:szCs w:val="20"/>
              </w:rPr>
              <w:t>La femme salariée à droit, pendant le congé de maternité, aux soins médicaux conformément à la réglementation en vigueur. Elle bénéficie en plus de la moitié du salaire qu’elle percevait au moment de la suspension du travail</w:t>
            </w:r>
          </w:p>
        </w:tc>
      </w:tr>
      <w:tr w:rsidR="00194C65" w:rsidRPr="00B01850" w14:paraId="34B1C583" w14:textId="77777777" w:rsidTr="00194C65">
        <w:trPr>
          <w:trHeight w:val="705"/>
        </w:trPr>
        <w:tc>
          <w:tcPr>
            <w:tcW w:w="845" w:type="pct"/>
            <w:tcBorders>
              <w:top w:val="single" w:sz="4" w:space="0" w:color="auto"/>
              <w:left w:val="single" w:sz="4" w:space="0" w:color="auto"/>
              <w:bottom w:val="single" w:sz="4" w:space="0" w:color="auto"/>
              <w:right w:val="single" w:sz="4" w:space="0" w:color="auto"/>
            </w:tcBorders>
            <w:hideMark/>
          </w:tcPr>
          <w:p w14:paraId="615E5A74" w14:textId="77777777" w:rsidR="00194C65" w:rsidRPr="00B01850" w:rsidRDefault="00194C65" w:rsidP="009B3153">
            <w:pPr>
              <w:rPr>
                <w:rFonts w:ascii="Arial" w:hAnsi="Arial" w:cs="Arial"/>
                <w:sz w:val="20"/>
                <w:szCs w:val="20"/>
              </w:rPr>
            </w:pPr>
            <w:r w:rsidRPr="00B01850">
              <w:rPr>
                <w:rFonts w:ascii="Arial" w:hAnsi="Arial" w:cs="Arial"/>
                <w:sz w:val="20"/>
                <w:szCs w:val="20"/>
              </w:rPr>
              <w:lastRenderedPageBreak/>
              <w:t>Sur la durée normale de travail</w:t>
            </w:r>
          </w:p>
        </w:tc>
        <w:tc>
          <w:tcPr>
            <w:tcW w:w="799" w:type="pct"/>
            <w:tcBorders>
              <w:top w:val="single" w:sz="4" w:space="0" w:color="auto"/>
              <w:left w:val="single" w:sz="4" w:space="0" w:color="auto"/>
              <w:bottom w:val="single" w:sz="4" w:space="0" w:color="auto"/>
              <w:right w:val="single" w:sz="4" w:space="0" w:color="auto"/>
            </w:tcBorders>
          </w:tcPr>
          <w:p w14:paraId="7BC0F59E" w14:textId="77777777" w:rsidR="00194C65" w:rsidRPr="00B01850" w:rsidRDefault="00194C65" w:rsidP="009B3153">
            <w:pPr>
              <w:spacing w:line="256" w:lineRule="auto"/>
              <w:rPr>
                <w:rFonts w:ascii="Arial" w:hAnsi="Arial" w:cs="Arial"/>
                <w:sz w:val="20"/>
                <w:szCs w:val="20"/>
              </w:rPr>
            </w:pPr>
            <w:r w:rsidRPr="00B01850">
              <w:rPr>
                <w:rFonts w:ascii="Arial" w:hAnsi="Arial" w:cs="Arial"/>
                <w:sz w:val="20"/>
                <w:szCs w:val="20"/>
              </w:rPr>
              <w:t>Article 221.1 du Code de Travail de la Guinée</w:t>
            </w:r>
          </w:p>
          <w:p w14:paraId="349BBAAA" w14:textId="77777777" w:rsidR="00194C65" w:rsidRPr="00B01850" w:rsidRDefault="00194C65" w:rsidP="009B3153">
            <w:pPr>
              <w:ind w:left="108"/>
              <w:rPr>
                <w:rFonts w:ascii="Arial" w:hAnsi="Arial" w:cs="Arial"/>
                <w:sz w:val="20"/>
                <w:szCs w:val="20"/>
              </w:rPr>
            </w:pPr>
          </w:p>
        </w:tc>
        <w:tc>
          <w:tcPr>
            <w:tcW w:w="945" w:type="pct"/>
            <w:tcBorders>
              <w:top w:val="single" w:sz="4" w:space="0" w:color="auto"/>
              <w:left w:val="single" w:sz="4" w:space="0" w:color="auto"/>
              <w:bottom w:val="single" w:sz="4" w:space="0" w:color="auto"/>
              <w:right w:val="single" w:sz="4" w:space="0" w:color="auto"/>
            </w:tcBorders>
            <w:hideMark/>
          </w:tcPr>
          <w:p w14:paraId="5554E6CB"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Loi L/2014/072/CNT du 10 janvier 2014, portant Code du Travail de la République de Guinée.</w:t>
            </w:r>
          </w:p>
        </w:tc>
        <w:tc>
          <w:tcPr>
            <w:tcW w:w="2411" w:type="pct"/>
            <w:tcBorders>
              <w:top w:val="single" w:sz="4" w:space="0" w:color="auto"/>
              <w:left w:val="single" w:sz="4" w:space="0" w:color="auto"/>
              <w:bottom w:val="single" w:sz="4" w:space="0" w:color="auto"/>
              <w:right w:val="single" w:sz="4" w:space="0" w:color="auto"/>
            </w:tcBorders>
            <w:vAlign w:val="center"/>
            <w:hideMark/>
          </w:tcPr>
          <w:p w14:paraId="3526EE30"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 xml:space="preserve">Cet article dispose que dans tous les établissements privés, la durée du travail effectif des salariés est habituellement de quarante heures par semaine.  </w:t>
            </w:r>
          </w:p>
          <w:p w14:paraId="318C6541"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 xml:space="preserve">L’employeur et le salarié peuvent cependant conclure un contrat de travail prévoyant une durée inférieur à quarante heures, le contrat étant alors un contrat de travail à temps partiel.  </w:t>
            </w:r>
          </w:p>
          <w:p w14:paraId="721542D4" w14:textId="77777777" w:rsidR="00194C65" w:rsidRPr="00B01850" w:rsidRDefault="00194C65" w:rsidP="009B3153">
            <w:pPr>
              <w:spacing w:line="256" w:lineRule="auto"/>
              <w:jc w:val="both"/>
              <w:rPr>
                <w:rFonts w:ascii="Arial" w:hAnsi="Arial" w:cs="Arial"/>
                <w:sz w:val="20"/>
                <w:szCs w:val="20"/>
              </w:rPr>
            </w:pPr>
            <w:r w:rsidRPr="00B01850">
              <w:rPr>
                <w:rFonts w:ascii="Arial" w:hAnsi="Arial" w:cs="Arial"/>
                <w:sz w:val="20"/>
                <w:szCs w:val="20"/>
              </w:rPr>
              <w:t>L’employeur peut également imposer au salarié plus de quarante heures par semaine par application des règles d’équivalence, de récupération, de modulation ou d’heures supplémentaires</w:t>
            </w:r>
          </w:p>
        </w:tc>
      </w:tr>
      <w:tr w:rsidR="00194C65" w:rsidRPr="00B01850" w14:paraId="6855F0C0" w14:textId="77777777" w:rsidTr="00194C65">
        <w:trPr>
          <w:trHeight w:val="907"/>
        </w:trPr>
        <w:tc>
          <w:tcPr>
            <w:tcW w:w="845" w:type="pct"/>
            <w:tcBorders>
              <w:top w:val="single" w:sz="4" w:space="0" w:color="auto"/>
              <w:left w:val="single" w:sz="4" w:space="0" w:color="auto"/>
              <w:bottom w:val="single" w:sz="4" w:space="0" w:color="auto"/>
              <w:right w:val="single" w:sz="4" w:space="0" w:color="auto"/>
            </w:tcBorders>
            <w:hideMark/>
          </w:tcPr>
          <w:p w14:paraId="22F30E3B" w14:textId="77777777" w:rsidR="00194C65" w:rsidRPr="00B01850" w:rsidRDefault="00194C65" w:rsidP="009B3153">
            <w:pPr>
              <w:rPr>
                <w:rFonts w:ascii="Arial" w:hAnsi="Arial" w:cs="Arial"/>
                <w:sz w:val="20"/>
                <w:szCs w:val="20"/>
              </w:rPr>
            </w:pPr>
            <w:r w:rsidRPr="00B01850">
              <w:rPr>
                <w:rFonts w:ascii="Arial" w:hAnsi="Arial" w:cs="Arial"/>
                <w:sz w:val="20"/>
                <w:szCs w:val="20"/>
              </w:rPr>
              <w:t>Sur les avantages sociaux</w:t>
            </w:r>
          </w:p>
        </w:tc>
        <w:tc>
          <w:tcPr>
            <w:tcW w:w="799" w:type="pct"/>
            <w:tcBorders>
              <w:top w:val="single" w:sz="4" w:space="0" w:color="auto"/>
              <w:left w:val="single" w:sz="4" w:space="0" w:color="auto"/>
              <w:bottom w:val="single" w:sz="4" w:space="0" w:color="auto"/>
              <w:right w:val="single" w:sz="4" w:space="0" w:color="auto"/>
            </w:tcBorders>
            <w:hideMark/>
          </w:tcPr>
          <w:p w14:paraId="6175A687" w14:textId="77777777" w:rsidR="00194C65" w:rsidRPr="00B01850" w:rsidRDefault="00194C65" w:rsidP="009B3153">
            <w:pPr>
              <w:spacing w:line="256" w:lineRule="auto"/>
              <w:rPr>
                <w:rFonts w:ascii="Arial" w:hAnsi="Arial" w:cs="Arial"/>
                <w:sz w:val="20"/>
                <w:szCs w:val="20"/>
              </w:rPr>
            </w:pPr>
            <w:r w:rsidRPr="00B01850">
              <w:rPr>
                <w:rFonts w:ascii="Arial" w:hAnsi="Arial" w:cs="Arial"/>
                <w:sz w:val="20"/>
                <w:szCs w:val="20"/>
              </w:rPr>
              <w:t>Article 144.2 du Code de Travail de la Guinée</w:t>
            </w:r>
          </w:p>
        </w:tc>
        <w:tc>
          <w:tcPr>
            <w:tcW w:w="945" w:type="pct"/>
            <w:tcBorders>
              <w:top w:val="single" w:sz="4" w:space="0" w:color="auto"/>
              <w:left w:val="single" w:sz="4" w:space="0" w:color="auto"/>
              <w:bottom w:val="single" w:sz="4" w:space="0" w:color="auto"/>
              <w:right w:val="single" w:sz="4" w:space="0" w:color="auto"/>
            </w:tcBorders>
            <w:hideMark/>
          </w:tcPr>
          <w:p w14:paraId="7982729D" w14:textId="77777777" w:rsidR="00194C65" w:rsidRPr="00B01850" w:rsidRDefault="00194C65" w:rsidP="009B3153">
            <w:pPr>
              <w:spacing w:line="256" w:lineRule="auto"/>
              <w:ind w:right="83"/>
              <w:jc w:val="both"/>
              <w:rPr>
                <w:rFonts w:ascii="Arial" w:hAnsi="Arial" w:cs="Arial"/>
                <w:sz w:val="20"/>
                <w:szCs w:val="20"/>
              </w:rPr>
            </w:pPr>
            <w:r w:rsidRPr="00B01850">
              <w:rPr>
                <w:rFonts w:ascii="Arial" w:hAnsi="Arial" w:cs="Arial"/>
                <w:sz w:val="20"/>
                <w:szCs w:val="20"/>
              </w:rPr>
              <w:t xml:space="preserve">Loi L/2014/072/CNT du 10 janvier 2014, portant Code du Travail de la </w:t>
            </w:r>
            <w:r w:rsidRPr="00B01850">
              <w:rPr>
                <w:rFonts w:ascii="Arial" w:hAnsi="Arial" w:cs="Arial"/>
                <w:sz w:val="20"/>
                <w:szCs w:val="20"/>
              </w:rPr>
              <w:lastRenderedPageBreak/>
              <w:t>République de Guinée.</w:t>
            </w:r>
          </w:p>
        </w:tc>
        <w:tc>
          <w:tcPr>
            <w:tcW w:w="2411" w:type="pct"/>
            <w:tcBorders>
              <w:top w:val="single" w:sz="4" w:space="0" w:color="auto"/>
              <w:left w:val="single" w:sz="4" w:space="0" w:color="auto"/>
              <w:bottom w:val="single" w:sz="4" w:space="0" w:color="auto"/>
              <w:right w:val="single" w:sz="4" w:space="0" w:color="auto"/>
            </w:tcBorders>
            <w:vAlign w:val="center"/>
            <w:hideMark/>
          </w:tcPr>
          <w:p w14:paraId="1C73EE9E" w14:textId="77777777" w:rsidR="00194C65" w:rsidRPr="00B01850" w:rsidRDefault="00194C65" w:rsidP="009B3153">
            <w:pPr>
              <w:spacing w:line="256" w:lineRule="auto"/>
              <w:ind w:right="83"/>
              <w:jc w:val="both"/>
              <w:rPr>
                <w:rFonts w:ascii="Arial" w:hAnsi="Arial" w:cs="Arial"/>
                <w:sz w:val="20"/>
                <w:szCs w:val="20"/>
              </w:rPr>
            </w:pPr>
            <w:r w:rsidRPr="00B01850">
              <w:rPr>
                <w:rFonts w:ascii="Arial" w:hAnsi="Arial" w:cs="Arial"/>
                <w:sz w:val="20"/>
                <w:szCs w:val="20"/>
              </w:rPr>
              <w:lastRenderedPageBreak/>
              <w:t xml:space="preserve">Le salarié choisi par la direction de l’entreprise pour suivre un stage de formation ou de perfectionnement, continu à percevoir pendant toute la durée du stage, le salaire qu’il aurait perçu s’il avait travaillé normalement. Il continue </w:t>
            </w:r>
            <w:r w:rsidRPr="00B01850">
              <w:rPr>
                <w:rFonts w:ascii="Arial" w:hAnsi="Arial" w:cs="Arial"/>
                <w:sz w:val="20"/>
                <w:szCs w:val="20"/>
              </w:rPr>
              <w:lastRenderedPageBreak/>
              <w:t xml:space="preserve">également à bénéficier de tous les avantages sociaux liés à sa qualité de travailleur. </w:t>
            </w:r>
          </w:p>
          <w:p w14:paraId="2695E75C" w14:textId="77777777" w:rsidR="00194C65" w:rsidRPr="00B01850" w:rsidRDefault="00194C65" w:rsidP="009B3153">
            <w:pPr>
              <w:spacing w:line="256" w:lineRule="auto"/>
              <w:ind w:right="83"/>
              <w:jc w:val="both"/>
              <w:rPr>
                <w:rFonts w:ascii="Arial" w:hAnsi="Arial" w:cs="Arial"/>
                <w:sz w:val="20"/>
                <w:szCs w:val="20"/>
              </w:rPr>
            </w:pPr>
            <w:r w:rsidRPr="00B01850">
              <w:rPr>
                <w:rFonts w:ascii="Arial" w:hAnsi="Arial" w:cs="Arial"/>
                <w:sz w:val="20"/>
                <w:szCs w:val="20"/>
              </w:rPr>
              <w:t xml:space="preserve">La durée du stage est assimilée à une période du travail. Elle est prise en compte dans le calcul de l’ancienneté et du droit aux congés payés. </w:t>
            </w:r>
          </w:p>
          <w:p w14:paraId="5FD98498" w14:textId="77777777" w:rsidR="00194C65" w:rsidRPr="00B01850" w:rsidRDefault="00194C65" w:rsidP="009B3153">
            <w:pPr>
              <w:spacing w:line="256" w:lineRule="auto"/>
              <w:ind w:right="83"/>
              <w:jc w:val="both"/>
              <w:rPr>
                <w:rFonts w:ascii="Arial" w:hAnsi="Arial" w:cs="Arial"/>
                <w:sz w:val="20"/>
                <w:szCs w:val="20"/>
              </w:rPr>
            </w:pPr>
            <w:r w:rsidRPr="00B01850">
              <w:rPr>
                <w:rFonts w:ascii="Arial" w:hAnsi="Arial" w:cs="Arial"/>
                <w:sz w:val="20"/>
                <w:szCs w:val="20"/>
              </w:rPr>
              <w:t xml:space="preserve">Pendant cette durée, le stagiaire bénéficiera d’une allocation égale à sa rémunération au moment de son départ en stage.  </w:t>
            </w:r>
          </w:p>
          <w:p w14:paraId="36C0A2B2" w14:textId="77777777" w:rsidR="00194C65" w:rsidRPr="00B01850" w:rsidRDefault="00194C65" w:rsidP="009B3153">
            <w:pPr>
              <w:spacing w:line="256" w:lineRule="auto"/>
              <w:ind w:right="83"/>
              <w:jc w:val="both"/>
              <w:rPr>
                <w:rFonts w:ascii="Arial" w:hAnsi="Arial" w:cs="Arial"/>
                <w:sz w:val="20"/>
                <w:szCs w:val="20"/>
              </w:rPr>
            </w:pPr>
            <w:r w:rsidRPr="00B01850">
              <w:rPr>
                <w:rFonts w:ascii="Arial" w:hAnsi="Arial" w:cs="Arial"/>
                <w:sz w:val="20"/>
                <w:szCs w:val="20"/>
              </w:rPr>
              <w:t xml:space="preserve">A la fin de la période de formation ou de perfectionnement, le salarié bénéficiaire du stage est tenu de rester au service de son employeur pour une durée au moins équivalente à celle du stage ou du perfectionnement. A défaut, il doit rembourser à l’employeur tous les frais engagés par celui-ci  pour sa formation ou son perfectionnement sans préjudice de dommage et intérêt. </w:t>
            </w:r>
          </w:p>
          <w:p w14:paraId="172E5A96" w14:textId="77777777" w:rsidR="00194C65" w:rsidRPr="00B01850" w:rsidRDefault="00194C65" w:rsidP="009B3153">
            <w:pPr>
              <w:spacing w:line="256" w:lineRule="auto"/>
              <w:ind w:right="83"/>
              <w:jc w:val="both"/>
              <w:rPr>
                <w:rFonts w:ascii="Arial" w:hAnsi="Arial" w:cs="Arial"/>
                <w:sz w:val="20"/>
                <w:szCs w:val="20"/>
              </w:rPr>
            </w:pPr>
            <w:r w:rsidRPr="00B01850">
              <w:rPr>
                <w:rFonts w:ascii="Arial" w:hAnsi="Arial" w:cs="Arial"/>
                <w:sz w:val="20"/>
                <w:szCs w:val="20"/>
              </w:rPr>
              <w:t>Si le travailleur est débauché par le fait d’un autre employeur, celui-ci sera personnellement responsable du remboursement des frais visés à l’alinéa précédent</w:t>
            </w:r>
          </w:p>
        </w:tc>
      </w:tr>
      <w:tr w:rsidR="00194C65" w:rsidRPr="00B01850" w14:paraId="5D9B5E9D" w14:textId="77777777" w:rsidTr="00194C65">
        <w:trPr>
          <w:trHeight w:val="850"/>
        </w:trPr>
        <w:tc>
          <w:tcPr>
            <w:tcW w:w="845" w:type="pct"/>
            <w:tcBorders>
              <w:top w:val="single" w:sz="4" w:space="0" w:color="auto"/>
              <w:left w:val="single" w:sz="4" w:space="0" w:color="auto"/>
              <w:bottom w:val="single" w:sz="4" w:space="0" w:color="auto"/>
              <w:right w:val="single" w:sz="4" w:space="0" w:color="auto"/>
            </w:tcBorders>
            <w:hideMark/>
          </w:tcPr>
          <w:p w14:paraId="4401E1CC" w14:textId="77777777" w:rsidR="00194C65" w:rsidRPr="00B01850" w:rsidRDefault="00194C65" w:rsidP="009B3153">
            <w:pPr>
              <w:rPr>
                <w:rFonts w:ascii="Arial" w:hAnsi="Arial" w:cs="Arial"/>
                <w:sz w:val="20"/>
                <w:szCs w:val="20"/>
              </w:rPr>
            </w:pPr>
            <w:r w:rsidRPr="00B01850">
              <w:rPr>
                <w:rFonts w:ascii="Arial" w:hAnsi="Arial" w:cs="Arial"/>
                <w:sz w:val="20"/>
                <w:szCs w:val="20"/>
              </w:rPr>
              <w:lastRenderedPageBreak/>
              <w:t>Sur la santé, la sécurité au travail services de santé et de premiers soins.</w:t>
            </w:r>
          </w:p>
        </w:tc>
        <w:tc>
          <w:tcPr>
            <w:tcW w:w="799" w:type="pct"/>
            <w:tcBorders>
              <w:top w:val="single" w:sz="4" w:space="0" w:color="auto"/>
              <w:left w:val="single" w:sz="4" w:space="0" w:color="auto"/>
              <w:bottom w:val="single" w:sz="4" w:space="0" w:color="auto"/>
              <w:right w:val="single" w:sz="4" w:space="0" w:color="auto"/>
            </w:tcBorders>
            <w:hideMark/>
          </w:tcPr>
          <w:p w14:paraId="1740261B" w14:textId="77777777" w:rsidR="00194C65" w:rsidRPr="00B01850" w:rsidRDefault="00194C65" w:rsidP="009B3153">
            <w:pPr>
              <w:rPr>
                <w:rFonts w:ascii="Arial" w:hAnsi="Arial" w:cs="Arial"/>
                <w:sz w:val="20"/>
                <w:szCs w:val="20"/>
              </w:rPr>
            </w:pPr>
            <w:r w:rsidRPr="00B01850">
              <w:rPr>
                <w:rFonts w:ascii="Arial" w:hAnsi="Arial" w:cs="Arial"/>
                <w:sz w:val="20"/>
                <w:szCs w:val="20"/>
              </w:rPr>
              <w:t>Articles 231.1 à 231.2 du Code de Travail de la Guinée</w:t>
            </w:r>
          </w:p>
        </w:tc>
        <w:tc>
          <w:tcPr>
            <w:tcW w:w="945" w:type="pct"/>
            <w:tcBorders>
              <w:top w:val="single" w:sz="4" w:space="0" w:color="auto"/>
              <w:left w:val="single" w:sz="4" w:space="0" w:color="auto"/>
              <w:bottom w:val="single" w:sz="4" w:space="0" w:color="auto"/>
              <w:right w:val="single" w:sz="4" w:space="0" w:color="auto"/>
            </w:tcBorders>
            <w:hideMark/>
          </w:tcPr>
          <w:p w14:paraId="130288DE" w14:textId="77777777" w:rsidR="00194C65" w:rsidRPr="00B01850" w:rsidRDefault="00194C65" w:rsidP="009B3153">
            <w:pPr>
              <w:spacing w:line="256" w:lineRule="auto"/>
              <w:ind w:right="13"/>
              <w:jc w:val="both"/>
              <w:rPr>
                <w:rFonts w:ascii="Arial" w:hAnsi="Arial" w:cs="Arial"/>
                <w:sz w:val="20"/>
                <w:szCs w:val="20"/>
              </w:rPr>
            </w:pPr>
            <w:r w:rsidRPr="00B01850">
              <w:rPr>
                <w:rFonts w:ascii="Arial" w:hAnsi="Arial" w:cs="Arial"/>
                <w:sz w:val="20"/>
                <w:szCs w:val="20"/>
              </w:rPr>
              <w:t>Loi L/2014/072/CNT du 10 janvier 2014, portant Code du Travail de la République de Guinée.</w:t>
            </w:r>
          </w:p>
        </w:tc>
        <w:tc>
          <w:tcPr>
            <w:tcW w:w="2411" w:type="pct"/>
            <w:tcBorders>
              <w:top w:val="single" w:sz="4" w:space="0" w:color="auto"/>
              <w:left w:val="single" w:sz="4" w:space="0" w:color="auto"/>
              <w:bottom w:val="single" w:sz="4" w:space="0" w:color="auto"/>
              <w:right w:val="single" w:sz="4" w:space="0" w:color="auto"/>
            </w:tcBorders>
            <w:vAlign w:val="center"/>
            <w:hideMark/>
          </w:tcPr>
          <w:p w14:paraId="634962D2" w14:textId="77777777" w:rsidR="00194C65" w:rsidRPr="00B01850" w:rsidRDefault="00194C65" w:rsidP="009B3153">
            <w:pPr>
              <w:spacing w:line="256" w:lineRule="auto"/>
              <w:ind w:right="13"/>
              <w:jc w:val="both"/>
              <w:rPr>
                <w:rFonts w:ascii="Arial" w:hAnsi="Arial" w:cs="Arial"/>
                <w:sz w:val="20"/>
                <w:szCs w:val="20"/>
              </w:rPr>
            </w:pPr>
            <w:r w:rsidRPr="00B01850">
              <w:rPr>
                <w:rFonts w:ascii="Arial" w:hAnsi="Arial" w:cs="Arial"/>
                <w:sz w:val="20"/>
                <w:szCs w:val="20"/>
              </w:rPr>
              <w:t xml:space="preserve">Sont soumis aux dispositions du présent titre toutes les entreprises et tous les établissements visés à l’article 211.2 du présent Code. </w:t>
            </w:r>
          </w:p>
          <w:p w14:paraId="1160F8A5" w14:textId="77777777" w:rsidR="00194C65" w:rsidRPr="00B01850" w:rsidRDefault="00194C65" w:rsidP="009B3153">
            <w:pPr>
              <w:spacing w:line="256" w:lineRule="auto"/>
              <w:ind w:right="13"/>
              <w:jc w:val="both"/>
              <w:rPr>
                <w:rFonts w:ascii="Arial" w:hAnsi="Arial" w:cs="Arial"/>
                <w:sz w:val="20"/>
                <w:szCs w:val="20"/>
              </w:rPr>
            </w:pPr>
            <w:r w:rsidRPr="00B01850">
              <w:rPr>
                <w:rFonts w:ascii="Arial" w:hAnsi="Arial" w:cs="Arial"/>
                <w:sz w:val="20"/>
                <w:szCs w:val="20"/>
              </w:rPr>
              <w:t>Les établissements ou les entreprises se livrant simultanément à des activités sur un même lieu de travail doivent collaborer en vue d’appliquer les mesures prescrites par le présent titre, sans préjudice de la responsabilité de chaque dirigeant d’établissement ou d’entreprise à l’égard de la santé et de la sécurité des travailleurs qu’il occupe.</w:t>
            </w:r>
          </w:p>
          <w:p w14:paraId="502F8A10" w14:textId="77777777" w:rsidR="00194C65" w:rsidRPr="00B01850" w:rsidRDefault="00194C65" w:rsidP="009B3153">
            <w:pPr>
              <w:spacing w:line="256" w:lineRule="auto"/>
              <w:ind w:right="13"/>
              <w:jc w:val="both"/>
              <w:rPr>
                <w:rFonts w:ascii="Arial" w:hAnsi="Arial" w:cs="Arial"/>
                <w:sz w:val="20"/>
                <w:szCs w:val="20"/>
              </w:rPr>
            </w:pPr>
            <w:r w:rsidRPr="00B01850">
              <w:rPr>
                <w:rFonts w:ascii="Arial" w:hAnsi="Arial" w:cs="Arial"/>
                <w:sz w:val="20"/>
                <w:szCs w:val="20"/>
              </w:rPr>
              <w:t xml:space="preserve">Pour protéger la vie et la santé des salariés, l’employeur est tenu de prendre toutes les mesures utiles qui sont adaptées aux conditions d’exploitation de l’entreprise. Il doit notamment aménager des installations et régler la marche du travail de manière à préserver le mieux possible les salariés des accidents et des maladies. </w:t>
            </w:r>
          </w:p>
          <w:p w14:paraId="4AD06386" w14:textId="77777777" w:rsidR="00194C65" w:rsidRPr="00B01850" w:rsidRDefault="00194C65" w:rsidP="009B3153">
            <w:pPr>
              <w:spacing w:line="256" w:lineRule="auto"/>
              <w:ind w:right="13"/>
              <w:jc w:val="both"/>
              <w:rPr>
                <w:rFonts w:ascii="Arial" w:hAnsi="Arial" w:cs="Arial"/>
                <w:sz w:val="20"/>
                <w:szCs w:val="20"/>
              </w:rPr>
            </w:pPr>
            <w:r w:rsidRPr="00B01850">
              <w:rPr>
                <w:rFonts w:ascii="Arial" w:hAnsi="Arial" w:cs="Arial"/>
                <w:sz w:val="20"/>
                <w:szCs w:val="20"/>
              </w:rPr>
              <w:t xml:space="preserve">Tous les établissements ou entreprises utilisant régulièrement au moins vingt-cinq salariés doivent mettre en place un comité de sécurité et </w:t>
            </w:r>
            <w:r w:rsidRPr="00B01850">
              <w:rPr>
                <w:rFonts w:ascii="Arial" w:hAnsi="Arial" w:cs="Arial"/>
                <w:sz w:val="20"/>
                <w:szCs w:val="20"/>
              </w:rPr>
              <w:lastRenderedPageBreak/>
              <w:t xml:space="preserve">santé. Ce comité a pour mission d’étudier, d’élaborer et de veiller à la mise en œuvre des mesures de prévention et protection dans les domaines de la sécurité et santé au travail. </w:t>
            </w:r>
          </w:p>
          <w:p w14:paraId="3786F21C" w14:textId="77777777" w:rsidR="00194C65" w:rsidRPr="00B01850" w:rsidRDefault="00194C65" w:rsidP="009B3153">
            <w:pPr>
              <w:spacing w:line="256" w:lineRule="auto"/>
              <w:ind w:right="13"/>
              <w:jc w:val="both"/>
              <w:rPr>
                <w:rFonts w:ascii="Arial" w:hAnsi="Arial" w:cs="Arial"/>
                <w:sz w:val="20"/>
                <w:szCs w:val="20"/>
              </w:rPr>
            </w:pPr>
            <w:r w:rsidRPr="00B01850">
              <w:rPr>
                <w:rFonts w:ascii="Arial" w:hAnsi="Arial" w:cs="Arial"/>
                <w:sz w:val="20"/>
                <w:szCs w:val="20"/>
              </w:rPr>
              <w:t>Les chefs d’établissements, directeurs, gérants ou préposés qui font exécuter des travaux présentant des dangers particuliers pour la santé des salariés sont tenus d’en mentionner la nature exacte dans une déclaration qu’ils adressent à l’inspecteur du travail et au médecin du travail. Ils sont responsables de l’application aux salariés des mesures de protection prévues à cet effet.</w:t>
            </w:r>
          </w:p>
          <w:p w14:paraId="4F02DB43" w14:textId="77777777" w:rsidR="00194C65" w:rsidRPr="00B01850" w:rsidRDefault="00194C65" w:rsidP="009B3153">
            <w:pPr>
              <w:spacing w:line="256" w:lineRule="auto"/>
              <w:ind w:right="13"/>
              <w:jc w:val="both"/>
              <w:rPr>
                <w:rFonts w:ascii="Arial" w:hAnsi="Arial" w:cs="Arial"/>
                <w:sz w:val="20"/>
                <w:szCs w:val="20"/>
              </w:rPr>
            </w:pPr>
            <w:r w:rsidRPr="00B01850">
              <w:rPr>
                <w:rFonts w:ascii="Arial" w:hAnsi="Arial" w:cs="Arial"/>
                <w:sz w:val="20"/>
                <w:szCs w:val="20"/>
              </w:rPr>
              <w:t>Les salariés doivent utiliser correctement les dispositifs de salubrité et de sécurité et s’abstenir de les enlever, même avec l’autorisation de l’employeur. Ils ne peuvent les modifier qu’avec l’autorisation de l’employeur et à condition que cette modification n’ait pas pour effet de les rendre inopérants.</w:t>
            </w:r>
          </w:p>
          <w:p w14:paraId="3BA270EE" w14:textId="77777777" w:rsidR="00194C65" w:rsidRPr="00B01850" w:rsidRDefault="00194C65" w:rsidP="009B3153">
            <w:pPr>
              <w:spacing w:line="256" w:lineRule="auto"/>
              <w:ind w:right="13"/>
              <w:jc w:val="both"/>
              <w:rPr>
                <w:rFonts w:ascii="Arial" w:hAnsi="Arial" w:cs="Arial"/>
                <w:sz w:val="20"/>
                <w:szCs w:val="20"/>
              </w:rPr>
            </w:pPr>
            <w:r w:rsidRPr="00B01850">
              <w:rPr>
                <w:rFonts w:ascii="Arial" w:hAnsi="Arial" w:cs="Arial"/>
                <w:sz w:val="20"/>
                <w:szCs w:val="20"/>
              </w:rPr>
              <w:t xml:space="preserve">Des arrêtés du Ministre en charge du Travail fixent : </w:t>
            </w:r>
          </w:p>
          <w:p w14:paraId="61D34143" w14:textId="77777777" w:rsidR="00194C65" w:rsidRPr="00B01850" w:rsidRDefault="00194C65" w:rsidP="00214DCC">
            <w:pPr>
              <w:pStyle w:val="ListParagraph"/>
              <w:numPr>
                <w:ilvl w:val="0"/>
                <w:numId w:val="67"/>
              </w:numPr>
              <w:spacing w:after="160" w:line="240" w:lineRule="auto"/>
              <w:ind w:left="317" w:right="13"/>
              <w:jc w:val="both"/>
              <w:rPr>
                <w:rFonts w:ascii="Arial" w:hAnsi="Arial" w:cs="Arial"/>
                <w:sz w:val="20"/>
                <w:szCs w:val="20"/>
              </w:rPr>
            </w:pPr>
            <w:r w:rsidRPr="00B01850">
              <w:rPr>
                <w:rFonts w:ascii="Arial" w:hAnsi="Arial" w:cs="Arial"/>
                <w:sz w:val="20"/>
                <w:szCs w:val="20"/>
              </w:rPr>
              <w:t xml:space="preserve">Les mesures générales de protection et de salubrité applicables à tous les établissements assujettis, notamment en ce qui concerne l’éclairage, l’aération ou la ventilation, les eaux potables, les installations sanitaires, l’évacuation des poussières et vapeurs, les précautions à prendre contre les incendies, les rayonnements, le bruit et les vibrations, la température et la propreté des établissements ; </w:t>
            </w:r>
          </w:p>
          <w:p w14:paraId="007B8946" w14:textId="77777777" w:rsidR="00194C65" w:rsidRPr="00B01850" w:rsidRDefault="00194C65" w:rsidP="00214DCC">
            <w:pPr>
              <w:pStyle w:val="ListParagraph"/>
              <w:numPr>
                <w:ilvl w:val="0"/>
                <w:numId w:val="67"/>
              </w:numPr>
              <w:spacing w:after="160" w:line="240" w:lineRule="auto"/>
              <w:ind w:left="317" w:right="13"/>
              <w:jc w:val="both"/>
              <w:rPr>
                <w:rFonts w:ascii="Arial" w:hAnsi="Arial" w:cs="Arial"/>
                <w:sz w:val="20"/>
                <w:szCs w:val="20"/>
              </w:rPr>
            </w:pPr>
            <w:r w:rsidRPr="00B01850">
              <w:rPr>
                <w:rFonts w:ascii="Arial" w:hAnsi="Arial" w:cs="Arial"/>
                <w:sz w:val="20"/>
                <w:szCs w:val="20"/>
              </w:rPr>
              <w:t>Au fur et à mesure de nécessités constatées, les prescriptions particulières relatives, soit à certaines professions, soit à certains modes de travail ainsi qu’à l’organisation et au fonctionnement des institutions ayant pour mission de contribuer à l’organisation et à l’amélioration des conditions d’hygiène et de sécurité de travail et à la protection de la santé des travailleurs.</w:t>
            </w:r>
          </w:p>
          <w:p w14:paraId="1E4E056B" w14:textId="77777777" w:rsidR="00194C65" w:rsidRPr="00B01850" w:rsidRDefault="00194C65" w:rsidP="009B3153">
            <w:pPr>
              <w:spacing w:line="256" w:lineRule="auto"/>
              <w:ind w:left="-43" w:right="13"/>
              <w:jc w:val="both"/>
              <w:rPr>
                <w:rFonts w:ascii="Arial" w:hAnsi="Arial" w:cs="Arial"/>
                <w:sz w:val="20"/>
                <w:szCs w:val="20"/>
              </w:rPr>
            </w:pPr>
            <w:r w:rsidRPr="00B01850">
              <w:rPr>
                <w:rFonts w:ascii="Arial" w:hAnsi="Arial" w:cs="Arial"/>
                <w:sz w:val="20"/>
                <w:szCs w:val="20"/>
              </w:rPr>
              <w:t xml:space="preserve">Sous réserve des dispositions des articles 153.1 à 153.6 du présent Code, des arrêtés ministériels fixent la nature des travaux interdits aux femmes et aux femmes enceintes ou les conditions </w:t>
            </w:r>
            <w:r w:rsidRPr="00B01850">
              <w:rPr>
                <w:rFonts w:ascii="Arial" w:hAnsi="Arial" w:cs="Arial"/>
                <w:sz w:val="20"/>
                <w:szCs w:val="20"/>
              </w:rPr>
              <w:lastRenderedPageBreak/>
              <w:t xml:space="preserve">spéciales de protection dont elles doivent faire l’objet dans l’accomplissement de ces travaux. </w:t>
            </w:r>
          </w:p>
          <w:p w14:paraId="32329C2F" w14:textId="77777777" w:rsidR="00194C65" w:rsidRPr="00B01850" w:rsidRDefault="00194C65" w:rsidP="009B3153">
            <w:pPr>
              <w:spacing w:line="256" w:lineRule="auto"/>
              <w:ind w:left="-43" w:right="13"/>
              <w:jc w:val="both"/>
              <w:rPr>
                <w:rFonts w:ascii="Arial" w:hAnsi="Arial" w:cs="Arial"/>
                <w:sz w:val="20"/>
                <w:szCs w:val="20"/>
              </w:rPr>
            </w:pPr>
            <w:r w:rsidRPr="00B01850">
              <w:rPr>
                <w:rFonts w:ascii="Arial" w:hAnsi="Arial" w:cs="Arial"/>
                <w:sz w:val="20"/>
                <w:szCs w:val="20"/>
              </w:rPr>
              <w:t>Sont interdits ou soumis à des conditions particulières de protection les travaux de nature à porter atteinte à la capacité de procréation des femmes ou, dans le cas d’une femme enceinte, ceux affectant sa santé ou celle de l’enfant.</w:t>
            </w:r>
          </w:p>
          <w:p w14:paraId="5A9E92E6" w14:textId="77777777" w:rsidR="00194C65" w:rsidRPr="00B01850" w:rsidRDefault="00194C65" w:rsidP="009B3153">
            <w:pPr>
              <w:spacing w:line="256" w:lineRule="auto"/>
              <w:ind w:left="-43" w:right="13"/>
              <w:jc w:val="both"/>
              <w:rPr>
                <w:rFonts w:ascii="Arial" w:hAnsi="Arial" w:cs="Arial"/>
                <w:sz w:val="20"/>
                <w:szCs w:val="20"/>
              </w:rPr>
            </w:pPr>
            <w:r w:rsidRPr="00B01850">
              <w:rPr>
                <w:rFonts w:ascii="Arial" w:hAnsi="Arial" w:cs="Arial"/>
                <w:sz w:val="20"/>
                <w:szCs w:val="20"/>
              </w:rPr>
              <w:t>Tout chef d’établissement est tenu d’organiser une formation pratique appropriée en matière de sécurité, d’hygiène et de santé au travail au bénéfice des travailleurs qu’il embauche, de ceux qui changent de poste de travail ou de technique, et de ceux qui reprennent leur activité après un arrêt de travail d’une durée de plus de six mois. Cette formation doit être actualisée au profit de l’ensemble du personnel en cas de changement de la législation ou de la réglementation.</w:t>
            </w:r>
          </w:p>
          <w:p w14:paraId="10765F41" w14:textId="77777777" w:rsidR="00194C65" w:rsidRPr="00B01850" w:rsidRDefault="00194C65" w:rsidP="009B3153">
            <w:pPr>
              <w:spacing w:line="256" w:lineRule="auto"/>
              <w:ind w:left="-43" w:right="13"/>
              <w:jc w:val="both"/>
              <w:rPr>
                <w:rFonts w:ascii="Arial" w:hAnsi="Arial" w:cs="Arial"/>
                <w:sz w:val="20"/>
                <w:szCs w:val="20"/>
              </w:rPr>
            </w:pPr>
            <w:r w:rsidRPr="00B01850">
              <w:rPr>
                <w:rFonts w:ascii="Arial" w:hAnsi="Arial" w:cs="Arial"/>
                <w:sz w:val="20"/>
                <w:szCs w:val="20"/>
              </w:rPr>
              <w:t xml:space="preserve">En ce qui concerne l’application des arrêtés ministériels visés à l’article 231.4 du présent titre, les inspecteurs du travail doivent mettre les chefs d’établissement en demeure de se conformer aux dites prescriptions avant de dresser le procès-verbal. </w:t>
            </w:r>
          </w:p>
          <w:p w14:paraId="28310CBE" w14:textId="77777777" w:rsidR="00194C65" w:rsidRPr="00B01850" w:rsidRDefault="00194C65" w:rsidP="009B3153">
            <w:pPr>
              <w:spacing w:line="256" w:lineRule="auto"/>
              <w:ind w:left="-43" w:right="13"/>
              <w:jc w:val="both"/>
              <w:rPr>
                <w:rFonts w:ascii="Arial" w:hAnsi="Arial" w:cs="Arial"/>
                <w:sz w:val="20"/>
                <w:szCs w:val="20"/>
              </w:rPr>
            </w:pPr>
            <w:r w:rsidRPr="00B01850">
              <w:rPr>
                <w:rFonts w:ascii="Arial" w:hAnsi="Arial" w:cs="Arial"/>
                <w:sz w:val="20"/>
                <w:szCs w:val="20"/>
              </w:rPr>
              <w:t>La mise en demeure datée et signée indique les infractions constatées et fixe un délai à l’expiration duquel ces infractions doivent avoir disparu. Ce délai ne peut en aucun cas être inférieur à quatre jours.</w:t>
            </w:r>
          </w:p>
          <w:p w14:paraId="7CC29D7A" w14:textId="77777777" w:rsidR="00194C65" w:rsidRPr="00B01850" w:rsidRDefault="00194C65" w:rsidP="009B3153">
            <w:pPr>
              <w:spacing w:line="256" w:lineRule="auto"/>
              <w:ind w:left="-43" w:right="13"/>
              <w:jc w:val="both"/>
              <w:rPr>
                <w:rFonts w:ascii="Arial" w:hAnsi="Arial" w:cs="Arial"/>
                <w:sz w:val="20"/>
                <w:szCs w:val="20"/>
              </w:rPr>
            </w:pPr>
            <w:r w:rsidRPr="00B01850">
              <w:rPr>
                <w:rFonts w:ascii="Arial" w:hAnsi="Arial" w:cs="Arial"/>
                <w:sz w:val="20"/>
                <w:szCs w:val="20"/>
              </w:rPr>
              <w:t xml:space="preserve">Les Inspecteurs du travail sont autorisés, sans mise en demeure, à dresser immédiatement procès-verbal lorsque les faits qu’ils constatent présentent un danger grave et imminent pour l’intégrité physique des travailleurs. </w:t>
            </w:r>
          </w:p>
          <w:p w14:paraId="512043F6" w14:textId="77777777" w:rsidR="00194C65" w:rsidRPr="00B01850" w:rsidRDefault="00194C65" w:rsidP="009B3153">
            <w:pPr>
              <w:spacing w:line="256" w:lineRule="auto"/>
              <w:ind w:left="-43" w:right="13"/>
              <w:jc w:val="both"/>
              <w:rPr>
                <w:rFonts w:ascii="Arial" w:hAnsi="Arial" w:cs="Arial"/>
                <w:sz w:val="20"/>
                <w:szCs w:val="20"/>
              </w:rPr>
            </w:pPr>
            <w:r w:rsidRPr="00B01850">
              <w:rPr>
                <w:rFonts w:ascii="Arial" w:hAnsi="Arial" w:cs="Arial"/>
                <w:sz w:val="20"/>
                <w:szCs w:val="20"/>
              </w:rPr>
              <w:t xml:space="preserve">Dans ces cas, l’inspecteur du travail peut ordonner des mesures immédiatement exécutoires pour faire cesser le danger grave et imminent. </w:t>
            </w:r>
          </w:p>
          <w:p w14:paraId="5DDC0AE8" w14:textId="77777777" w:rsidR="00194C65" w:rsidRPr="00B01850" w:rsidRDefault="00194C65" w:rsidP="009B3153">
            <w:pPr>
              <w:spacing w:line="256" w:lineRule="auto"/>
              <w:ind w:left="-43" w:right="13"/>
              <w:jc w:val="both"/>
              <w:rPr>
                <w:rFonts w:ascii="Arial" w:hAnsi="Arial" w:cs="Arial"/>
                <w:sz w:val="20"/>
                <w:szCs w:val="20"/>
              </w:rPr>
            </w:pPr>
            <w:r w:rsidRPr="00B01850">
              <w:rPr>
                <w:rFonts w:ascii="Arial" w:hAnsi="Arial" w:cs="Arial"/>
                <w:sz w:val="20"/>
                <w:szCs w:val="20"/>
              </w:rPr>
              <w:t xml:space="preserve">L’employeur peut exercer un recours contre la décision de l’Inspecteur du Travail devant la juridiction chargée du travail qui doit statuer dans les trois jours de sa saisine. </w:t>
            </w:r>
          </w:p>
        </w:tc>
      </w:tr>
      <w:tr w:rsidR="00194C65" w:rsidRPr="00B01850" w14:paraId="4F0977D9" w14:textId="77777777" w:rsidTr="00194C65">
        <w:trPr>
          <w:trHeight w:val="702"/>
        </w:trPr>
        <w:tc>
          <w:tcPr>
            <w:tcW w:w="845" w:type="pct"/>
            <w:tcBorders>
              <w:top w:val="single" w:sz="4" w:space="0" w:color="auto"/>
              <w:left w:val="single" w:sz="4" w:space="0" w:color="auto"/>
              <w:bottom w:val="single" w:sz="4" w:space="0" w:color="auto"/>
              <w:right w:val="single" w:sz="4" w:space="0" w:color="auto"/>
            </w:tcBorders>
            <w:hideMark/>
          </w:tcPr>
          <w:p w14:paraId="2C89A24D" w14:textId="77777777" w:rsidR="00194C65" w:rsidRPr="00B01850" w:rsidRDefault="00194C65" w:rsidP="009B3153">
            <w:pPr>
              <w:rPr>
                <w:rFonts w:ascii="Arial" w:hAnsi="Arial" w:cs="Arial"/>
                <w:sz w:val="20"/>
                <w:szCs w:val="20"/>
              </w:rPr>
            </w:pPr>
            <w:r w:rsidRPr="00B01850">
              <w:rPr>
                <w:rFonts w:ascii="Arial" w:hAnsi="Arial" w:cs="Arial"/>
                <w:sz w:val="20"/>
                <w:szCs w:val="20"/>
              </w:rPr>
              <w:lastRenderedPageBreak/>
              <w:t>Sur la protection des travailleurs contre les risques</w:t>
            </w:r>
          </w:p>
        </w:tc>
        <w:tc>
          <w:tcPr>
            <w:tcW w:w="799" w:type="pct"/>
            <w:tcBorders>
              <w:top w:val="single" w:sz="4" w:space="0" w:color="auto"/>
              <w:left w:val="single" w:sz="4" w:space="0" w:color="auto"/>
              <w:bottom w:val="single" w:sz="4" w:space="0" w:color="auto"/>
              <w:right w:val="single" w:sz="4" w:space="0" w:color="auto"/>
            </w:tcBorders>
            <w:hideMark/>
          </w:tcPr>
          <w:p w14:paraId="372421B7" w14:textId="77777777" w:rsidR="00194C65" w:rsidRPr="00B01850" w:rsidRDefault="00194C65" w:rsidP="009B3153">
            <w:pPr>
              <w:rPr>
                <w:rFonts w:ascii="Arial" w:hAnsi="Arial" w:cs="Arial"/>
                <w:sz w:val="20"/>
                <w:szCs w:val="20"/>
              </w:rPr>
            </w:pPr>
            <w:r w:rsidRPr="00B01850">
              <w:rPr>
                <w:rFonts w:ascii="Arial" w:hAnsi="Arial" w:cs="Arial"/>
                <w:sz w:val="20"/>
                <w:szCs w:val="20"/>
              </w:rPr>
              <w:t>Article 231.14 et 410.1 du Code de Travail de la Guinée</w:t>
            </w:r>
          </w:p>
        </w:tc>
        <w:tc>
          <w:tcPr>
            <w:tcW w:w="945" w:type="pct"/>
            <w:tcBorders>
              <w:top w:val="single" w:sz="4" w:space="0" w:color="auto"/>
              <w:left w:val="single" w:sz="4" w:space="0" w:color="auto"/>
              <w:bottom w:val="single" w:sz="4" w:space="0" w:color="auto"/>
              <w:right w:val="single" w:sz="4" w:space="0" w:color="auto"/>
            </w:tcBorders>
            <w:hideMark/>
          </w:tcPr>
          <w:p w14:paraId="002E36BC" w14:textId="77777777" w:rsidR="00194C65" w:rsidRPr="00B01850" w:rsidRDefault="00194C65" w:rsidP="009B3153">
            <w:pPr>
              <w:spacing w:line="256" w:lineRule="auto"/>
              <w:ind w:right="13"/>
              <w:jc w:val="both"/>
              <w:rPr>
                <w:rFonts w:ascii="Arial" w:hAnsi="Arial" w:cs="Arial"/>
                <w:sz w:val="20"/>
                <w:szCs w:val="20"/>
              </w:rPr>
            </w:pPr>
            <w:r w:rsidRPr="00B01850">
              <w:rPr>
                <w:rFonts w:ascii="Arial" w:hAnsi="Arial" w:cs="Arial"/>
                <w:sz w:val="20"/>
                <w:szCs w:val="20"/>
              </w:rPr>
              <w:t>Loi L/2014/072/CNT du 10 janvier 2014, portant Code du Travail de la République de Guinée.</w:t>
            </w:r>
          </w:p>
        </w:tc>
        <w:tc>
          <w:tcPr>
            <w:tcW w:w="2411" w:type="pct"/>
            <w:tcBorders>
              <w:top w:val="single" w:sz="4" w:space="0" w:color="auto"/>
              <w:left w:val="single" w:sz="4" w:space="0" w:color="auto"/>
              <w:bottom w:val="single" w:sz="4" w:space="0" w:color="auto"/>
              <w:right w:val="single" w:sz="4" w:space="0" w:color="auto"/>
            </w:tcBorders>
            <w:vAlign w:val="center"/>
            <w:hideMark/>
          </w:tcPr>
          <w:p w14:paraId="07F68831" w14:textId="77777777" w:rsidR="00194C65" w:rsidRPr="00B01850" w:rsidRDefault="00194C65" w:rsidP="009B3153">
            <w:pPr>
              <w:spacing w:line="256" w:lineRule="auto"/>
              <w:ind w:right="13"/>
              <w:jc w:val="both"/>
              <w:rPr>
                <w:rFonts w:ascii="Arial" w:hAnsi="Arial" w:cs="Arial"/>
                <w:sz w:val="20"/>
                <w:szCs w:val="20"/>
              </w:rPr>
            </w:pPr>
            <w:r w:rsidRPr="00B01850">
              <w:rPr>
                <w:rFonts w:ascii="Arial" w:hAnsi="Arial" w:cs="Arial"/>
                <w:sz w:val="20"/>
                <w:szCs w:val="20"/>
              </w:rPr>
              <w:t xml:space="preserve">L’employeur a l’obligation de mettre à la disposition du travailleur un équipement de protection personnel lorsque les mesures collectives de prévention techniques sont insuffisantes.  </w:t>
            </w:r>
          </w:p>
          <w:p w14:paraId="17D374A1" w14:textId="77777777" w:rsidR="00194C65" w:rsidRPr="00B01850" w:rsidRDefault="00194C65" w:rsidP="009B3153">
            <w:pPr>
              <w:spacing w:line="256" w:lineRule="auto"/>
              <w:ind w:right="13"/>
              <w:jc w:val="both"/>
              <w:rPr>
                <w:rFonts w:ascii="Arial" w:hAnsi="Arial" w:cs="Arial"/>
                <w:sz w:val="20"/>
                <w:szCs w:val="20"/>
              </w:rPr>
            </w:pPr>
            <w:r w:rsidRPr="00B01850">
              <w:rPr>
                <w:rFonts w:ascii="Arial" w:hAnsi="Arial" w:cs="Arial"/>
                <w:sz w:val="20"/>
                <w:szCs w:val="20"/>
              </w:rPr>
              <w:t>Tous les moyens de protection doivent être fournis par l’employeur gratuitement.</w:t>
            </w:r>
          </w:p>
          <w:p w14:paraId="262E0884" w14:textId="77777777" w:rsidR="00194C65" w:rsidRPr="00B01850" w:rsidRDefault="00194C65" w:rsidP="009B3153">
            <w:pPr>
              <w:spacing w:line="256" w:lineRule="auto"/>
              <w:ind w:right="13"/>
              <w:jc w:val="both"/>
              <w:rPr>
                <w:rFonts w:ascii="Arial" w:hAnsi="Arial" w:cs="Arial"/>
                <w:sz w:val="20"/>
                <w:szCs w:val="20"/>
              </w:rPr>
            </w:pPr>
            <w:r w:rsidRPr="00B01850">
              <w:rPr>
                <w:rFonts w:ascii="Arial" w:hAnsi="Arial" w:cs="Arial"/>
                <w:sz w:val="20"/>
                <w:szCs w:val="20"/>
              </w:rPr>
              <w:t>La convention collective a pour objet de déterminer les conditions de travail et d’emploi des salariés et de régler les relations entre les employeurs et les travailleurs. Elle peut également étendre les attributions reconnues par la loi aux organisations syndicales et améliorer les garanties protégeant les travailleurs contre les risques sociaux.</w:t>
            </w:r>
          </w:p>
        </w:tc>
      </w:tr>
    </w:tbl>
    <w:p w14:paraId="5AE78A6F" w14:textId="77777777" w:rsidR="00367946" w:rsidRPr="00B01850" w:rsidRDefault="00367946" w:rsidP="0005794F">
      <w:pPr>
        <w:spacing w:before="240" w:after="0" w:line="240" w:lineRule="auto"/>
        <w:rPr>
          <w:rFonts w:ascii="Arial" w:eastAsia="Calibri" w:hAnsi="Arial" w:cs="Arial"/>
          <w:b/>
          <w:bCs/>
        </w:rPr>
      </w:pPr>
      <w:bookmarkStart w:id="153" w:name="_Toc42253240"/>
      <w:bookmarkStart w:id="154" w:name="_Toc42254527"/>
      <w:bookmarkStart w:id="155" w:name="_Toc91747710"/>
      <w:bookmarkStart w:id="156" w:name="_Toc99373555"/>
      <w:bookmarkStart w:id="157" w:name="_Toc99383316"/>
      <w:bookmarkStart w:id="158" w:name="_Toc103362835"/>
      <w:bookmarkStart w:id="159" w:name="_Toc130217207"/>
      <w:bookmarkStart w:id="160" w:name="_Toc142385475"/>
      <w:r w:rsidRPr="00B01850">
        <w:rPr>
          <w:rFonts w:ascii="Arial" w:eastAsia="Calibri" w:hAnsi="Arial" w:cs="Arial"/>
          <w:b/>
          <w:bCs/>
        </w:rPr>
        <w:t>Évaluation des risques liés à la main-d'œuvre</w:t>
      </w:r>
    </w:p>
    <w:bookmarkEnd w:id="153"/>
    <w:bookmarkEnd w:id="154"/>
    <w:bookmarkEnd w:id="155"/>
    <w:bookmarkEnd w:id="156"/>
    <w:bookmarkEnd w:id="157"/>
    <w:bookmarkEnd w:id="158"/>
    <w:bookmarkEnd w:id="159"/>
    <w:bookmarkEnd w:id="160"/>
    <w:p w14:paraId="7FB6B8FC" w14:textId="77777777" w:rsidR="00367946" w:rsidRPr="00B01850" w:rsidRDefault="00367946" w:rsidP="00367946">
      <w:pPr>
        <w:spacing w:after="0" w:line="240" w:lineRule="auto"/>
        <w:ind w:left="360"/>
        <w:jc w:val="both"/>
        <w:rPr>
          <w:rFonts w:ascii="Arial" w:hAnsi="Arial" w:cs="Arial"/>
          <w:color w:val="000000"/>
        </w:rPr>
      </w:pPr>
    </w:p>
    <w:p w14:paraId="1FE394A2" w14:textId="202564E2" w:rsidR="00367946" w:rsidRPr="00B01850" w:rsidRDefault="00367946" w:rsidP="00367946">
      <w:pPr>
        <w:spacing w:after="0" w:line="240" w:lineRule="auto"/>
        <w:jc w:val="both"/>
        <w:rPr>
          <w:rFonts w:ascii="Arial" w:hAnsi="Arial" w:cs="Arial"/>
          <w:color w:val="000000"/>
        </w:rPr>
      </w:pPr>
      <w:r w:rsidRPr="00B01850">
        <w:rPr>
          <w:rFonts w:ascii="Arial" w:hAnsi="Arial" w:cs="Arial"/>
          <w:color w:val="000000"/>
        </w:rPr>
        <w:t xml:space="preserve">Dans le cadre de l'identification des risques et effets </w:t>
      </w:r>
      <w:r w:rsidR="002661C9" w:rsidRPr="00B01850">
        <w:rPr>
          <w:rFonts w:ascii="Arial" w:hAnsi="Arial" w:cs="Arial"/>
          <w:color w:val="000000"/>
        </w:rPr>
        <w:t>liés à</w:t>
      </w:r>
      <w:r w:rsidRPr="00B01850">
        <w:rPr>
          <w:rFonts w:ascii="Arial" w:hAnsi="Arial" w:cs="Arial"/>
          <w:color w:val="000000"/>
        </w:rPr>
        <w:t xml:space="preserve"> la main-d'œuvre, les activités suivantes aideront à comprendre les </w:t>
      </w:r>
      <w:r w:rsidR="003C5687" w:rsidRPr="00B01850">
        <w:rPr>
          <w:rFonts w:ascii="Arial" w:hAnsi="Arial" w:cs="Arial"/>
          <w:color w:val="000000"/>
        </w:rPr>
        <w:t xml:space="preserve">contextes </w:t>
      </w:r>
      <w:r w:rsidRPr="00B01850">
        <w:rPr>
          <w:rFonts w:ascii="Arial" w:hAnsi="Arial" w:cs="Arial"/>
          <w:color w:val="000000"/>
        </w:rPr>
        <w:t xml:space="preserve">d'exposition. </w:t>
      </w:r>
      <w:r w:rsidR="003F512A" w:rsidRPr="00B01850">
        <w:rPr>
          <w:rFonts w:ascii="Arial" w:hAnsi="Arial" w:cs="Arial"/>
          <w:color w:val="000000"/>
        </w:rPr>
        <w:t>I</w:t>
      </w:r>
      <w:r w:rsidRPr="00B01850">
        <w:rPr>
          <w:rFonts w:ascii="Arial" w:hAnsi="Arial" w:cs="Arial"/>
          <w:color w:val="000000"/>
        </w:rPr>
        <w:t>l convient de souligner que les principaux risques présentés ici concernent uniquement les travailleurs dont les activités sont prévisibles :</w:t>
      </w:r>
    </w:p>
    <w:p w14:paraId="78C9D2B4" w14:textId="77777777" w:rsidR="00367946" w:rsidRPr="00B01850" w:rsidRDefault="00367946" w:rsidP="00367946">
      <w:pPr>
        <w:spacing w:after="0" w:line="240" w:lineRule="auto"/>
        <w:jc w:val="both"/>
        <w:rPr>
          <w:rFonts w:ascii="Arial" w:hAnsi="Arial" w:cs="Arial"/>
          <w:color w:val="000000"/>
        </w:rPr>
      </w:pPr>
    </w:p>
    <w:p w14:paraId="6D3B833C" w14:textId="667B0746" w:rsidR="00367946" w:rsidRPr="00B01850" w:rsidRDefault="00367946" w:rsidP="00214DCC">
      <w:pPr>
        <w:numPr>
          <w:ilvl w:val="0"/>
          <w:numId w:val="7"/>
        </w:numPr>
        <w:pBdr>
          <w:top w:val="nil"/>
          <w:left w:val="nil"/>
          <w:bottom w:val="nil"/>
          <w:right w:val="nil"/>
          <w:between w:val="nil"/>
        </w:pBdr>
        <w:spacing w:after="0" w:line="240" w:lineRule="auto"/>
        <w:jc w:val="both"/>
        <w:rPr>
          <w:rFonts w:ascii="Arial" w:hAnsi="Arial" w:cs="Arial"/>
          <w:color w:val="000000"/>
        </w:rPr>
      </w:pPr>
      <w:r w:rsidRPr="00B01850">
        <w:rPr>
          <w:rFonts w:ascii="Arial" w:hAnsi="Arial" w:cs="Arial"/>
          <w:color w:val="000000"/>
        </w:rPr>
        <w:t xml:space="preserve">Les principaux types d'activités pour </w:t>
      </w:r>
      <w:r w:rsidR="00357737" w:rsidRPr="00B01850">
        <w:rPr>
          <w:rFonts w:ascii="Arial" w:hAnsi="Arial" w:cs="Arial"/>
          <w:color w:val="000000"/>
          <w:u w:val="single"/>
        </w:rPr>
        <w:t>les travailleurs directs</w:t>
      </w:r>
      <w:r w:rsidRPr="00B01850">
        <w:rPr>
          <w:rFonts w:ascii="Arial" w:hAnsi="Arial" w:cs="Arial"/>
          <w:color w:val="000000"/>
        </w:rPr>
        <w:t xml:space="preserve"> seront des activités de coordination des activités du projet.</w:t>
      </w:r>
    </w:p>
    <w:p w14:paraId="2FE78D84" w14:textId="62D2A473" w:rsidR="00357737" w:rsidRPr="00B01850" w:rsidRDefault="00357737" w:rsidP="00214DCC">
      <w:pPr>
        <w:numPr>
          <w:ilvl w:val="0"/>
          <w:numId w:val="7"/>
        </w:numPr>
        <w:pBdr>
          <w:top w:val="nil"/>
          <w:left w:val="nil"/>
          <w:bottom w:val="nil"/>
          <w:right w:val="nil"/>
          <w:between w:val="nil"/>
        </w:pBdr>
        <w:spacing w:after="0" w:line="240" w:lineRule="auto"/>
        <w:jc w:val="both"/>
        <w:rPr>
          <w:rFonts w:ascii="Arial" w:hAnsi="Arial" w:cs="Arial"/>
          <w:color w:val="000000"/>
        </w:rPr>
      </w:pPr>
      <w:r w:rsidRPr="00B01850">
        <w:rPr>
          <w:rFonts w:ascii="Arial" w:hAnsi="Arial" w:cs="Arial"/>
          <w:color w:val="000000"/>
        </w:rPr>
        <w:t xml:space="preserve">Les principaux types d'activités pour les </w:t>
      </w:r>
      <w:r w:rsidRPr="00B01850">
        <w:rPr>
          <w:rFonts w:ascii="Arial" w:hAnsi="Arial" w:cs="Arial"/>
          <w:color w:val="000000"/>
          <w:u w:val="single"/>
        </w:rPr>
        <w:t>travailleurs contractuels</w:t>
      </w:r>
      <w:r w:rsidRPr="00B01850">
        <w:rPr>
          <w:rFonts w:ascii="Arial" w:hAnsi="Arial" w:cs="Arial"/>
          <w:color w:val="000000"/>
        </w:rPr>
        <w:t xml:space="preserve"> seront des activités liées à la coordination et à la mise en œuvre des activités de passation des marchés</w:t>
      </w:r>
    </w:p>
    <w:p w14:paraId="6DBDBD0C" w14:textId="5DA3EAA0" w:rsidR="00357737" w:rsidRPr="00B01850" w:rsidRDefault="00357737" w:rsidP="00214DCC">
      <w:pPr>
        <w:numPr>
          <w:ilvl w:val="0"/>
          <w:numId w:val="7"/>
        </w:numPr>
        <w:pBdr>
          <w:top w:val="nil"/>
          <w:left w:val="nil"/>
          <w:bottom w:val="nil"/>
          <w:right w:val="nil"/>
          <w:between w:val="nil"/>
        </w:pBdr>
        <w:spacing w:after="0" w:line="240" w:lineRule="auto"/>
        <w:jc w:val="both"/>
        <w:rPr>
          <w:rFonts w:ascii="Arial" w:hAnsi="Arial" w:cs="Arial"/>
          <w:color w:val="000000"/>
        </w:rPr>
      </w:pPr>
      <w:r w:rsidRPr="00B01850">
        <w:rPr>
          <w:rFonts w:ascii="Arial" w:hAnsi="Arial" w:cs="Arial"/>
          <w:color w:val="000000"/>
        </w:rPr>
        <w:t>Les principaux types d'activités des travailleurs de l'approvisionnement seront liés à la production et au transport des marchandises.</w:t>
      </w:r>
    </w:p>
    <w:p w14:paraId="1F268A36" w14:textId="77777777" w:rsidR="00367946" w:rsidRPr="00B01850" w:rsidRDefault="00367946" w:rsidP="00367946">
      <w:pPr>
        <w:pBdr>
          <w:top w:val="nil"/>
          <w:left w:val="nil"/>
          <w:bottom w:val="nil"/>
          <w:right w:val="nil"/>
          <w:between w:val="nil"/>
        </w:pBdr>
        <w:spacing w:after="0" w:line="240" w:lineRule="auto"/>
        <w:ind w:left="720"/>
        <w:jc w:val="both"/>
        <w:rPr>
          <w:rFonts w:ascii="Arial" w:hAnsi="Arial" w:cs="Arial"/>
          <w:color w:val="000000"/>
        </w:rPr>
      </w:pPr>
    </w:p>
    <w:p w14:paraId="79F98C48" w14:textId="77777777" w:rsidR="00367946" w:rsidRPr="00B01850" w:rsidRDefault="00367946" w:rsidP="00367946">
      <w:pPr>
        <w:spacing w:after="0" w:line="240" w:lineRule="auto"/>
        <w:jc w:val="both"/>
        <w:rPr>
          <w:rFonts w:ascii="Arial" w:hAnsi="Arial" w:cs="Arial"/>
          <w:color w:val="000000"/>
        </w:rPr>
      </w:pPr>
      <w:r w:rsidRPr="00B01850">
        <w:rPr>
          <w:rFonts w:ascii="Arial" w:hAnsi="Arial" w:cs="Arial"/>
          <w:color w:val="000000"/>
        </w:rPr>
        <w:t>Le tableau met en évidence et analyse les risques et effets potentiels liés à la main-d'œuvre compte tenu de l'utilisation prévue de la main-d'œuvre et des paramètres de référence généraux des zones du projet.</w:t>
      </w:r>
    </w:p>
    <w:p w14:paraId="0F9F0E90" w14:textId="77777777" w:rsidR="007B66C4" w:rsidRPr="00B01850" w:rsidRDefault="007B66C4" w:rsidP="00367946">
      <w:pPr>
        <w:spacing w:after="0" w:line="240" w:lineRule="auto"/>
        <w:jc w:val="both"/>
        <w:rPr>
          <w:rFonts w:ascii="Arial" w:hAnsi="Arial" w:cs="Arial"/>
          <w:color w:val="000000"/>
        </w:rPr>
      </w:pPr>
    </w:p>
    <w:p w14:paraId="78AF714A" w14:textId="69F30727" w:rsidR="00367946" w:rsidRPr="00B01850" w:rsidRDefault="00367946" w:rsidP="00367946">
      <w:pPr>
        <w:pStyle w:val="Caption"/>
        <w:spacing w:after="0"/>
        <w:rPr>
          <w:rFonts w:ascii="Arial" w:hAnsi="Arial" w:cs="Arial"/>
          <w:i w:val="0"/>
          <w:iCs w:val="0"/>
          <w:color w:val="auto"/>
          <w:sz w:val="22"/>
          <w:szCs w:val="22"/>
        </w:rPr>
      </w:pPr>
      <w:bookmarkStart w:id="161" w:name="_Toc150177936"/>
      <w:bookmarkStart w:id="162" w:name="_Toc178919542"/>
      <w:bookmarkStart w:id="163" w:name="_Toc178919704"/>
      <w:r w:rsidRPr="00B01850">
        <w:rPr>
          <w:rFonts w:ascii="Arial" w:hAnsi="Arial" w:cs="Arial"/>
          <w:i w:val="0"/>
          <w:iCs w:val="0"/>
          <w:color w:val="auto"/>
          <w:sz w:val="22"/>
          <w:szCs w:val="22"/>
        </w:rPr>
        <w:t xml:space="preserve">Table </w:t>
      </w:r>
      <w:r w:rsidR="00B710F2" w:rsidRPr="00B01850">
        <w:rPr>
          <w:rFonts w:ascii="Arial" w:hAnsi="Arial" w:cs="Arial"/>
          <w:i w:val="0"/>
          <w:iCs w:val="0"/>
          <w:color w:val="auto"/>
          <w:sz w:val="22"/>
          <w:szCs w:val="22"/>
        </w:rPr>
        <w:t>… :</w:t>
      </w:r>
      <w:r w:rsidRPr="00B01850">
        <w:rPr>
          <w:rFonts w:ascii="Arial" w:hAnsi="Arial" w:cs="Arial"/>
          <w:i w:val="0"/>
          <w:iCs w:val="0"/>
          <w:color w:val="auto"/>
          <w:sz w:val="22"/>
          <w:szCs w:val="22"/>
        </w:rPr>
        <w:t xml:space="preserve"> Identification et analyse des risques liés à la main-d'œuvre</w:t>
      </w:r>
      <w:bookmarkEnd w:id="161"/>
      <w:bookmarkEnd w:id="162"/>
      <w:bookmarkEnd w:id="163"/>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672"/>
        <w:gridCol w:w="3996"/>
        <w:gridCol w:w="3682"/>
      </w:tblGrid>
      <w:tr w:rsidR="00367946" w:rsidRPr="00B01850" w14:paraId="125BC182" w14:textId="77777777" w:rsidTr="00672564">
        <w:tc>
          <w:tcPr>
            <w:tcW w:w="894" w:type="pct"/>
            <w:shd w:val="clear" w:color="auto" w:fill="FDE9D9" w:themeFill="accent6" w:themeFillTint="33"/>
          </w:tcPr>
          <w:p w14:paraId="7D9A1EC3" w14:textId="77777777" w:rsidR="00367946" w:rsidRPr="00B01850" w:rsidRDefault="00367946">
            <w:pPr>
              <w:spacing w:after="0" w:line="240" w:lineRule="auto"/>
              <w:jc w:val="both"/>
              <w:rPr>
                <w:rFonts w:ascii="Arial" w:hAnsi="Arial" w:cs="Arial"/>
                <w:bCs/>
                <w:i/>
                <w:iCs/>
                <w:color w:val="000000"/>
              </w:rPr>
            </w:pPr>
            <w:r w:rsidRPr="00B01850">
              <w:rPr>
                <w:rFonts w:ascii="Arial" w:hAnsi="Arial" w:cs="Arial"/>
                <w:bCs/>
                <w:i/>
                <w:iCs/>
                <w:color w:val="000000"/>
              </w:rPr>
              <w:t xml:space="preserve">Risque/Impact </w:t>
            </w:r>
          </w:p>
        </w:tc>
        <w:tc>
          <w:tcPr>
            <w:tcW w:w="2137" w:type="pct"/>
            <w:shd w:val="clear" w:color="auto" w:fill="FDE9D9" w:themeFill="accent6" w:themeFillTint="33"/>
          </w:tcPr>
          <w:p w14:paraId="1C9B1AD9" w14:textId="77777777" w:rsidR="00367946" w:rsidRPr="00B01850" w:rsidRDefault="00367946">
            <w:pPr>
              <w:spacing w:after="0" w:line="240" w:lineRule="auto"/>
              <w:jc w:val="both"/>
              <w:rPr>
                <w:rFonts w:ascii="Arial" w:hAnsi="Arial" w:cs="Arial"/>
                <w:bCs/>
                <w:i/>
                <w:iCs/>
                <w:color w:val="000000"/>
              </w:rPr>
            </w:pPr>
            <w:r w:rsidRPr="00B01850">
              <w:rPr>
                <w:rFonts w:ascii="Arial" w:hAnsi="Arial" w:cs="Arial"/>
                <w:bCs/>
                <w:i/>
                <w:iCs/>
                <w:color w:val="000000"/>
              </w:rPr>
              <w:t>Analyse (ampleur, étendue, calendrier, probabilité, signification)</w:t>
            </w:r>
          </w:p>
        </w:tc>
        <w:tc>
          <w:tcPr>
            <w:tcW w:w="1969" w:type="pct"/>
            <w:shd w:val="clear" w:color="auto" w:fill="FDE9D9" w:themeFill="accent6" w:themeFillTint="33"/>
          </w:tcPr>
          <w:p w14:paraId="0561C1FD" w14:textId="77777777" w:rsidR="00367946" w:rsidRPr="00B01850" w:rsidRDefault="00367946">
            <w:pPr>
              <w:spacing w:after="0" w:line="240" w:lineRule="auto"/>
              <w:jc w:val="both"/>
              <w:rPr>
                <w:rFonts w:ascii="Arial" w:hAnsi="Arial" w:cs="Arial"/>
                <w:bCs/>
                <w:i/>
                <w:iCs/>
                <w:color w:val="000000"/>
              </w:rPr>
            </w:pPr>
            <w:r w:rsidRPr="00B01850">
              <w:rPr>
                <w:rFonts w:ascii="Arial" w:hAnsi="Arial" w:cs="Arial"/>
                <w:bCs/>
                <w:i/>
                <w:iCs/>
                <w:color w:val="000000"/>
              </w:rPr>
              <w:t>Mesures d’atténuation des risques</w:t>
            </w:r>
          </w:p>
        </w:tc>
      </w:tr>
      <w:tr w:rsidR="00645445" w:rsidRPr="00B01850" w14:paraId="587FFACC" w14:textId="77777777" w:rsidTr="00645445">
        <w:tc>
          <w:tcPr>
            <w:tcW w:w="5000" w:type="pct"/>
            <w:gridSpan w:val="3"/>
            <w:shd w:val="clear" w:color="auto" w:fill="FDE9D9" w:themeFill="accent6" w:themeFillTint="33"/>
          </w:tcPr>
          <w:p w14:paraId="63734737" w14:textId="059C0D6B" w:rsidR="00645445" w:rsidRPr="00B01850" w:rsidRDefault="00645445" w:rsidP="0057033D">
            <w:pPr>
              <w:spacing w:after="0" w:line="240" w:lineRule="auto"/>
              <w:jc w:val="center"/>
              <w:rPr>
                <w:rFonts w:ascii="Arial" w:hAnsi="Arial" w:cs="Arial"/>
                <w:bCs/>
                <w:i/>
                <w:iCs/>
                <w:color w:val="000000"/>
              </w:rPr>
            </w:pPr>
            <w:r w:rsidRPr="00B01850">
              <w:rPr>
                <w:rFonts w:ascii="Arial" w:hAnsi="Arial" w:cs="Arial"/>
                <w:bCs/>
                <w:i/>
                <w:iCs/>
                <w:color w:val="000000"/>
              </w:rPr>
              <w:t>NES n° 2 : Main-d'œuvre et conditions de travail</w:t>
            </w:r>
          </w:p>
        </w:tc>
      </w:tr>
      <w:tr w:rsidR="00367946" w:rsidRPr="00B01850" w14:paraId="114C303A" w14:textId="77777777" w:rsidTr="00672564">
        <w:tc>
          <w:tcPr>
            <w:tcW w:w="894" w:type="pct"/>
            <w:shd w:val="clear" w:color="auto" w:fill="FFFFFF" w:themeFill="background1"/>
          </w:tcPr>
          <w:p w14:paraId="40C53A94" w14:textId="2B2D15BA" w:rsidR="00367946" w:rsidRPr="00B01850" w:rsidRDefault="00367946">
            <w:pPr>
              <w:spacing w:after="0" w:line="240" w:lineRule="auto"/>
              <w:jc w:val="both"/>
              <w:rPr>
                <w:rFonts w:ascii="Arial" w:hAnsi="Arial" w:cs="Arial"/>
                <w:color w:val="000000"/>
              </w:rPr>
            </w:pPr>
            <w:r w:rsidRPr="00B01850">
              <w:rPr>
                <w:rFonts w:ascii="Arial" w:hAnsi="Arial" w:cs="Arial"/>
              </w:rPr>
              <w:t>Les normes du travail ne sont pas conformes aux lois nationales et aux normes internationales</w:t>
            </w:r>
          </w:p>
        </w:tc>
        <w:tc>
          <w:tcPr>
            <w:tcW w:w="2137" w:type="pct"/>
            <w:shd w:val="clear" w:color="auto" w:fill="FFFFFF" w:themeFill="background1"/>
          </w:tcPr>
          <w:p w14:paraId="69650AC4" w14:textId="77777777" w:rsidR="00367946" w:rsidRPr="00B01850" w:rsidRDefault="00367946">
            <w:pPr>
              <w:spacing w:after="0" w:line="240" w:lineRule="auto"/>
              <w:jc w:val="both"/>
              <w:rPr>
                <w:rFonts w:ascii="Arial" w:hAnsi="Arial" w:cs="Arial"/>
                <w:color w:val="000000"/>
              </w:rPr>
            </w:pPr>
            <w:r w:rsidRPr="00B01850">
              <w:rPr>
                <w:rFonts w:ascii="Arial" w:hAnsi="Arial" w:cs="Arial"/>
                <w:color w:val="000000"/>
              </w:rPr>
              <w:t xml:space="preserve">Les pratiques réelles en matière de travail peuvent différer des normes et lois du travail </w:t>
            </w:r>
          </w:p>
        </w:tc>
        <w:tc>
          <w:tcPr>
            <w:tcW w:w="1969" w:type="pct"/>
            <w:shd w:val="clear" w:color="auto" w:fill="FFFFFF" w:themeFill="background1"/>
          </w:tcPr>
          <w:p w14:paraId="645AFA96" w14:textId="65C2862E" w:rsidR="00367946" w:rsidRPr="00B01850" w:rsidRDefault="00367946">
            <w:pPr>
              <w:spacing w:after="0" w:line="240" w:lineRule="auto"/>
              <w:jc w:val="both"/>
              <w:rPr>
                <w:rFonts w:ascii="Arial" w:hAnsi="Arial" w:cs="Arial"/>
                <w:color w:val="000000"/>
              </w:rPr>
            </w:pPr>
            <w:r w:rsidRPr="00B01850">
              <w:rPr>
                <w:rFonts w:ascii="Arial" w:hAnsi="Arial" w:cs="Arial"/>
                <w:color w:val="000000"/>
              </w:rPr>
              <w:t xml:space="preserve">Ces lacunes sont comblées grâce à la mise en œuvre de ces procédures de gestion de la main-d'œuvre. </w:t>
            </w:r>
          </w:p>
        </w:tc>
      </w:tr>
      <w:tr w:rsidR="00367946" w:rsidRPr="00B01850" w14:paraId="3AFAD9CD" w14:textId="77777777" w:rsidTr="00672564">
        <w:tc>
          <w:tcPr>
            <w:tcW w:w="894" w:type="pct"/>
            <w:shd w:val="clear" w:color="auto" w:fill="FFFFFF" w:themeFill="background1"/>
          </w:tcPr>
          <w:p w14:paraId="32E2CB7B" w14:textId="77777777" w:rsidR="00367946" w:rsidRPr="00B01850" w:rsidRDefault="00367946">
            <w:pPr>
              <w:spacing w:after="0" w:line="240" w:lineRule="auto"/>
              <w:jc w:val="both"/>
              <w:rPr>
                <w:rFonts w:ascii="Arial" w:hAnsi="Arial" w:cs="Arial"/>
              </w:rPr>
            </w:pPr>
            <w:r w:rsidRPr="00B01850">
              <w:rPr>
                <w:rFonts w:ascii="Arial" w:hAnsi="Arial" w:cs="Arial"/>
              </w:rPr>
              <w:lastRenderedPageBreak/>
              <w:t>Sous-paiement des travailleurs contractuels ou des travailleurs fournisseurs</w:t>
            </w:r>
          </w:p>
        </w:tc>
        <w:tc>
          <w:tcPr>
            <w:tcW w:w="2137" w:type="pct"/>
            <w:shd w:val="clear" w:color="auto" w:fill="FFFFFF" w:themeFill="background1"/>
          </w:tcPr>
          <w:p w14:paraId="41A5002E" w14:textId="321D7445" w:rsidR="00367946" w:rsidRPr="00B01850" w:rsidRDefault="00367946">
            <w:pPr>
              <w:spacing w:after="0" w:line="240" w:lineRule="auto"/>
              <w:jc w:val="both"/>
              <w:rPr>
                <w:rFonts w:ascii="Arial" w:hAnsi="Arial" w:cs="Arial"/>
                <w:color w:val="000000"/>
              </w:rPr>
            </w:pPr>
            <w:r w:rsidRPr="00B01850">
              <w:rPr>
                <w:rFonts w:ascii="Arial" w:hAnsi="Arial" w:cs="Arial"/>
                <w:color w:val="000000"/>
              </w:rPr>
              <w:t xml:space="preserve">Malgré l'existence d'un salaire minimum légalement défini, il existe un risque que les travailleurs contractuels et fournisseurs soient sous-payés.  </w:t>
            </w:r>
          </w:p>
        </w:tc>
        <w:tc>
          <w:tcPr>
            <w:tcW w:w="1969" w:type="pct"/>
            <w:shd w:val="clear" w:color="auto" w:fill="FFFFFF" w:themeFill="background1"/>
          </w:tcPr>
          <w:p w14:paraId="7204BE06" w14:textId="78F7319A" w:rsidR="00367946" w:rsidRPr="00B01850" w:rsidRDefault="00367946">
            <w:pPr>
              <w:spacing w:after="0" w:line="240" w:lineRule="auto"/>
              <w:jc w:val="both"/>
              <w:rPr>
                <w:rFonts w:ascii="Arial" w:hAnsi="Arial" w:cs="Arial"/>
                <w:color w:val="000000"/>
              </w:rPr>
            </w:pPr>
            <w:r w:rsidRPr="00B01850">
              <w:rPr>
                <w:rFonts w:ascii="Arial" w:hAnsi="Arial" w:cs="Arial"/>
                <w:color w:val="000000"/>
              </w:rPr>
              <w:t>Le projet appliquera le salaire minimum tout au long du projet/le répercutera jusqu'aux fournisseurs. Un mécanisme de gestion des plaintes des travailleurs sera adopté et mis en œuvre.</w:t>
            </w:r>
          </w:p>
        </w:tc>
      </w:tr>
      <w:tr w:rsidR="00367946" w:rsidRPr="00B01850" w14:paraId="41066566" w14:textId="77777777" w:rsidTr="00672564">
        <w:tc>
          <w:tcPr>
            <w:tcW w:w="894" w:type="pct"/>
            <w:shd w:val="clear" w:color="auto" w:fill="FFFFFF" w:themeFill="background1"/>
          </w:tcPr>
          <w:p w14:paraId="44825D6C" w14:textId="77777777" w:rsidR="00367946" w:rsidRPr="00B01850" w:rsidRDefault="00367946">
            <w:pPr>
              <w:spacing w:after="0" w:line="240" w:lineRule="auto"/>
              <w:jc w:val="both"/>
              <w:rPr>
                <w:rFonts w:ascii="Arial" w:hAnsi="Arial" w:cs="Arial"/>
              </w:rPr>
            </w:pPr>
            <w:r w:rsidRPr="00B01850">
              <w:rPr>
                <w:rFonts w:ascii="Arial" w:hAnsi="Arial" w:cs="Arial"/>
              </w:rPr>
              <w:t>Conflits du travail liés aux contrats</w:t>
            </w:r>
          </w:p>
        </w:tc>
        <w:tc>
          <w:tcPr>
            <w:tcW w:w="2137" w:type="pct"/>
            <w:shd w:val="clear" w:color="auto" w:fill="FFFFFF" w:themeFill="background1"/>
          </w:tcPr>
          <w:p w14:paraId="5846CACE" w14:textId="7D19D05E" w:rsidR="00367946" w:rsidRPr="00B01850" w:rsidRDefault="00367946">
            <w:pPr>
              <w:spacing w:after="0" w:line="240" w:lineRule="auto"/>
              <w:jc w:val="both"/>
              <w:rPr>
                <w:rFonts w:ascii="Arial" w:hAnsi="Arial" w:cs="Arial"/>
                <w:color w:val="000000"/>
              </w:rPr>
            </w:pPr>
            <w:r w:rsidRPr="00B01850">
              <w:rPr>
                <w:rFonts w:ascii="Arial" w:hAnsi="Arial" w:cs="Arial"/>
                <w:color w:val="000000"/>
              </w:rPr>
              <w:t>Il est possible que des différends au sujet des contrats éclatent entre les travailleurs contractuels et les travailleurs fournisseurs</w:t>
            </w:r>
          </w:p>
        </w:tc>
        <w:tc>
          <w:tcPr>
            <w:tcW w:w="1969" w:type="pct"/>
            <w:shd w:val="clear" w:color="auto" w:fill="FFFFFF" w:themeFill="background1"/>
          </w:tcPr>
          <w:p w14:paraId="2EDF211F" w14:textId="2E8D3498" w:rsidR="00367946" w:rsidRPr="00B01850" w:rsidRDefault="00367946">
            <w:pPr>
              <w:spacing w:after="0" w:line="240" w:lineRule="auto"/>
              <w:jc w:val="both"/>
              <w:rPr>
                <w:rFonts w:ascii="Arial" w:hAnsi="Arial" w:cs="Arial"/>
                <w:color w:val="000000"/>
              </w:rPr>
            </w:pPr>
            <w:r w:rsidRPr="00B01850">
              <w:rPr>
                <w:rFonts w:ascii="Arial" w:hAnsi="Arial" w:cs="Arial"/>
                <w:color w:val="000000"/>
              </w:rPr>
              <w:t xml:space="preserve">Le projet fournira au </w:t>
            </w:r>
            <w:r w:rsidR="00152BC5" w:rsidRPr="00B01850">
              <w:rPr>
                <w:rFonts w:ascii="Arial" w:hAnsi="Arial" w:cs="Arial"/>
                <w:color w:val="000000"/>
              </w:rPr>
              <w:t>MGR</w:t>
            </w:r>
            <w:r w:rsidRPr="00B01850">
              <w:rPr>
                <w:rFonts w:ascii="Arial" w:hAnsi="Arial" w:cs="Arial"/>
                <w:color w:val="000000"/>
              </w:rPr>
              <w:t xml:space="preserve"> des travailleurs un mécanisme d'appel en dehors de l'employeur direct.</w:t>
            </w:r>
          </w:p>
        </w:tc>
      </w:tr>
      <w:tr w:rsidR="00367946" w:rsidRPr="00B01850" w14:paraId="7A6F2D1E" w14:textId="77777777" w:rsidTr="00672564">
        <w:tc>
          <w:tcPr>
            <w:tcW w:w="894" w:type="pct"/>
            <w:shd w:val="clear" w:color="auto" w:fill="FFFFFF" w:themeFill="background1"/>
          </w:tcPr>
          <w:p w14:paraId="2D6CCA4E" w14:textId="77777777" w:rsidR="00367946" w:rsidRPr="00B01850" w:rsidRDefault="00367946">
            <w:pPr>
              <w:spacing w:after="0" w:line="240" w:lineRule="auto"/>
              <w:jc w:val="both"/>
              <w:rPr>
                <w:rFonts w:ascii="Arial" w:hAnsi="Arial" w:cs="Arial"/>
                <w:color w:val="000000"/>
              </w:rPr>
            </w:pPr>
            <w:r w:rsidRPr="00B01850">
              <w:rPr>
                <w:rFonts w:ascii="Arial" w:hAnsi="Arial" w:cs="Arial"/>
                <w:color w:val="000000"/>
              </w:rPr>
              <w:t xml:space="preserve">Mauvaises conditions de travail : environnement de travail dangereux </w:t>
            </w:r>
          </w:p>
        </w:tc>
        <w:tc>
          <w:tcPr>
            <w:tcW w:w="2137" w:type="pct"/>
            <w:shd w:val="clear" w:color="auto" w:fill="FFFFFF" w:themeFill="background1"/>
          </w:tcPr>
          <w:p w14:paraId="4199DA6B" w14:textId="5F353312" w:rsidR="00367946" w:rsidRPr="00B01850" w:rsidRDefault="00357737">
            <w:pPr>
              <w:spacing w:after="0" w:line="240" w:lineRule="auto"/>
              <w:jc w:val="both"/>
              <w:rPr>
                <w:rFonts w:ascii="Arial" w:hAnsi="Arial" w:cs="Arial"/>
                <w:color w:val="000000"/>
              </w:rPr>
            </w:pPr>
            <w:r w:rsidRPr="00B01850">
              <w:rPr>
                <w:rFonts w:ascii="Arial" w:hAnsi="Arial" w:cs="Arial"/>
                <w:color w:val="000000"/>
              </w:rPr>
              <w:t>Les conditions de travail des fournisseurs peuvent être médiocres.  L'impact est important, car on ne sait pas encore d'où procèderont les fournitures</w:t>
            </w:r>
          </w:p>
        </w:tc>
        <w:tc>
          <w:tcPr>
            <w:tcW w:w="1969" w:type="pct"/>
            <w:shd w:val="clear" w:color="auto" w:fill="FFFFFF" w:themeFill="background1"/>
          </w:tcPr>
          <w:p w14:paraId="465D0AAB" w14:textId="60C0C5D8" w:rsidR="00367946" w:rsidRPr="00B01850" w:rsidRDefault="00367946">
            <w:pPr>
              <w:spacing w:after="0" w:line="240" w:lineRule="auto"/>
              <w:jc w:val="both"/>
              <w:rPr>
                <w:rFonts w:ascii="Arial" w:hAnsi="Arial" w:cs="Arial"/>
                <w:color w:val="000000"/>
              </w:rPr>
            </w:pPr>
            <w:r w:rsidRPr="00B01850">
              <w:rPr>
                <w:rFonts w:ascii="Arial" w:hAnsi="Arial" w:cs="Arial"/>
                <w:color w:val="000000"/>
              </w:rPr>
              <w:t>La supervision des pratiques de gestion de la main-d'œuvre des fournisseurs est essentielle pour atténuer ce risque. Une liste de contrôle des fournisseurs sera utilisée.</w:t>
            </w:r>
          </w:p>
        </w:tc>
      </w:tr>
      <w:tr w:rsidR="00367946" w:rsidRPr="00B01850" w14:paraId="291EA8E3" w14:textId="77777777" w:rsidTr="00672564">
        <w:tc>
          <w:tcPr>
            <w:tcW w:w="894" w:type="pct"/>
            <w:shd w:val="clear" w:color="auto" w:fill="FFFFFF" w:themeFill="background1"/>
          </w:tcPr>
          <w:p w14:paraId="0CBBA987" w14:textId="50381A32" w:rsidR="00367946" w:rsidRPr="00B01850" w:rsidRDefault="00367946">
            <w:pPr>
              <w:spacing w:after="0" w:line="240" w:lineRule="auto"/>
              <w:jc w:val="both"/>
              <w:rPr>
                <w:rFonts w:ascii="Arial" w:hAnsi="Arial" w:cs="Arial"/>
                <w:color w:val="000000"/>
              </w:rPr>
            </w:pPr>
            <w:r w:rsidRPr="00B01850">
              <w:rPr>
                <w:rFonts w:ascii="Arial" w:hAnsi="Arial" w:cs="Arial"/>
                <w:color w:val="000000"/>
              </w:rPr>
              <w:t xml:space="preserve">Discrimination à l'égard des femmes dans l'emploi  </w:t>
            </w:r>
          </w:p>
        </w:tc>
        <w:tc>
          <w:tcPr>
            <w:tcW w:w="2137" w:type="pct"/>
            <w:shd w:val="clear" w:color="auto" w:fill="FFFFFF" w:themeFill="background1"/>
          </w:tcPr>
          <w:p w14:paraId="16635E03" w14:textId="09F923DC" w:rsidR="00367946" w:rsidRPr="00B01850" w:rsidRDefault="00357737">
            <w:pPr>
              <w:spacing w:after="0" w:line="240" w:lineRule="auto"/>
              <w:jc w:val="both"/>
              <w:rPr>
                <w:rFonts w:ascii="Arial" w:hAnsi="Arial" w:cs="Arial"/>
                <w:color w:val="000000"/>
              </w:rPr>
            </w:pPr>
            <w:r w:rsidRPr="00B01850">
              <w:rPr>
                <w:rFonts w:ascii="Arial" w:hAnsi="Arial" w:cs="Arial"/>
                <w:color w:val="000000"/>
              </w:rPr>
              <w:t xml:space="preserve">Les femmes continuent souvent de faire l'objet de discrimination en matière d'emploi, au </w:t>
            </w:r>
            <w:r w:rsidR="00083181" w:rsidRPr="00B01850">
              <w:rPr>
                <w:rFonts w:ascii="Arial" w:hAnsi="Arial" w:cs="Arial"/>
                <w:color w:val="000000"/>
              </w:rPr>
              <w:t>Guinée</w:t>
            </w:r>
            <w:r w:rsidRPr="00B01850">
              <w:rPr>
                <w:rFonts w:ascii="Arial" w:hAnsi="Arial" w:cs="Arial"/>
                <w:color w:val="000000"/>
              </w:rPr>
              <w:t>, mais aussi peut-être aussi parmi les fournisseurs étrangers.</w:t>
            </w:r>
          </w:p>
        </w:tc>
        <w:tc>
          <w:tcPr>
            <w:tcW w:w="1969" w:type="pct"/>
            <w:shd w:val="clear" w:color="auto" w:fill="FFFFFF" w:themeFill="background1"/>
          </w:tcPr>
          <w:p w14:paraId="7D1A54E1" w14:textId="5BA7EDE2" w:rsidR="00367946" w:rsidRPr="00B01850" w:rsidRDefault="00367946">
            <w:pPr>
              <w:spacing w:after="0" w:line="240" w:lineRule="auto"/>
              <w:jc w:val="both"/>
              <w:rPr>
                <w:rFonts w:ascii="Arial" w:hAnsi="Arial" w:cs="Arial"/>
                <w:color w:val="000000"/>
              </w:rPr>
            </w:pPr>
            <w:r w:rsidRPr="00B01850">
              <w:rPr>
                <w:rFonts w:ascii="Arial" w:hAnsi="Arial" w:cs="Arial"/>
                <w:color w:val="000000"/>
              </w:rPr>
              <w:t>Les entrepreneurs et les fournisseurs sont tenus de protéger les intérêts des femmes, y compris la parité entre les sexes sur le lieu de travail, des installations sanitaires appropriées sur le lieu de travail et des EPI appropriés pour les femmes.</w:t>
            </w:r>
          </w:p>
          <w:p w14:paraId="763739FD" w14:textId="77777777" w:rsidR="00367946" w:rsidRPr="00B01850" w:rsidRDefault="00367946">
            <w:pPr>
              <w:spacing w:after="0" w:line="240" w:lineRule="auto"/>
              <w:jc w:val="both"/>
              <w:rPr>
                <w:rFonts w:ascii="Arial" w:hAnsi="Arial" w:cs="Arial"/>
                <w:color w:val="000000"/>
              </w:rPr>
            </w:pPr>
          </w:p>
          <w:p w14:paraId="3FB8A1A9" w14:textId="6CE4DC70" w:rsidR="00367946" w:rsidRPr="00B01850" w:rsidRDefault="00367946">
            <w:pPr>
              <w:spacing w:after="0" w:line="240" w:lineRule="auto"/>
              <w:jc w:val="both"/>
              <w:rPr>
                <w:rFonts w:ascii="Arial" w:hAnsi="Arial" w:cs="Arial"/>
                <w:color w:val="000000"/>
              </w:rPr>
            </w:pPr>
            <w:r w:rsidRPr="00B01850">
              <w:rPr>
                <w:rFonts w:ascii="Arial" w:hAnsi="Arial" w:cs="Arial"/>
                <w:color w:val="000000"/>
              </w:rPr>
              <w:t xml:space="preserve">Dans la mesure du possible, le projet assurera le suivi de ces mesures lors des visites sur le terrain, et exigera de chaque travailleur contractuel qu'il signe un code de conduite, et qu'il adopte et mette en œuvre un </w:t>
            </w:r>
            <w:r w:rsidR="00152BC5" w:rsidRPr="00B01850">
              <w:rPr>
                <w:rFonts w:ascii="Arial" w:hAnsi="Arial" w:cs="Arial"/>
                <w:color w:val="000000"/>
              </w:rPr>
              <w:t>MGR</w:t>
            </w:r>
            <w:r w:rsidRPr="00B01850">
              <w:rPr>
                <w:rFonts w:ascii="Arial" w:hAnsi="Arial" w:cs="Arial"/>
                <w:color w:val="000000"/>
              </w:rPr>
              <w:t xml:space="preserve"> pour les travailleurs.</w:t>
            </w:r>
          </w:p>
        </w:tc>
      </w:tr>
      <w:tr w:rsidR="00357737" w:rsidRPr="00B01850" w14:paraId="52D2247A" w14:textId="77777777" w:rsidTr="00672564">
        <w:tc>
          <w:tcPr>
            <w:tcW w:w="894" w:type="pct"/>
            <w:shd w:val="clear" w:color="auto" w:fill="FFFFFF" w:themeFill="background1"/>
          </w:tcPr>
          <w:p w14:paraId="6F11A0B9" w14:textId="481E5F3A" w:rsidR="00357737" w:rsidRPr="00B01850" w:rsidRDefault="00357737">
            <w:pPr>
              <w:spacing w:after="0" w:line="240" w:lineRule="auto"/>
              <w:jc w:val="both"/>
              <w:rPr>
                <w:rFonts w:ascii="Arial" w:hAnsi="Arial" w:cs="Arial"/>
                <w:color w:val="000000"/>
              </w:rPr>
            </w:pPr>
            <w:r w:rsidRPr="00B01850">
              <w:rPr>
                <w:rFonts w:ascii="Arial" w:hAnsi="Arial" w:cs="Arial"/>
                <w:color w:val="000000"/>
              </w:rPr>
              <w:t>Risques d'EAS/HS chez les travailleurs</w:t>
            </w:r>
          </w:p>
        </w:tc>
        <w:tc>
          <w:tcPr>
            <w:tcW w:w="2137" w:type="pct"/>
            <w:shd w:val="clear" w:color="auto" w:fill="FFFFFF" w:themeFill="background1"/>
          </w:tcPr>
          <w:p w14:paraId="124FD870" w14:textId="0F79C62A" w:rsidR="00357737" w:rsidRPr="00B01850" w:rsidRDefault="00357737">
            <w:pPr>
              <w:spacing w:after="0" w:line="240" w:lineRule="auto"/>
              <w:jc w:val="both"/>
              <w:rPr>
                <w:rFonts w:ascii="Arial" w:hAnsi="Arial" w:cs="Arial"/>
                <w:color w:val="000000"/>
              </w:rPr>
            </w:pPr>
            <w:r w:rsidRPr="00B01850">
              <w:rPr>
                <w:rFonts w:ascii="Arial" w:hAnsi="Arial" w:cs="Arial"/>
                <w:color w:val="000000"/>
              </w:rPr>
              <w:t>Il y a une incidence élevée de harcèlement sexuel commis par d'autres travailleurs chez les femmes. Toutefois, étant donné que les principales activités consistent en la passation des marchés, l'ampleur de ce risque est modérée.</w:t>
            </w:r>
          </w:p>
        </w:tc>
        <w:tc>
          <w:tcPr>
            <w:tcW w:w="1969" w:type="pct"/>
            <w:shd w:val="clear" w:color="auto" w:fill="FFFFFF" w:themeFill="background1"/>
          </w:tcPr>
          <w:p w14:paraId="1C2F04A6" w14:textId="7C590FB9" w:rsidR="00357737" w:rsidRPr="00B01850" w:rsidRDefault="005E5682">
            <w:pPr>
              <w:spacing w:after="0" w:line="240" w:lineRule="auto"/>
              <w:jc w:val="both"/>
              <w:rPr>
                <w:rFonts w:ascii="Arial" w:hAnsi="Arial" w:cs="Arial"/>
                <w:color w:val="000000"/>
              </w:rPr>
            </w:pPr>
            <w:r w:rsidRPr="00B01850">
              <w:rPr>
                <w:rFonts w:ascii="Arial" w:hAnsi="Arial" w:cs="Arial"/>
                <w:color w:val="000000"/>
              </w:rPr>
              <w:t>Le projet adopte une politique de tolérance zéro à l'égard de l'EAS/HS à l'égard de tous les travailleurs commis par d'autres travailleurs du projet. Il exigera la signature d'un code de conduite par chaque travailleur direct.</w:t>
            </w:r>
          </w:p>
        </w:tc>
      </w:tr>
      <w:tr w:rsidR="00367946" w:rsidRPr="00B01850" w14:paraId="1128E99B" w14:textId="77777777" w:rsidTr="00672564">
        <w:tc>
          <w:tcPr>
            <w:tcW w:w="894" w:type="pct"/>
            <w:shd w:val="clear" w:color="auto" w:fill="FFFFFF" w:themeFill="background1"/>
          </w:tcPr>
          <w:p w14:paraId="1841D3CD" w14:textId="77777777" w:rsidR="00367946" w:rsidRPr="00B01850" w:rsidRDefault="00367946">
            <w:pPr>
              <w:spacing w:after="0" w:line="240" w:lineRule="auto"/>
              <w:jc w:val="both"/>
              <w:rPr>
                <w:rFonts w:ascii="Arial" w:hAnsi="Arial" w:cs="Arial"/>
                <w:color w:val="000000"/>
              </w:rPr>
            </w:pPr>
            <w:r w:rsidRPr="00B01850">
              <w:rPr>
                <w:rFonts w:ascii="Arial" w:hAnsi="Arial" w:cs="Arial"/>
                <w:color w:val="000000"/>
              </w:rPr>
              <w:t>Recours au travail des enfants</w:t>
            </w:r>
          </w:p>
          <w:p w14:paraId="30670FF4" w14:textId="77777777" w:rsidR="00367946" w:rsidRPr="00B01850" w:rsidRDefault="00367946">
            <w:pPr>
              <w:spacing w:after="0" w:line="240" w:lineRule="auto"/>
              <w:jc w:val="both"/>
              <w:rPr>
                <w:rFonts w:ascii="Arial" w:hAnsi="Arial" w:cs="Arial"/>
                <w:color w:val="000000"/>
              </w:rPr>
            </w:pPr>
          </w:p>
          <w:p w14:paraId="7CDBCB1E" w14:textId="77777777" w:rsidR="00367946" w:rsidRPr="00B01850" w:rsidRDefault="00367946">
            <w:pPr>
              <w:spacing w:after="0" w:line="240" w:lineRule="auto"/>
              <w:jc w:val="both"/>
              <w:rPr>
                <w:rFonts w:ascii="Arial" w:hAnsi="Arial" w:cs="Arial"/>
              </w:rPr>
            </w:pPr>
          </w:p>
          <w:p w14:paraId="170C490B" w14:textId="77777777" w:rsidR="00367946" w:rsidRPr="00B01850" w:rsidRDefault="00367946">
            <w:pPr>
              <w:spacing w:after="0" w:line="240" w:lineRule="auto"/>
              <w:jc w:val="both"/>
              <w:rPr>
                <w:rFonts w:ascii="Arial" w:hAnsi="Arial" w:cs="Arial"/>
                <w:color w:val="000000"/>
              </w:rPr>
            </w:pPr>
          </w:p>
        </w:tc>
        <w:tc>
          <w:tcPr>
            <w:tcW w:w="2137" w:type="pct"/>
            <w:shd w:val="clear" w:color="auto" w:fill="FFFFFF" w:themeFill="background1"/>
          </w:tcPr>
          <w:p w14:paraId="4D5AEA4F" w14:textId="3D62C767" w:rsidR="00367946" w:rsidRPr="00B01850" w:rsidRDefault="00367946">
            <w:pPr>
              <w:spacing w:after="0" w:line="240" w:lineRule="auto"/>
              <w:jc w:val="both"/>
              <w:rPr>
                <w:rFonts w:ascii="Arial" w:hAnsi="Arial" w:cs="Arial"/>
                <w:color w:val="000000"/>
              </w:rPr>
            </w:pPr>
            <w:r w:rsidRPr="00B01850">
              <w:rPr>
                <w:rFonts w:ascii="Arial" w:hAnsi="Arial" w:cs="Arial"/>
              </w:rPr>
              <w:t>L'âge minimum général pour travailler est de 1</w:t>
            </w:r>
            <w:r w:rsidR="00A96521" w:rsidRPr="00B01850">
              <w:rPr>
                <w:rFonts w:ascii="Arial" w:hAnsi="Arial" w:cs="Arial"/>
              </w:rPr>
              <w:t>6</w:t>
            </w:r>
            <w:r w:rsidRPr="00B01850">
              <w:rPr>
                <w:rFonts w:ascii="Arial" w:hAnsi="Arial" w:cs="Arial"/>
              </w:rPr>
              <w:t xml:space="preserve"> ans (ce qui est conforme aux normes de l'OIT sur l'âge minimum lorsque l'économie et les installations éducatives d'un pays ne sont pas suffisamment développées). Étant donné que les principales activités consistent en la passation des marchés, le risque de travail des </w:t>
            </w:r>
            <w:r w:rsidRPr="00B01850">
              <w:rPr>
                <w:rFonts w:ascii="Arial" w:hAnsi="Arial" w:cs="Arial"/>
              </w:rPr>
              <w:lastRenderedPageBreak/>
              <w:t xml:space="preserve">enfants est faible pour les travailleurs contractuels. Cependant, étant donné que l'on ne sait pas encore d'où proviennent les marchandises, il existe un risque modéré à substantiel de travail des enfants parmi les fournisseurs. </w:t>
            </w:r>
          </w:p>
        </w:tc>
        <w:tc>
          <w:tcPr>
            <w:tcW w:w="1969" w:type="pct"/>
            <w:shd w:val="clear" w:color="auto" w:fill="FFFFFF" w:themeFill="background1"/>
          </w:tcPr>
          <w:p w14:paraId="59A37B6E" w14:textId="03A2A3C6" w:rsidR="00367946" w:rsidRPr="00B01850" w:rsidRDefault="0030031E">
            <w:pPr>
              <w:spacing w:after="0" w:line="240" w:lineRule="auto"/>
              <w:jc w:val="both"/>
              <w:rPr>
                <w:rFonts w:ascii="Arial" w:hAnsi="Arial" w:cs="Arial"/>
                <w:color w:val="000000"/>
              </w:rPr>
            </w:pPr>
            <w:r w:rsidRPr="00B01850">
              <w:rPr>
                <w:rFonts w:ascii="Arial" w:hAnsi="Arial" w:cs="Arial"/>
                <w:color w:val="000000"/>
              </w:rPr>
              <w:lastRenderedPageBreak/>
              <w:t xml:space="preserve">Le contrat de travail écrit ne peut être conclu qu’avec un individu ayant atteint l’âge minimum de seize (16) ans. </w:t>
            </w:r>
            <w:r w:rsidR="00367946" w:rsidRPr="00B01850">
              <w:rPr>
                <w:rFonts w:ascii="Arial" w:hAnsi="Arial" w:cs="Arial"/>
                <w:color w:val="000000"/>
              </w:rPr>
              <w:t xml:space="preserve">Les fournisseurs seront contractuellement tenus de respecter les interdictions relatives au travail des enfants. Au cours du processus de passation des marchés, les fournisseurs potentiels </w:t>
            </w:r>
            <w:r w:rsidR="00367946" w:rsidRPr="00B01850">
              <w:rPr>
                <w:rFonts w:ascii="Arial" w:hAnsi="Arial" w:cs="Arial"/>
                <w:color w:val="000000"/>
              </w:rPr>
              <w:lastRenderedPageBreak/>
              <w:t xml:space="preserve">seront évalués pour vérifier s'ils ont abusé des pratiques antérieures. </w:t>
            </w:r>
          </w:p>
          <w:p w14:paraId="69C0C673" w14:textId="77777777" w:rsidR="00354FB4" w:rsidRPr="00B01850" w:rsidRDefault="00354FB4">
            <w:pPr>
              <w:spacing w:after="0" w:line="240" w:lineRule="auto"/>
              <w:jc w:val="both"/>
              <w:rPr>
                <w:rFonts w:ascii="Arial" w:hAnsi="Arial" w:cs="Arial"/>
                <w:color w:val="000000"/>
              </w:rPr>
            </w:pPr>
          </w:p>
          <w:p w14:paraId="33DBC532" w14:textId="478D3F66" w:rsidR="00354FB4" w:rsidRPr="00B01850" w:rsidRDefault="00354FB4" w:rsidP="00A51397">
            <w:pPr>
              <w:spacing w:after="0" w:line="240" w:lineRule="auto"/>
              <w:jc w:val="both"/>
              <w:rPr>
                <w:rFonts w:ascii="Arial" w:hAnsi="Arial" w:cs="Arial"/>
                <w:color w:val="000000"/>
              </w:rPr>
            </w:pPr>
            <w:r w:rsidRPr="00B01850">
              <w:rPr>
                <w:rFonts w:ascii="Arial" w:hAnsi="Arial" w:cs="Arial"/>
                <w:color w:val="000000"/>
              </w:rPr>
              <w:t>Le projet appliquera la liste d'exclusion de la SFI comme guide pour la passation des marchés et l'U</w:t>
            </w:r>
            <w:r w:rsidR="009214FD" w:rsidRPr="00B01850">
              <w:rPr>
                <w:rFonts w:ascii="Arial" w:hAnsi="Arial" w:cs="Arial"/>
                <w:color w:val="000000"/>
              </w:rPr>
              <w:t>GP</w:t>
            </w:r>
            <w:r w:rsidRPr="00B01850">
              <w:rPr>
                <w:rFonts w:ascii="Arial" w:hAnsi="Arial" w:cs="Arial"/>
                <w:color w:val="000000"/>
              </w:rPr>
              <w:t xml:space="preserve"> veillera à ce que les fournisseurs ne participent à aucune des activités énumérées.</w:t>
            </w:r>
          </w:p>
        </w:tc>
      </w:tr>
      <w:tr w:rsidR="00367946" w:rsidRPr="00B01850" w14:paraId="0620AA78" w14:textId="77777777" w:rsidTr="00672564">
        <w:tc>
          <w:tcPr>
            <w:tcW w:w="894" w:type="pct"/>
            <w:shd w:val="clear" w:color="auto" w:fill="FFFFFF" w:themeFill="background1"/>
          </w:tcPr>
          <w:p w14:paraId="69969C00" w14:textId="77777777" w:rsidR="00367946" w:rsidRPr="00B01850" w:rsidRDefault="00367946">
            <w:pPr>
              <w:spacing w:after="0" w:line="240" w:lineRule="auto"/>
              <w:jc w:val="both"/>
              <w:rPr>
                <w:rFonts w:ascii="Arial" w:hAnsi="Arial" w:cs="Arial"/>
                <w:color w:val="000000"/>
              </w:rPr>
            </w:pPr>
            <w:r w:rsidRPr="00B01850">
              <w:rPr>
                <w:rFonts w:ascii="Arial" w:hAnsi="Arial" w:cs="Arial"/>
                <w:color w:val="000000"/>
              </w:rPr>
              <w:lastRenderedPageBreak/>
              <w:t>Travail forcé</w:t>
            </w:r>
          </w:p>
        </w:tc>
        <w:tc>
          <w:tcPr>
            <w:tcW w:w="2137" w:type="pct"/>
            <w:shd w:val="clear" w:color="auto" w:fill="FFFFFF" w:themeFill="background1"/>
          </w:tcPr>
          <w:p w14:paraId="51EB8AC9" w14:textId="55CA1D8C" w:rsidR="00367946" w:rsidRPr="00B01850" w:rsidRDefault="005E5682">
            <w:pPr>
              <w:spacing w:after="0" w:line="240" w:lineRule="auto"/>
              <w:jc w:val="both"/>
              <w:rPr>
                <w:rFonts w:ascii="Arial" w:hAnsi="Arial" w:cs="Arial"/>
                <w:color w:val="000000"/>
              </w:rPr>
            </w:pPr>
            <w:r w:rsidRPr="00B01850">
              <w:rPr>
                <w:rFonts w:ascii="Arial" w:hAnsi="Arial" w:cs="Arial"/>
              </w:rPr>
              <w:t>Étant donné que les principales activités consistent en la passation des marchés, le risque de travail forcé est faible parmi les travailleurs contractuels. Cependant, étant donné que l'on ne sait pas encore d'où proviennent les marchandises, il existe un risque modéré à substantiel de travail forcé parmi les fournisseurs.</w:t>
            </w:r>
          </w:p>
        </w:tc>
        <w:tc>
          <w:tcPr>
            <w:tcW w:w="1969" w:type="pct"/>
            <w:shd w:val="clear" w:color="auto" w:fill="FFFFFF" w:themeFill="background1"/>
          </w:tcPr>
          <w:p w14:paraId="35BC971D" w14:textId="77777777" w:rsidR="00367946" w:rsidRPr="00B01850" w:rsidRDefault="005E5682">
            <w:pPr>
              <w:spacing w:after="0" w:line="240" w:lineRule="auto"/>
              <w:jc w:val="both"/>
              <w:rPr>
                <w:rFonts w:ascii="Arial" w:hAnsi="Arial" w:cs="Arial"/>
                <w:color w:val="000000"/>
              </w:rPr>
            </w:pPr>
            <w:r w:rsidRPr="00B01850">
              <w:rPr>
                <w:rFonts w:ascii="Arial" w:hAnsi="Arial" w:cs="Arial"/>
                <w:color w:val="000000"/>
              </w:rPr>
              <w:t>Les fournisseurs seront contractuellement tenus de respecter les interdictions de travail forcé. Au cours du processus de passation des marchés, les fournisseurs potentiels seront évalués pour vérifier s'ils ont abusé des pratiques antérieures.</w:t>
            </w:r>
          </w:p>
          <w:p w14:paraId="0F3ABCC1" w14:textId="77777777" w:rsidR="00354FB4" w:rsidRPr="00B01850" w:rsidRDefault="00354FB4">
            <w:pPr>
              <w:spacing w:after="0" w:line="240" w:lineRule="auto"/>
              <w:jc w:val="both"/>
              <w:rPr>
                <w:rFonts w:ascii="Arial" w:hAnsi="Arial" w:cs="Arial"/>
                <w:color w:val="000000"/>
              </w:rPr>
            </w:pPr>
          </w:p>
          <w:p w14:paraId="5B67F328" w14:textId="2A1EC775" w:rsidR="00354FB4" w:rsidRPr="00B01850" w:rsidRDefault="00354FB4" w:rsidP="00354FB4">
            <w:pPr>
              <w:spacing w:after="0" w:line="240" w:lineRule="auto"/>
              <w:jc w:val="both"/>
              <w:rPr>
                <w:rFonts w:ascii="Arial" w:hAnsi="Arial" w:cs="Arial"/>
                <w:color w:val="000000"/>
              </w:rPr>
            </w:pPr>
            <w:r w:rsidRPr="00B01850">
              <w:rPr>
                <w:rFonts w:ascii="Arial" w:hAnsi="Arial" w:cs="Arial"/>
                <w:color w:val="000000"/>
              </w:rPr>
              <w:t>Le projet appliquera la liste d'exclusion de la SFI comme guide pour la passation des marchés et l'U</w:t>
            </w:r>
            <w:r w:rsidR="009214FD" w:rsidRPr="00B01850">
              <w:rPr>
                <w:rFonts w:ascii="Arial" w:hAnsi="Arial" w:cs="Arial"/>
                <w:color w:val="000000"/>
              </w:rPr>
              <w:t>GP</w:t>
            </w:r>
            <w:r w:rsidRPr="00B01850">
              <w:rPr>
                <w:rFonts w:ascii="Arial" w:hAnsi="Arial" w:cs="Arial"/>
                <w:color w:val="000000"/>
              </w:rPr>
              <w:t xml:space="preserve"> veillera à ce que les fournisseurs ne participent à aucune des activités énumérées.</w:t>
            </w:r>
          </w:p>
          <w:p w14:paraId="5438123E" w14:textId="5F29DDA7" w:rsidR="00354FB4" w:rsidRPr="00B01850" w:rsidRDefault="00354FB4">
            <w:pPr>
              <w:spacing w:after="0" w:line="240" w:lineRule="auto"/>
              <w:jc w:val="both"/>
              <w:rPr>
                <w:rFonts w:ascii="Arial" w:hAnsi="Arial" w:cs="Arial"/>
              </w:rPr>
            </w:pPr>
          </w:p>
        </w:tc>
      </w:tr>
      <w:tr w:rsidR="00367946" w:rsidRPr="00B01850" w14:paraId="209E5470" w14:textId="77777777" w:rsidTr="00672564">
        <w:tc>
          <w:tcPr>
            <w:tcW w:w="894" w:type="pct"/>
            <w:shd w:val="clear" w:color="auto" w:fill="FFFFFF" w:themeFill="background1"/>
          </w:tcPr>
          <w:p w14:paraId="2E387E2F" w14:textId="246AB16F" w:rsidR="00367946" w:rsidRPr="00B01850" w:rsidRDefault="005E5682">
            <w:pPr>
              <w:spacing w:after="0" w:line="240" w:lineRule="auto"/>
              <w:jc w:val="both"/>
              <w:rPr>
                <w:rFonts w:ascii="Arial" w:hAnsi="Arial" w:cs="Arial"/>
                <w:color w:val="000000"/>
              </w:rPr>
            </w:pPr>
            <w:r w:rsidRPr="00B01850">
              <w:rPr>
                <w:rFonts w:ascii="Arial" w:hAnsi="Arial" w:cs="Arial"/>
                <w:color w:val="000000"/>
              </w:rPr>
              <w:t>Accidents de la circulation</w:t>
            </w:r>
          </w:p>
        </w:tc>
        <w:tc>
          <w:tcPr>
            <w:tcW w:w="2137" w:type="pct"/>
            <w:shd w:val="clear" w:color="auto" w:fill="FFFFFF" w:themeFill="background1"/>
          </w:tcPr>
          <w:p w14:paraId="484D9A94" w14:textId="3B378D33" w:rsidR="00367946" w:rsidRPr="00B01850" w:rsidRDefault="00367946">
            <w:pPr>
              <w:spacing w:after="0" w:line="240" w:lineRule="auto"/>
              <w:jc w:val="both"/>
              <w:rPr>
                <w:rFonts w:ascii="Arial" w:hAnsi="Arial" w:cs="Arial"/>
                <w:color w:val="000000"/>
              </w:rPr>
            </w:pPr>
            <w:r w:rsidRPr="00B01850">
              <w:rPr>
                <w:rFonts w:ascii="Arial" w:hAnsi="Arial" w:cs="Arial"/>
                <w:color w:val="000000"/>
              </w:rPr>
              <w:t>Étant donné que les marchandises seront transportées jusqu'à leur lieu de stockage, il existe un risque d'accidents de la circulation pour les membres de la communauté et les travailleurs contractuels et fournisseurs.</w:t>
            </w:r>
          </w:p>
        </w:tc>
        <w:tc>
          <w:tcPr>
            <w:tcW w:w="1969" w:type="pct"/>
            <w:shd w:val="clear" w:color="auto" w:fill="FFFFFF" w:themeFill="background1"/>
          </w:tcPr>
          <w:p w14:paraId="643000DF" w14:textId="6C06A273" w:rsidR="00367946" w:rsidRPr="00B01850" w:rsidRDefault="005E5682">
            <w:pPr>
              <w:spacing w:after="0" w:line="240" w:lineRule="auto"/>
              <w:jc w:val="both"/>
              <w:rPr>
                <w:rFonts w:ascii="Arial" w:hAnsi="Arial" w:cs="Arial"/>
                <w:color w:val="000000"/>
              </w:rPr>
            </w:pPr>
            <w:r w:rsidRPr="00B01850">
              <w:rPr>
                <w:rFonts w:ascii="Arial" w:hAnsi="Arial" w:cs="Arial"/>
                <w:color w:val="000000"/>
              </w:rPr>
              <w:t>Mettre en œuvre un cadre de gestion de la circulation</w:t>
            </w:r>
          </w:p>
        </w:tc>
      </w:tr>
    </w:tbl>
    <w:p w14:paraId="69E34C36" w14:textId="77777777" w:rsidR="00367946" w:rsidRPr="00B01850" w:rsidRDefault="00367946" w:rsidP="00367946">
      <w:pPr>
        <w:pStyle w:val="Heading2"/>
        <w:spacing w:before="0" w:line="240" w:lineRule="auto"/>
        <w:jc w:val="both"/>
        <w:rPr>
          <w:rFonts w:ascii="Arial" w:hAnsi="Arial" w:cs="Arial"/>
          <w:sz w:val="22"/>
          <w:szCs w:val="22"/>
        </w:rPr>
      </w:pPr>
    </w:p>
    <w:p w14:paraId="181A335F" w14:textId="76792DFE" w:rsidR="00367946" w:rsidRPr="00B01850" w:rsidRDefault="00367946" w:rsidP="00214DCC">
      <w:pPr>
        <w:pStyle w:val="ListParagraph"/>
        <w:numPr>
          <w:ilvl w:val="0"/>
          <w:numId w:val="69"/>
        </w:numPr>
        <w:spacing w:after="0" w:line="240" w:lineRule="auto"/>
        <w:jc w:val="both"/>
        <w:rPr>
          <w:rFonts w:ascii="Arial" w:hAnsi="Arial" w:cs="Arial"/>
          <w:b/>
          <w:bCs/>
          <w:color w:val="000000"/>
        </w:rPr>
      </w:pPr>
      <w:r w:rsidRPr="00B01850">
        <w:rPr>
          <w:rFonts w:ascii="Arial" w:hAnsi="Arial" w:cs="Arial"/>
          <w:b/>
          <w:bCs/>
          <w:color w:val="000000"/>
        </w:rPr>
        <w:t xml:space="preserve">Dispositions institutionnelles pour la mise en œuvre des </w:t>
      </w:r>
      <w:proofErr w:type="spellStart"/>
      <w:r w:rsidR="005F276A" w:rsidRPr="00B01850">
        <w:rPr>
          <w:rFonts w:ascii="Arial" w:hAnsi="Arial" w:cs="Arial"/>
          <w:b/>
          <w:bCs/>
          <w:color w:val="000000"/>
        </w:rPr>
        <w:t>PGMo</w:t>
      </w:r>
      <w:proofErr w:type="spellEnd"/>
    </w:p>
    <w:p w14:paraId="40316F0C" w14:textId="77777777" w:rsidR="00367946" w:rsidRPr="00B01850" w:rsidRDefault="00367946" w:rsidP="00367946">
      <w:pPr>
        <w:spacing w:after="0" w:line="240" w:lineRule="auto"/>
        <w:jc w:val="both"/>
        <w:rPr>
          <w:rFonts w:ascii="Arial" w:hAnsi="Arial" w:cs="Arial"/>
          <w:color w:val="000000"/>
        </w:rPr>
      </w:pPr>
    </w:p>
    <w:p w14:paraId="437DE74A" w14:textId="01AE148D" w:rsidR="00367946" w:rsidRPr="00B01850" w:rsidRDefault="001B5EBA" w:rsidP="00367946">
      <w:pPr>
        <w:spacing w:after="0" w:line="240" w:lineRule="auto"/>
        <w:jc w:val="both"/>
        <w:rPr>
          <w:rFonts w:ascii="Arial" w:hAnsi="Arial" w:cs="Arial"/>
        </w:rPr>
      </w:pPr>
      <w:r w:rsidRPr="00B01850">
        <w:rPr>
          <w:rFonts w:ascii="Arial" w:hAnsi="Arial" w:cs="Arial"/>
          <w:color w:val="000000"/>
        </w:rPr>
        <w:t xml:space="preserve">En tenant compte des différentes catégories de travailleurs du projet </w:t>
      </w:r>
      <w:r w:rsidR="00367946" w:rsidRPr="00B01850">
        <w:rPr>
          <w:rFonts w:ascii="Arial" w:hAnsi="Arial" w:cs="Arial"/>
          <w:color w:val="000000"/>
        </w:rPr>
        <w:t>(travailleurs directs, travailleurs contractuels, employés des fournisseurs principaux</w:t>
      </w:r>
      <w:r w:rsidR="000C163E" w:rsidRPr="00B01850">
        <w:rPr>
          <w:rFonts w:ascii="Arial" w:hAnsi="Arial" w:cs="Arial"/>
          <w:color w:val="000000"/>
        </w:rPr>
        <w:t>, travailleurs communautaires</w:t>
      </w:r>
      <w:r w:rsidR="00367946" w:rsidRPr="00B01850">
        <w:rPr>
          <w:rFonts w:ascii="Arial" w:hAnsi="Arial" w:cs="Arial"/>
          <w:color w:val="000000"/>
        </w:rPr>
        <w:t xml:space="preserve">), </w:t>
      </w:r>
      <w:r w:rsidR="000C163E" w:rsidRPr="00B01850">
        <w:rPr>
          <w:rFonts w:ascii="Arial" w:hAnsi="Arial" w:cs="Arial"/>
          <w:color w:val="000000"/>
        </w:rPr>
        <w:t xml:space="preserve">cette partie du document indique les </w:t>
      </w:r>
      <w:r w:rsidR="00367946" w:rsidRPr="00B01850">
        <w:rPr>
          <w:rFonts w:ascii="Arial" w:hAnsi="Arial" w:cs="Arial"/>
          <w:color w:val="000000"/>
        </w:rPr>
        <w:t xml:space="preserve">dispositions opérationnelles </w:t>
      </w:r>
      <w:r w:rsidR="00AC26FF" w:rsidRPr="00B01850">
        <w:rPr>
          <w:rFonts w:ascii="Arial" w:hAnsi="Arial" w:cs="Arial"/>
          <w:color w:val="000000"/>
        </w:rPr>
        <w:t xml:space="preserve">établies </w:t>
      </w:r>
      <w:r w:rsidR="00367946" w:rsidRPr="00B01850">
        <w:rPr>
          <w:rFonts w:ascii="Arial" w:hAnsi="Arial" w:cs="Arial"/>
          <w:color w:val="000000"/>
        </w:rPr>
        <w:t xml:space="preserve">pour assurer la bonne mise en œuvre des </w:t>
      </w:r>
      <w:r w:rsidR="005342FF" w:rsidRPr="00B01850">
        <w:rPr>
          <w:rFonts w:ascii="Arial" w:hAnsi="Arial" w:cs="Arial"/>
          <w:color w:val="000000"/>
        </w:rPr>
        <w:t xml:space="preserve">présentes </w:t>
      </w:r>
      <w:r w:rsidR="00367946" w:rsidRPr="00B01850">
        <w:rPr>
          <w:rFonts w:ascii="Arial" w:hAnsi="Arial" w:cs="Arial"/>
          <w:color w:val="000000"/>
        </w:rPr>
        <w:t xml:space="preserve">procédures de gestion de la main-d'œuvre. </w:t>
      </w:r>
      <w:r w:rsidR="00410691" w:rsidRPr="00B01850">
        <w:rPr>
          <w:rFonts w:ascii="Arial" w:hAnsi="Arial" w:cs="Arial"/>
          <w:color w:val="000000"/>
        </w:rPr>
        <w:t xml:space="preserve">Signalons que les mesures de gestion de la main d’œuvre </w:t>
      </w:r>
      <w:r w:rsidR="00325BD0" w:rsidRPr="00B01850">
        <w:rPr>
          <w:rFonts w:ascii="Arial" w:hAnsi="Arial" w:cs="Arial"/>
          <w:color w:val="000000"/>
        </w:rPr>
        <w:t xml:space="preserve">figurant dans ce document s’appliquent </w:t>
      </w:r>
      <w:r w:rsidR="00367946" w:rsidRPr="00B01850">
        <w:rPr>
          <w:rFonts w:ascii="Arial" w:hAnsi="Arial" w:cs="Arial"/>
          <w:color w:val="000000"/>
        </w:rPr>
        <w:t xml:space="preserve">à toutes les catégories de travailleurs </w:t>
      </w:r>
      <w:r w:rsidR="00325BD0" w:rsidRPr="00B01850">
        <w:rPr>
          <w:rFonts w:ascii="Arial" w:hAnsi="Arial" w:cs="Arial"/>
          <w:color w:val="000000"/>
        </w:rPr>
        <w:t>et à toutes les institutions impliquées da</w:t>
      </w:r>
      <w:r w:rsidR="00DE6089" w:rsidRPr="00B01850">
        <w:rPr>
          <w:rFonts w:ascii="Arial" w:hAnsi="Arial" w:cs="Arial"/>
          <w:color w:val="000000"/>
        </w:rPr>
        <w:t xml:space="preserve">ns la mise en œuvre du projet. Toutefois, les </w:t>
      </w:r>
      <w:r w:rsidR="00B307C9" w:rsidRPr="00B01850">
        <w:rPr>
          <w:rFonts w:ascii="Arial" w:hAnsi="Arial" w:cs="Arial"/>
          <w:color w:val="000000"/>
        </w:rPr>
        <w:t xml:space="preserve">catégories de travailleurs auxquelles une attention particulière doit être portée </w:t>
      </w:r>
      <w:r w:rsidR="00DE6089" w:rsidRPr="00B01850">
        <w:rPr>
          <w:rFonts w:ascii="Arial" w:hAnsi="Arial" w:cs="Arial"/>
          <w:color w:val="000000"/>
        </w:rPr>
        <w:t>s</w:t>
      </w:r>
      <w:r w:rsidR="00AB0CF0" w:rsidRPr="00B01850">
        <w:rPr>
          <w:rFonts w:ascii="Arial" w:hAnsi="Arial" w:cs="Arial"/>
          <w:color w:val="000000"/>
        </w:rPr>
        <w:t xml:space="preserve">ont indiqués </w:t>
      </w:r>
      <w:r w:rsidR="003C6673" w:rsidRPr="00B01850">
        <w:rPr>
          <w:rFonts w:ascii="Arial" w:hAnsi="Arial" w:cs="Arial"/>
          <w:color w:val="000000"/>
        </w:rPr>
        <w:t xml:space="preserve">également indiquée </w:t>
      </w:r>
      <w:r w:rsidR="00367946" w:rsidRPr="00B01850">
        <w:rPr>
          <w:rFonts w:ascii="Arial" w:hAnsi="Arial" w:cs="Arial"/>
          <w:color w:val="000000"/>
        </w:rPr>
        <w:t xml:space="preserve">dans </w:t>
      </w:r>
      <w:r w:rsidR="00733AB1" w:rsidRPr="00B01850">
        <w:rPr>
          <w:rFonts w:ascii="Arial" w:hAnsi="Arial" w:cs="Arial"/>
          <w:color w:val="000000"/>
        </w:rPr>
        <w:t>c</w:t>
      </w:r>
      <w:r w:rsidR="00367946" w:rsidRPr="00B01850">
        <w:rPr>
          <w:rFonts w:ascii="Arial" w:hAnsi="Arial" w:cs="Arial"/>
          <w:color w:val="000000"/>
        </w:rPr>
        <w:t>es procédures de gestion de la main-d'œuvre.</w:t>
      </w:r>
    </w:p>
    <w:p w14:paraId="4D08010C" w14:textId="0E2F848F" w:rsidR="00367946" w:rsidRPr="00B01850" w:rsidRDefault="00367946" w:rsidP="00600B95">
      <w:pPr>
        <w:spacing w:before="120" w:after="0" w:line="240" w:lineRule="auto"/>
        <w:jc w:val="both"/>
        <w:rPr>
          <w:rFonts w:ascii="Arial" w:hAnsi="Arial" w:cs="Arial"/>
        </w:rPr>
      </w:pPr>
      <w:r w:rsidRPr="00B01850">
        <w:rPr>
          <w:rFonts w:ascii="Arial" w:hAnsi="Arial" w:cs="Arial"/>
          <w:color w:val="000000"/>
        </w:rPr>
        <w:t>Les exigences des procédures de gestion de la main-d'œuvre applicables aux travailleurs directs incomberont à l'U</w:t>
      </w:r>
      <w:r w:rsidR="00D56EA3" w:rsidRPr="00B01850">
        <w:rPr>
          <w:rFonts w:ascii="Arial" w:hAnsi="Arial" w:cs="Arial"/>
          <w:color w:val="000000"/>
        </w:rPr>
        <w:t>GP</w:t>
      </w:r>
      <w:r w:rsidR="00565E1E" w:rsidRPr="00B01850">
        <w:rPr>
          <w:rFonts w:ascii="Arial" w:hAnsi="Arial" w:cs="Arial"/>
          <w:color w:val="000000"/>
        </w:rPr>
        <w:t xml:space="preserve"> du CERP</w:t>
      </w:r>
      <w:r w:rsidRPr="00B01850">
        <w:rPr>
          <w:rFonts w:ascii="Arial" w:hAnsi="Arial" w:cs="Arial"/>
          <w:color w:val="000000"/>
        </w:rPr>
        <w:t xml:space="preserve">. </w:t>
      </w:r>
      <w:r w:rsidR="00C75BC3" w:rsidRPr="00B01850">
        <w:rPr>
          <w:rFonts w:ascii="Arial" w:hAnsi="Arial" w:cs="Arial"/>
          <w:color w:val="000000"/>
        </w:rPr>
        <w:t xml:space="preserve">Toutefois, elle </w:t>
      </w:r>
      <w:r w:rsidRPr="00B01850">
        <w:rPr>
          <w:rFonts w:ascii="Arial" w:hAnsi="Arial" w:cs="Arial"/>
          <w:color w:val="000000"/>
        </w:rPr>
        <w:t>supervis</w:t>
      </w:r>
      <w:r w:rsidR="0090247B" w:rsidRPr="00B01850">
        <w:rPr>
          <w:rFonts w:ascii="Arial" w:hAnsi="Arial" w:cs="Arial"/>
          <w:color w:val="000000"/>
        </w:rPr>
        <w:t>era le respect de la mise en œuvre des mesures</w:t>
      </w:r>
      <w:r w:rsidR="002C45A9" w:rsidRPr="00B01850">
        <w:rPr>
          <w:rFonts w:ascii="Arial" w:hAnsi="Arial" w:cs="Arial"/>
          <w:color w:val="000000"/>
        </w:rPr>
        <w:t xml:space="preserve"> </w:t>
      </w:r>
      <w:r w:rsidR="001C1585" w:rsidRPr="00B01850">
        <w:rPr>
          <w:rFonts w:ascii="Arial" w:hAnsi="Arial" w:cs="Arial"/>
          <w:color w:val="000000"/>
        </w:rPr>
        <w:t xml:space="preserve">(NES n°2, </w:t>
      </w:r>
      <w:proofErr w:type="spellStart"/>
      <w:r w:rsidR="001C1585" w:rsidRPr="00B01850">
        <w:rPr>
          <w:rFonts w:ascii="Arial" w:hAnsi="Arial" w:cs="Arial"/>
          <w:color w:val="000000"/>
        </w:rPr>
        <w:t>PGMo</w:t>
      </w:r>
      <w:proofErr w:type="spellEnd"/>
      <w:r w:rsidR="001C1585" w:rsidRPr="00B01850">
        <w:rPr>
          <w:rFonts w:ascii="Arial" w:hAnsi="Arial" w:cs="Arial"/>
          <w:color w:val="000000"/>
        </w:rPr>
        <w:t xml:space="preserve"> et PGES) </w:t>
      </w:r>
      <w:r w:rsidR="00EB0E13" w:rsidRPr="00B01850">
        <w:rPr>
          <w:rFonts w:ascii="Arial" w:hAnsi="Arial" w:cs="Arial"/>
          <w:color w:val="000000"/>
        </w:rPr>
        <w:t xml:space="preserve">par </w:t>
      </w:r>
      <w:r w:rsidR="002D7631" w:rsidRPr="00B01850">
        <w:rPr>
          <w:rFonts w:ascii="Arial" w:hAnsi="Arial" w:cs="Arial"/>
          <w:color w:val="000000"/>
        </w:rPr>
        <w:t xml:space="preserve">les institutions publiques, </w:t>
      </w:r>
      <w:r w:rsidR="00EB0E13" w:rsidRPr="00B01850">
        <w:rPr>
          <w:rFonts w:ascii="Arial" w:hAnsi="Arial" w:cs="Arial"/>
          <w:color w:val="000000"/>
        </w:rPr>
        <w:t xml:space="preserve">les </w:t>
      </w:r>
      <w:r w:rsidR="0011711D" w:rsidRPr="00B01850">
        <w:rPr>
          <w:rFonts w:ascii="Arial" w:hAnsi="Arial" w:cs="Arial"/>
          <w:color w:val="000000"/>
        </w:rPr>
        <w:t>entreprises partenaires et sous-traitantes</w:t>
      </w:r>
      <w:r w:rsidR="00696315" w:rsidRPr="00B01850">
        <w:rPr>
          <w:rFonts w:ascii="Arial" w:hAnsi="Arial" w:cs="Arial"/>
          <w:color w:val="000000"/>
        </w:rPr>
        <w:t xml:space="preserve"> ou </w:t>
      </w:r>
      <w:r w:rsidR="002D7631" w:rsidRPr="00B01850">
        <w:rPr>
          <w:rFonts w:ascii="Arial" w:hAnsi="Arial" w:cs="Arial"/>
          <w:color w:val="000000"/>
        </w:rPr>
        <w:t xml:space="preserve">les </w:t>
      </w:r>
      <w:r w:rsidRPr="00B01850">
        <w:rPr>
          <w:rFonts w:ascii="Arial" w:hAnsi="Arial" w:cs="Arial"/>
          <w:color w:val="000000"/>
        </w:rPr>
        <w:t>prestataires tiers par le biais d'un dispositif de rapport</w:t>
      </w:r>
      <w:r w:rsidR="003A546C" w:rsidRPr="00B01850">
        <w:rPr>
          <w:rFonts w:ascii="Arial" w:hAnsi="Arial" w:cs="Arial"/>
          <w:color w:val="000000"/>
        </w:rPr>
        <w:t>age</w:t>
      </w:r>
      <w:r w:rsidR="002C45A9" w:rsidRPr="00B01850">
        <w:rPr>
          <w:rFonts w:ascii="Arial" w:hAnsi="Arial" w:cs="Arial"/>
          <w:color w:val="000000"/>
        </w:rPr>
        <w:t>.</w:t>
      </w:r>
    </w:p>
    <w:p w14:paraId="41273525" w14:textId="157A51E0" w:rsidR="00367946" w:rsidRPr="00B01850" w:rsidRDefault="00367946" w:rsidP="00214DCC">
      <w:pPr>
        <w:pStyle w:val="ListParagraph"/>
        <w:numPr>
          <w:ilvl w:val="0"/>
          <w:numId w:val="70"/>
        </w:numPr>
        <w:spacing w:before="120" w:after="0" w:line="240" w:lineRule="auto"/>
        <w:jc w:val="both"/>
        <w:rPr>
          <w:rFonts w:ascii="Arial" w:hAnsi="Arial" w:cs="Arial"/>
        </w:rPr>
      </w:pPr>
      <w:r w:rsidRPr="00B01850">
        <w:rPr>
          <w:rFonts w:ascii="Arial" w:hAnsi="Arial" w:cs="Arial"/>
          <w:i/>
          <w:iCs/>
          <w:color w:val="000000"/>
        </w:rPr>
        <w:t>Les travailleurs contractuels</w:t>
      </w:r>
      <w:r w:rsidR="00786AEC" w:rsidRPr="00B01850">
        <w:rPr>
          <w:rFonts w:ascii="Arial" w:hAnsi="Arial" w:cs="Arial"/>
          <w:color w:val="000000"/>
        </w:rPr>
        <w:t> :</w:t>
      </w:r>
      <w:r w:rsidRPr="00B01850">
        <w:rPr>
          <w:rFonts w:ascii="Arial" w:hAnsi="Arial" w:cs="Arial"/>
          <w:color w:val="000000"/>
        </w:rPr>
        <w:t xml:space="preserve"> sont ceux employés par des entrepreneurs ou des prestataires tiers pour exécuter les activités du projet. Lorsque les procédures de gestion de la main-d'œuvre font référence aux responsabilités de l'entrepreneur, elles font </w:t>
      </w:r>
      <w:r w:rsidRPr="00B01850">
        <w:rPr>
          <w:rFonts w:ascii="Arial" w:hAnsi="Arial" w:cs="Arial"/>
          <w:color w:val="000000"/>
        </w:rPr>
        <w:lastRenderedPageBreak/>
        <w:t xml:space="preserve">également référence à tout autre fournisseur tiers. L'entrepreneur a la responsabilité d'assurer la mise en œuvre des procédures de gestion de la main-d'œuvre à l'interface avec ses sous-traitants respectifs, tandis que </w:t>
      </w:r>
      <w:r w:rsidR="00AF0504" w:rsidRPr="00B01850">
        <w:rPr>
          <w:rFonts w:ascii="Arial" w:hAnsi="Arial" w:cs="Arial"/>
          <w:color w:val="000000"/>
        </w:rPr>
        <w:t>l’UGP</w:t>
      </w:r>
      <w:r w:rsidRPr="00B01850">
        <w:rPr>
          <w:rFonts w:ascii="Arial" w:hAnsi="Arial" w:cs="Arial"/>
          <w:color w:val="000000"/>
        </w:rPr>
        <w:t xml:space="preserve"> supervise la mise en œuvre des procédures de gestion de la main-d'œuvre à tous les niveaux. </w:t>
      </w:r>
    </w:p>
    <w:p w14:paraId="2F81D0F3" w14:textId="77777777" w:rsidR="00FF36D7" w:rsidRPr="00B01850" w:rsidRDefault="00367946" w:rsidP="00214DCC">
      <w:pPr>
        <w:pStyle w:val="ListParagraph"/>
        <w:numPr>
          <w:ilvl w:val="0"/>
          <w:numId w:val="71"/>
        </w:numPr>
        <w:spacing w:before="120" w:after="0" w:line="240" w:lineRule="auto"/>
        <w:contextualSpacing w:val="0"/>
        <w:jc w:val="both"/>
        <w:rPr>
          <w:rFonts w:ascii="Arial" w:hAnsi="Arial" w:cs="Arial"/>
          <w:color w:val="000000"/>
        </w:rPr>
      </w:pPr>
      <w:r w:rsidRPr="00B01850">
        <w:rPr>
          <w:rFonts w:ascii="Arial" w:hAnsi="Arial" w:cs="Arial"/>
          <w:i/>
          <w:iCs/>
          <w:color w:val="000000"/>
        </w:rPr>
        <w:t>Les fournisseurs principaux</w:t>
      </w:r>
      <w:r w:rsidR="00786AEC" w:rsidRPr="00B01850">
        <w:rPr>
          <w:rFonts w:ascii="Arial" w:hAnsi="Arial" w:cs="Arial"/>
          <w:color w:val="000000"/>
        </w:rPr>
        <w:t> :</w:t>
      </w:r>
      <w:r w:rsidRPr="00B01850">
        <w:rPr>
          <w:rFonts w:ascii="Arial" w:hAnsi="Arial" w:cs="Arial"/>
          <w:color w:val="000000"/>
        </w:rPr>
        <w:t xml:space="preserve"> sont identifiés par </w:t>
      </w:r>
      <w:r w:rsidR="00AF0504" w:rsidRPr="00B01850">
        <w:rPr>
          <w:rFonts w:ascii="Arial" w:hAnsi="Arial" w:cs="Arial"/>
          <w:color w:val="000000"/>
        </w:rPr>
        <w:t>l’UGP</w:t>
      </w:r>
      <w:r w:rsidRPr="00B01850">
        <w:rPr>
          <w:rFonts w:ascii="Arial" w:hAnsi="Arial" w:cs="Arial"/>
          <w:color w:val="000000"/>
        </w:rPr>
        <w:t xml:space="preserve"> ou par un partenaire d'exécution. </w:t>
      </w:r>
      <w:r w:rsidR="008515E6" w:rsidRPr="00B01850">
        <w:rPr>
          <w:rFonts w:ascii="Arial" w:hAnsi="Arial" w:cs="Arial"/>
          <w:color w:val="000000"/>
        </w:rPr>
        <w:t xml:space="preserve">Le projet s’assurera de la qualité </w:t>
      </w:r>
      <w:r w:rsidR="00E62A04" w:rsidRPr="00B01850">
        <w:rPr>
          <w:rFonts w:ascii="Arial" w:hAnsi="Arial" w:cs="Arial"/>
          <w:color w:val="000000"/>
        </w:rPr>
        <w:t xml:space="preserve">des </w:t>
      </w:r>
      <w:r w:rsidRPr="00B01850">
        <w:rPr>
          <w:rFonts w:ascii="Arial" w:hAnsi="Arial" w:cs="Arial"/>
          <w:color w:val="000000"/>
        </w:rPr>
        <w:t xml:space="preserve">procédures de gestion de la main-d'œuvre </w:t>
      </w:r>
      <w:r w:rsidR="00E62A04" w:rsidRPr="00B01850">
        <w:rPr>
          <w:rFonts w:ascii="Arial" w:hAnsi="Arial" w:cs="Arial"/>
          <w:color w:val="000000"/>
        </w:rPr>
        <w:t xml:space="preserve">mises en place par ces derniers. </w:t>
      </w:r>
      <w:r w:rsidR="00DE7DC0" w:rsidRPr="00B01850">
        <w:rPr>
          <w:rFonts w:ascii="Arial" w:hAnsi="Arial" w:cs="Arial"/>
          <w:color w:val="000000"/>
        </w:rPr>
        <w:t>Car toutes les entités impliquées dans la mise en œuvre du CERP</w:t>
      </w:r>
      <w:r w:rsidR="0050203D" w:rsidRPr="00B01850">
        <w:rPr>
          <w:rFonts w:ascii="Arial" w:hAnsi="Arial" w:cs="Arial"/>
          <w:color w:val="000000"/>
        </w:rPr>
        <w:t xml:space="preserve">, doivent veiller </w:t>
      </w:r>
      <w:r w:rsidRPr="00B01850">
        <w:rPr>
          <w:rFonts w:ascii="Arial" w:hAnsi="Arial" w:cs="Arial"/>
          <w:color w:val="000000"/>
        </w:rPr>
        <w:t xml:space="preserve">au respect de toutes les procédures relatives aux employés des fournisseurs principaux, bien que </w:t>
      </w:r>
      <w:r w:rsidR="00AF0504" w:rsidRPr="00B01850">
        <w:rPr>
          <w:rFonts w:ascii="Arial" w:hAnsi="Arial" w:cs="Arial"/>
          <w:color w:val="000000"/>
        </w:rPr>
        <w:t>l’UGP</w:t>
      </w:r>
      <w:r w:rsidRPr="00B01850">
        <w:rPr>
          <w:rFonts w:ascii="Arial" w:hAnsi="Arial" w:cs="Arial"/>
          <w:color w:val="000000"/>
        </w:rPr>
        <w:t xml:space="preserve"> en assume la responsabilité globale.</w:t>
      </w:r>
    </w:p>
    <w:p w14:paraId="3B87FBD1" w14:textId="671E447D" w:rsidR="00367946" w:rsidRPr="00B01850" w:rsidRDefault="004951BF" w:rsidP="001D52D1">
      <w:pPr>
        <w:spacing w:before="120" w:after="0" w:line="240" w:lineRule="auto"/>
        <w:jc w:val="both"/>
        <w:rPr>
          <w:rFonts w:ascii="Arial" w:hAnsi="Arial" w:cs="Arial"/>
          <w:color w:val="000000"/>
        </w:rPr>
      </w:pPr>
      <w:r w:rsidRPr="00B01850">
        <w:rPr>
          <w:rFonts w:ascii="Arial" w:hAnsi="Arial" w:cs="Arial"/>
          <w:color w:val="000000"/>
        </w:rPr>
        <w:t xml:space="preserve">Toutefois, la </w:t>
      </w:r>
      <w:r w:rsidR="00F15894" w:rsidRPr="00B01850">
        <w:rPr>
          <w:rFonts w:ascii="Arial" w:hAnsi="Arial" w:cs="Arial"/>
          <w:color w:val="000000"/>
        </w:rPr>
        <w:t xml:space="preserve">responsabilité </w:t>
      </w:r>
      <w:r w:rsidR="003D76AA" w:rsidRPr="00B01850">
        <w:rPr>
          <w:rFonts w:ascii="Arial" w:hAnsi="Arial" w:cs="Arial"/>
          <w:color w:val="000000"/>
        </w:rPr>
        <w:t xml:space="preserve">de la </w:t>
      </w:r>
      <w:r w:rsidRPr="00B01850">
        <w:rPr>
          <w:rFonts w:ascii="Arial" w:hAnsi="Arial" w:cs="Arial"/>
          <w:color w:val="000000"/>
        </w:rPr>
        <w:t xml:space="preserve">supervision du respect des mesures relatives à la gestion du personnel </w:t>
      </w:r>
      <w:r w:rsidR="000029B2" w:rsidRPr="00B01850">
        <w:rPr>
          <w:rFonts w:ascii="Arial" w:hAnsi="Arial" w:cs="Arial"/>
          <w:color w:val="000000"/>
        </w:rPr>
        <w:t xml:space="preserve">doit obéir </w:t>
      </w:r>
      <w:r w:rsidR="00F7271D" w:rsidRPr="00B01850">
        <w:rPr>
          <w:rFonts w:ascii="Arial" w:hAnsi="Arial" w:cs="Arial"/>
          <w:color w:val="000000"/>
        </w:rPr>
        <w:t xml:space="preserve">l’approche </w:t>
      </w:r>
      <w:r w:rsidR="00367946" w:rsidRPr="00B01850">
        <w:rPr>
          <w:rFonts w:ascii="Arial" w:hAnsi="Arial" w:cs="Arial"/>
          <w:color w:val="000000"/>
        </w:rPr>
        <w:t xml:space="preserve">de proportionnalité </w:t>
      </w:r>
      <w:r w:rsidR="00846E49" w:rsidRPr="00B01850">
        <w:rPr>
          <w:rFonts w:ascii="Arial" w:hAnsi="Arial" w:cs="Arial"/>
          <w:color w:val="000000"/>
        </w:rPr>
        <w:t xml:space="preserve">prônée par </w:t>
      </w:r>
      <w:r w:rsidR="001B6EF2" w:rsidRPr="00B01850">
        <w:rPr>
          <w:rFonts w:ascii="Arial" w:hAnsi="Arial" w:cs="Arial"/>
          <w:color w:val="000000"/>
        </w:rPr>
        <w:t>le CES et la NES n°2.</w:t>
      </w:r>
    </w:p>
    <w:p w14:paraId="6AD464F4" w14:textId="77777777" w:rsidR="00367946" w:rsidRPr="00B01850" w:rsidRDefault="00367946" w:rsidP="00367946">
      <w:pPr>
        <w:spacing w:after="0" w:line="240" w:lineRule="auto"/>
        <w:jc w:val="both"/>
        <w:rPr>
          <w:rFonts w:ascii="Arial" w:hAnsi="Arial" w:cs="Arial"/>
          <w:color w:val="000000"/>
        </w:rPr>
      </w:pPr>
    </w:p>
    <w:p w14:paraId="1F36C60C" w14:textId="77777777" w:rsidR="00367946" w:rsidRPr="00B01850" w:rsidRDefault="00367946" w:rsidP="00214DCC">
      <w:pPr>
        <w:pStyle w:val="ListParagraph"/>
        <w:numPr>
          <w:ilvl w:val="0"/>
          <w:numId w:val="86"/>
        </w:numPr>
        <w:spacing w:after="0" w:line="240" w:lineRule="auto"/>
        <w:jc w:val="both"/>
        <w:rPr>
          <w:rFonts w:ascii="Arial" w:hAnsi="Arial" w:cs="Arial"/>
          <w:b/>
          <w:bCs/>
        </w:rPr>
      </w:pPr>
      <w:r w:rsidRPr="00B01850">
        <w:rPr>
          <w:rFonts w:ascii="Arial" w:hAnsi="Arial" w:cs="Arial"/>
          <w:b/>
          <w:bCs/>
          <w:color w:val="000000"/>
        </w:rPr>
        <w:t>Termes et conditions</w:t>
      </w:r>
    </w:p>
    <w:p w14:paraId="13587CD3" w14:textId="77777777" w:rsidR="00367946" w:rsidRPr="00B01850" w:rsidRDefault="00367946" w:rsidP="00367946">
      <w:pPr>
        <w:spacing w:after="0" w:line="240" w:lineRule="auto"/>
        <w:jc w:val="both"/>
        <w:rPr>
          <w:rFonts w:ascii="Arial" w:hAnsi="Arial" w:cs="Arial"/>
        </w:rPr>
      </w:pPr>
    </w:p>
    <w:p w14:paraId="4DA4DFEF" w14:textId="476A822F" w:rsidR="00E622D0" w:rsidRPr="00B01850" w:rsidRDefault="00367946" w:rsidP="00367946">
      <w:pPr>
        <w:spacing w:after="0" w:line="240" w:lineRule="auto"/>
        <w:jc w:val="both"/>
        <w:rPr>
          <w:rFonts w:ascii="Arial" w:eastAsia="Times" w:hAnsi="Arial" w:cs="Arial"/>
        </w:rPr>
      </w:pPr>
      <w:r w:rsidRPr="00B01850">
        <w:rPr>
          <w:rFonts w:ascii="Arial" w:eastAsia="Times" w:hAnsi="Arial" w:cs="Arial"/>
        </w:rPr>
        <w:t xml:space="preserve">Les fonctionnaires de l'État susceptibles d'apporter un soutien au Projet continueront d'être soumis aux conditions de leur contrat ou arrangement d'emploi existant dans le secteur public, conformément au </w:t>
      </w:r>
      <w:r w:rsidR="00F32A3B" w:rsidRPr="00B01850">
        <w:rPr>
          <w:rFonts w:ascii="Arial" w:eastAsia="Times" w:hAnsi="Arial" w:cs="Arial"/>
        </w:rPr>
        <w:t xml:space="preserve">Statut </w:t>
      </w:r>
      <w:r w:rsidR="00D718BA" w:rsidRPr="00B01850">
        <w:rPr>
          <w:rFonts w:ascii="Arial" w:eastAsia="Times" w:hAnsi="Arial" w:cs="Arial"/>
        </w:rPr>
        <w:t xml:space="preserve">général de la </w:t>
      </w:r>
      <w:r w:rsidR="00F32A3B" w:rsidRPr="00B01850">
        <w:rPr>
          <w:rFonts w:ascii="Arial" w:eastAsia="Times" w:hAnsi="Arial" w:cs="Arial"/>
        </w:rPr>
        <w:t>Fonction</w:t>
      </w:r>
      <w:r w:rsidR="005C1FEF" w:rsidRPr="00B01850">
        <w:rPr>
          <w:rFonts w:ascii="Arial" w:eastAsia="Times" w:hAnsi="Arial" w:cs="Arial"/>
        </w:rPr>
        <w:t xml:space="preserve"> Publique</w:t>
      </w:r>
      <w:r w:rsidR="00F32A3B" w:rsidRPr="00B01850">
        <w:rPr>
          <w:rFonts w:ascii="Arial" w:eastAsia="Times" w:hAnsi="Arial" w:cs="Arial"/>
        </w:rPr>
        <w:t xml:space="preserve"> et </w:t>
      </w:r>
      <w:r w:rsidR="00A52922" w:rsidRPr="00B01850">
        <w:rPr>
          <w:rFonts w:ascii="Arial" w:eastAsia="Times" w:hAnsi="Arial" w:cs="Arial"/>
        </w:rPr>
        <w:t xml:space="preserve">du Code de Conduite </w:t>
      </w:r>
      <w:r w:rsidR="004454F9" w:rsidRPr="00B01850">
        <w:rPr>
          <w:rFonts w:ascii="Arial" w:eastAsia="Times" w:hAnsi="Arial" w:cs="Arial"/>
        </w:rPr>
        <w:t>de l’Agent Public en république de Guinée</w:t>
      </w:r>
      <w:r w:rsidRPr="00B01850">
        <w:rPr>
          <w:rFonts w:ascii="Arial" w:eastAsia="Times" w:hAnsi="Arial" w:cs="Arial"/>
        </w:rPr>
        <w:t xml:space="preserve">. Le personnel et les consultants du projet continueront d'être soumis aux conditions actuellement en vigueur </w:t>
      </w:r>
      <w:r w:rsidR="008609D9" w:rsidRPr="00B01850">
        <w:rPr>
          <w:rFonts w:ascii="Arial" w:eastAsia="Times" w:hAnsi="Arial" w:cs="Arial"/>
        </w:rPr>
        <w:t>en République de Guinée.</w:t>
      </w:r>
    </w:p>
    <w:p w14:paraId="44B9628D" w14:textId="7A9117EB" w:rsidR="00367946" w:rsidRPr="00B01850" w:rsidRDefault="007954A8" w:rsidP="007954A8">
      <w:pPr>
        <w:spacing w:before="120" w:after="0" w:line="240" w:lineRule="auto"/>
        <w:jc w:val="both"/>
        <w:rPr>
          <w:rFonts w:ascii="Arial" w:eastAsia="Times" w:hAnsi="Arial" w:cs="Arial"/>
        </w:rPr>
      </w:pPr>
      <w:r w:rsidRPr="00B01850">
        <w:rPr>
          <w:rFonts w:ascii="Arial" w:eastAsia="Times" w:hAnsi="Arial" w:cs="Arial"/>
        </w:rPr>
        <w:t xml:space="preserve">Par ailleurs, </w:t>
      </w:r>
      <w:r w:rsidR="00E622D0" w:rsidRPr="00B01850">
        <w:rPr>
          <w:rFonts w:ascii="Arial" w:eastAsia="Times" w:hAnsi="Arial" w:cs="Arial"/>
        </w:rPr>
        <w:t xml:space="preserve">les </w:t>
      </w:r>
      <w:r w:rsidR="00367946" w:rsidRPr="00B01850">
        <w:rPr>
          <w:rFonts w:ascii="Arial" w:eastAsia="Times" w:hAnsi="Arial" w:cs="Arial"/>
        </w:rPr>
        <w:t xml:space="preserve">conditions </w:t>
      </w:r>
      <w:r w:rsidR="00E622D0" w:rsidRPr="00B01850">
        <w:rPr>
          <w:rFonts w:ascii="Arial" w:eastAsia="Times" w:hAnsi="Arial" w:cs="Arial"/>
        </w:rPr>
        <w:t xml:space="preserve">suivantes </w:t>
      </w:r>
      <w:r w:rsidR="00367946" w:rsidRPr="00B01850">
        <w:rPr>
          <w:rFonts w:ascii="Arial" w:eastAsia="Times" w:hAnsi="Arial" w:cs="Arial"/>
        </w:rPr>
        <w:t>guideront la gestion des travailleurs engagés par les partenaires d'exécution dans le cadre du projet :</w:t>
      </w:r>
    </w:p>
    <w:p w14:paraId="17068208" w14:textId="77777777" w:rsidR="00367946" w:rsidRPr="00B01850" w:rsidRDefault="00367946" w:rsidP="00367946">
      <w:pPr>
        <w:spacing w:after="0" w:line="240" w:lineRule="auto"/>
        <w:jc w:val="both"/>
        <w:rPr>
          <w:rFonts w:ascii="Arial" w:eastAsia="Times" w:hAnsi="Arial" w:cs="Arial"/>
        </w:rPr>
      </w:pPr>
    </w:p>
    <w:p w14:paraId="6FB73955" w14:textId="2D5A373D" w:rsidR="00367946" w:rsidRPr="00B01850" w:rsidRDefault="00367946" w:rsidP="00214DCC">
      <w:pPr>
        <w:numPr>
          <w:ilvl w:val="0"/>
          <w:numId w:val="68"/>
        </w:numPr>
        <w:pBdr>
          <w:top w:val="nil"/>
          <w:left w:val="nil"/>
          <w:bottom w:val="nil"/>
          <w:right w:val="nil"/>
          <w:between w:val="nil"/>
        </w:pBdr>
        <w:spacing w:after="0" w:line="240" w:lineRule="auto"/>
        <w:contextualSpacing/>
        <w:jc w:val="both"/>
        <w:rPr>
          <w:rFonts w:ascii="Arial" w:hAnsi="Arial" w:cs="Arial"/>
        </w:rPr>
      </w:pPr>
      <w:r w:rsidRPr="00B01850">
        <w:rPr>
          <w:rFonts w:ascii="Arial" w:eastAsia="Times" w:hAnsi="Arial" w:cs="Arial"/>
        </w:rPr>
        <w:t>Les travailleurs concernés doivent être âgés d'au moins 1</w:t>
      </w:r>
      <w:r w:rsidR="0091724A" w:rsidRPr="00B01850">
        <w:rPr>
          <w:rFonts w:ascii="Arial" w:eastAsia="Times" w:hAnsi="Arial" w:cs="Arial"/>
        </w:rPr>
        <w:t>6</w:t>
      </w:r>
      <w:r w:rsidRPr="00B01850">
        <w:rPr>
          <w:rFonts w:ascii="Arial" w:eastAsia="Times" w:hAnsi="Arial" w:cs="Arial"/>
        </w:rPr>
        <w:t xml:space="preserve"> ans ;</w:t>
      </w:r>
    </w:p>
    <w:p w14:paraId="631F5635" w14:textId="2A73DD84" w:rsidR="00367946" w:rsidRPr="00B01850" w:rsidRDefault="00367946" w:rsidP="00214DCC">
      <w:pPr>
        <w:numPr>
          <w:ilvl w:val="0"/>
          <w:numId w:val="68"/>
        </w:numPr>
        <w:pBdr>
          <w:top w:val="nil"/>
          <w:left w:val="nil"/>
          <w:bottom w:val="nil"/>
          <w:right w:val="nil"/>
          <w:between w:val="nil"/>
        </w:pBdr>
        <w:spacing w:after="0" w:line="240" w:lineRule="auto"/>
        <w:contextualSpacing/>
        <w:jc w:val="both"/>
        <w:rPr>
          <w:rFonts w:ascii="Arial" w:hAnsi="Arial" w:cs="Arial"/>
        </w:rPr>
      </w:pPr>
      <w:r w:rsidRPr="00B01850">
        <w:rPr>
          <w:rFonts w:ascii="Arial" w:eastAsia="Times" w:hAnsi="Arial" w:cs="Arial"/>
        </w:rPr>
        <w:t>Les travailleurs auront la possibilité de négocier des salaires égaux ou supérieurs au salaire minimum fixé par le gouvernement ;</w:t>
      </w:r>
    </w:p>
    <w:p w14:paraId="443B117C" w14:textId="77777777" w:rsidR="00367946" w:rsidRPr="00B01850" w:rsidRDefault="00367946" w:rsidP="00214DCC">
      <w:pPr>
        <w:numPr>
          <w:ilvl w:val="0"/>
          <w:numId w:val="68"/>
        </w:numPr>
        <w:pBdr>
          <w:top w:val="nil"/>
          <w:left w:val="nil"/>
          <w:bottom w:val="nil"/>
          <w:right w:val="nil"/>
          <w:between w:val="nil"/>
        </w:pBdr>
        <w:spacing w:after="0" w:line="240" w:lineRule="auto"/>
        <w:contextualSpacing/>
        <w:jc w:val="both"/>
        <w:rPr>
          <w:rFonts w:ascii="Arial" w:hAnsi="Arial" w:cs="Arial"/>
        </w:rPr>
      </w:pPr>
      <w:r w:rsidRPr="00B01850">
        <w:rPr>
          <w:rFonts w:ascii="Arial" w:eastAsia="Times" w:hAnsi="Arial" w:cs="Arial"/>
        </w:rPr>
        <w:t>La différence de salaire ne sera pas influencée par la race, la couleur, le sexe, la langue, la religion, les opinions politiques ou autres, la nationalité, l'origine ethnique ou sociale, le handicap, la fortune, la naissance, la situation matrimoniale ou autre, les responsabilités familiales ou d'autres questions découlant de la relation de travail ;</w:t>
      </w:r>
    </w:p>
    <w:p w14:paraId="291AA0E8" w14:textId="5A09DA3E" w:rsidR="00367946" w:rsidRPr="00B01850" w:rsidRDefault="0068631B" w:rsidP="00214DCC">
      <w:pPr>
        <w:numPr>
          <w:ilvl w:val="0"/>
          <w:numId w:val="68"/>
        </w:numPr>
        <w:pBdr>
          <w:top w:val="nil"/>
          <w:left w:val="nil"/>
          <w:bottom w:val="nil"/>
          <w:right w:val="nil"/>
          <w:between w:val="nil"/>
        </w:pBdr>
        <w:spacing w:after="0" w:line="240" w:lineRule="auto"/>
        <w:contextualSpacing/>
        <w:jc w:val="both"/>
        <w:rPr>
          <w:rFonts w:ascii="Arial" w:hAnsi="Arial" w:cs="Arial"/>
        </w:rPr>
      </w:pPr>
      <w:r w:rsidRPr="00B01850">
        <w:rPr>
          <w:rFonts w:ascii="Arial" w:eastAsia="Times" w:hAnsi="Arial" w:cs="Arial"/>
        </w:rPr>
        <w:t>Le paiement des salaires se fera au maximum sur une base mensuelle, le dernier jour de chaque mois.</w:t>
      </w:r>
    </w:p>
    <w:p w14:paraId="7D9BBC78" w14:textId="77777777" w:rsidR="00367946" w:rsidRPr="00B01850" w:rsidRDefault="00367946" w:rsidP="00367946">
      <w:pPr>
        <w:spacing w:after="0" w:line="240" w:lineRule="auto"/>
        <w:jc w:val="both"/>
        <w:rPr>
          <w:rFonts w:ascii="Arial" w:eastAsia="Times" w:hAnsi="Arial" w:cs="Arial"/>
        </w:rPr>
      </w:pPr>
      <w:bookmarkStart w:id="164" w:name="_vx1227" w:colFirst="0" w:colLast="0"/>
      <w:bookmarkEnd w:id="164"/>
    </w:p>
    <w:p w14:paraId="5A9A3FC7" w14:textId="3CFEFEB6" w:rsidR="00367946" w:rsidRPr="00B01850" w:rsidRDefault="00367946" w:rsidP="00367946">
      <w:pPr>
        <w:spacing w:after="0" w:line="240" w:lineRule="auto"/>
        <w:jc w:val="both"/>
        <w:rPr>
          <w:rFonts w:ascii="Arial" w:eastAsia="Times" w:hAnsi="Arial" w:cs="Arial"/>
        </w:rPr>
      </w:pPr>
      <w:r w:rsidRPr="00B01850">
        <w:rPr>
          <w:rFonts w:ascii="Arial" w:eastAsia="Times" w:hAnsi="Arial" w:cs="Arial"/>
        </w:rPr>
        <w:t>Lors du recrutement de travailleurs, les partenaires d'exécution expliqueront les modalités et conditions avant le début des travaux. L</w:t>
      </w:r>
      <w:r w:rsidR="00B63E5A" w:rsidRPr="00B01850">
        <w:rPr>
          <w:rFonts w:ascii="Arial" w:eastAsia="Times" w:hAnsi="Arial" w:cs="Arial"/>
        </w:rPr>
        <w:t>e Code des marchés publics exige aux</w:t>
      </w:r>
      <w:r w:rsidRPr="00B01850">
        <w:rPr>
          <w:rFonts w:ascii="Arial" w:eastAsia="Times" w:hAnsi="Arial" w:cs="Arial"/>
        </w:rPr>
        <w:t xml:space="preserve"> employeurs à remettre aux employés une copie des détails écrits de l'emploi</w:t>
      </w:r>
      <w:r w:rsidR="00516DF1" w:rsidRPr="00B01850">
        <w:rPr>
          <w:rFonts w:ascii="Arial" w:eastAsia="Times" w:hAnsi="Arial" w:cs="Arial"/>
        </w:rPr>
        <w:t xml:space="preserve"> (contrat)</w:t>
      </w:r>
      <w:r w:rsidRPr="00B01850">
        <w:rPr>
          <w:rFonts w:ascii="Arial" w:eastAsia="Times" w:hAnsi="Arial" w:cs="Arial"/>
        </w:rPr>
        <w:t xml:space="preserve">, signés par les deux parties, dans un délai d'un mois après leur prise de service. Toute violation du Code de </w:t>
      </w:r>
      <w:r w:rsidR="00C71F41" w:rsidRPr="00B01850">
        <w:rPr>
          <w:rFonts w:ascii="Arial" w:eastAsia="Times" w:hAnsi="Arial" w:cs="Arial"/>
        </w:rPr>
        <w:t xml:space="preserve">Bonne </w:t>
      </w:r>
      <w:r w:rsidRPr="00B01850">
        <w:rPr>
          <w:rFonts w:ascii="Arial" w:eastAsia="Times" w:hAnsi="Arial" w:cs="Arial"/>
        </w:rPr>
        <w:t xml:space="preserve">conduite </w:t>
      </w:r>
      <w:r w:rsidR="00C71F41" w:rsidRPr="00B01850">
        <w:rPr>
          <w:rFonts w:ascii="Arial" w:eastAsia="Times" w:hAnsi="Arial" w:cs="Arial"/>
        </w:rPr>
        <w:t>par le t</w:t>
      </w:r>
      <w:r w:rsidRPr="00B01850">
        <w:rPr>
          <w:rFonts w:ascii="Arial" w:eastAsia="Times" w:hAnsi="Arial" w:cs="Arial"/>
        </w:rPr>
        <w:t xml:space="preserve">ravailleur constituera une faute professionnelle. </w:t>
      </w:r>
      <w:r w:rsidR="005210BD" w:rsidRPr="00B01850">
        <w:rPr>
          <w:rFonts w:ascii="Arial" w:eastAsia="Times" w:hAnsi="Arial" w:cs="Arial"/>
        </w:rPr>
        <w:t xml:space="preserve">Dans le cadre de la prévention </w:t>
      </w:r>
      <w:r w:rsidR="00004AD6" w:rsidRPr="00B01850">
        <w:rPr>
          <w:rFonts w:ascii="Arial" w:eastAsia="Times" w:hAnsi="Arial" w:cs="Arial"/>
        </w:rPr>
        <w:t>des risques relatifs à la main d’œuvre</w:t>
      </w:r>
      <w:r w:rsidRPr="00B01850">
        <w:rPr>
          <w:rFonts w:ascii="Arial" w:eastAsia="Times" w:hAnsi="Arial" w:cs="Arial"/>
        </w:rPr>
        <w:t>, les entrepreneurs seront tenus de fournir à l'U</w:t>
      </w:r>
      <w:r w:rsidR="00610E62" w:rsidRPr="00B01850">
        <w:rPr>
          <w:rFonts w:ascii="Arial" w:eastAsia="Times" w:hAnsi="Arial" w:cs="Arial"/>
        </w:rPr>
        <w:t>GP</w:t>
      </w:r>
      <w:r w:rsidRPr="00B01850">
        <w:rPr>
          <w:rFonts w:ascii="Arial" w:eastAsia="Times" w:hAnsi="Arial" w:cs="Arial"/>
        </w:rPr>
        <w:t xml:space="preserve"> des copies des Détails écrits de l'emploi ou des copies du contrat </w:t>
      </w:r>
      <w:r w:rsidR="00004AD6" w:rsidRPr="00B01850">
        <w:rPr>
          <w:rFonts w:ascii="Arial" w:eastAsia="Times" w:hAnsi="Arial" w:cs="Arial"/>
        </w:rPr>
        <w:t xml:space="preserve">contenant des Codes de Bonne Conduite </w:t>
      </w:r>
      <w:r w:rsidRPr="00B01850">
        <w:rPr>
          <w:rFonts w:ascii="Arial" w:eastAsia="Times" w:hAnsi="Arial" w:cs="Arial"/>
        </w:rPr>
        <w:t xml:space="preserve">de l'ensemble de </w:t>
      </w:r>
      <w:r w:rsidR="00004AD6" w:rsidRPr="00B01850">
        <w:rPr>
          <w:rFonts w:ascii="Arial" w:eastAsia="Times" w:hAnsi="Arial" w:cs="Arial"/>
        </w:rPr>
        <w:t xml:space="preserve">leur </w:t>
      </w:r>
      <w:r w:rsidRPr="00B01850">
        <w:rPr>
          <w:rFonts w:ascii="Arial" w:eastAsia="Times" w:hAnsi="Arial" w:cs="Arial"/>
        </w:rPr>
        <w:t>personnel.</w:t>
      </w:r>
      <w:bookmarkStart w:id="165" w:name="_3fwokq0" w:colFirst="0" w:colLast="0"/>
      <w:bookmarkEnd w:id="165"/>
    </w:p>
    <w:p w14:paraId="6A8D9C9E" w14:textId="77777777" w:rsidR="00367946" w:rsidRPr="00B01850" w:rsidRDefault="00367946" w:rsidP="00367946">
      <w:pPr>
        <w:spacing w:after="0" w:line="240" w:lineRule="auto"/>
        <w:jc w:val="both"/>
        <w:rPr>
          <w:rFonts w:ascii="Arial" w:hAnsi="Arial" w:cs="Arial"/>
        </w:rPr>
      </w:pPr>
    </w:p>
    <w:p w14:paraId="7F867CE3" w14:textId="77777777" w:rsidR="00367946" w:rsidRPr="00B01850" w:rsidRDefault="00367946" w:rsidP="00214DCC">
      <w:pPr>
        <w:pStyle w:val="ListParagraph"/>
        <w:numPr>
          <w:ilvl w:val="0"/>
          <w:numId w:val="74"/>
        </w:numPr>
        <w:spacing w:after="0" w:line="240" w:lineRule="auto"/>
        <w:jc w:val="both"/>
        <w:rPr>
          <w:rFonts w:ascii="Arial" w:hAnsi="Arial" w:cs="Arial"/>
          <w:b/>
          <w:bCs/>
        </w:rPr>
      </w:pPr>
      <w:r w:rsidRPr="00B01850">
        <w:rPr>
          <w:rFonts w:ascii="Arial" w:hAnsi="Arial" w:cs="Arial"/>
          <w:b/>
          <w:bCs/>
        </w:rPr>
        <w:t>Principales procédures</w:t>
      </w:r>
    </w:p>
    <w:p w14:paraId="6571FBC3" w14:textId="77777777" w:rsidR="00367946" w:rsidRPr="00B01850" w:rsidRDefault="00367946" w:rsidP="00367946">
      <w:pPr>
        <w:spacing w:after="0" w:line="240" w:lineRule="auto"/>
        <w:jc w:val="both"/>
        <w:rPr>
          <w:rFonts w:ascii="Arial" w:hAnsi="Arial" w:cs="Arial"/>
        </w:rPr>
      </w:pPr>
    </w:p>
    <w:p w14:paraId="60D445E0" w14:textId="15A0F13E" w:rsidR="00367946" w:rsidRPr="00B01850" w:rsidRDefault="00882B4E" w:rsidP="00367946">
      <w:pPr>
        <w:spacing w:after="0" w:line="240" w:lineRule="auto"/>
        <w:jc w:val="both"/>
        <w:rPr>
          <w:rFonts w:ascii="Arial" w:hAnsi="Arial" w:cs="Arial"/>
        </w:rPr>
      </w:pPr>
      <w:r w:rsidRPr="00B01850">
        <w:rPr>
          <w:rFonts w:ascii="Arial" w:hAnsi="Arial" w:cs="Arial"/>
        </w:rPr>
        <w:t xml:space="preserve">Conformément à l’esprit de la NES n°2, le </w:t>
      </w:r>
      <w:r w:rsidR="00367946" w:rsidRPr="00B01850">
        <w:rPr>
          <w:rFonts w:ascii="Arial" w:hAnsi="Arial" w:cs="Arial"/>
        </w:rPr>
        <w:t>projet favorisera de bonnes relations entre travailleurs et employeurs</w:t>
      </w:r>
      <w:r w:rsidR="00826E66" w:rsidRPr="00B01850">
        <w:rPr>
          <w:rFonts w:ascii="Arial" w:hAnsi="Arial" w:cs="Arial"/>
        </w:rPr>
        <w:t xml:space="preserve">. Il </w:t>
      </w:r>
      <w:r w:rsidR="00367946" w:rsidRPr="00B01850">
        <w:rPr>
          <w:rFonts w:ascii="Arial" w:hAnsi="Arial" w:cs="Arial"/>
        </w:rPr>
        <w:t xml:space="preserve">renforcera </w:t>
      </w:r>
      <w:r w:rsidR="00826E66" w:rsidRPr="00B01850">
        <w:rPr>
          <w:rFonts w:ascii="Arial" w:hAnsi="Arial" w:cs="Arial"/>
        </w:rPr>
        <w:t xml:space="preserve">également </w:t>
      </w:r>
      <w:r w:rsidR="00367946" w:rsidRPr="00B01850">
        <w:rPr>
          <w:rFonts w:ascii="Arial" w:hAnsi="Arial" w:cs="Arial"/>
        </w:rPr>
        <w:t>les avantages d'un projet sur le développement en traitant</w:t>
      </w:r>
      <w:r w:rsidR="00C6709C" w:rsidRPr="00B01850">
        <w:rPr>
          <w:rFonts w:ascii="Arial" w:hAnsi="Arial" w:cs="Arial"/>
        </w:rPr>
        <w:t xml:space="preserve"> toutes les catégories de </w:t>
      </w:r>
      <w:r w:rsidR="00367946" w:rsidRPr="00B01850">
        <w:rPr>
          <w:rFonts w:ascii="Arial" w:hAnsi="Arial" w:cs="Arial"/>
        </w:rPr>
        <w:t xml:space="preserve">travailleurs de </w:t>
      </w:r>
      <w:r w:rsidR="00C6709C" w:rsidRPr="00B01850">
        <w:rPr>
          <w:rFonts w:ascii="Arial" w:hAnsi="Arial" w:cs="Arial"/>
        </w:rPr>
        <w:t xml:space="preserve">façon </w:t>
      </w:r>
      <w:r w:rsidR="00367946" w:rsidRPr="00B01850">
        <w:rPr>
          <w:rFonts w:ascii="Arial" w:hAnsi="Arial" w:cs="Arial"/>
        </w:rPr>
        <w:t>équitable et en leur offrant des conditions de travail sûres et saines.</w:t>
      </w:r>
    </w:p>
    <w:p w14:paraId="1732BE5F" w14:textId="44D46429" w:rsidR="00367946" w:rsidRPr="00B01850" w:rsidRDefault="000F5B53" w:rsidP="005C6A48">
      <w:pPr>
        <w:spacing w:before="120" w:after="0" w:line="240" w:lineRule="auto"/>
        <w:jc w:val="both"/>
        <w:rPr>
          <w:rFonts w:ascii="Arial" w:hAnsi="Arial" w:cs="Arial"/>
        </w:rPr>
      </w:pPr>
      <w:r w:rsidRPr="00B01850">
        <w:rPr>
          <w:rFonts w:ascii="Arial" w:hAnsi="Arial" w:cs="Arial"/>
        </w:rPr>
        <w:lastRenderedPageBreak/>
        <w:t>Toutefois, l</w:t>
      </w:r>
      <w:r w:rsidR="00367946" w:rsidRPr="00B01850">
        <w:rPr>
          <w:rFonts w:ascii="Arial" w:hAnsi="Arial" w:cs="Arial"/>
        </w:rPr>
        <w:t>'U</w:t>
      </w:r>
      <w:r w:rsidR="00610E62" w:rsidRPr="00B01850">
        <w:rPr>
          <w:rFonts w:ascii="Arial" w:hAnsi="Arial" w:cs="Arial"/>
        </w:rPr>
        <w:t>GP</w:t>
      </w:r>
      <w:r w:rsidR="00455738" w:rsidRPr="00B01850">
        <w:rPr>
          <w:rFonts w:ascii="Arial" w:hAnsi="Arial" w:cs="Arial"/>
        </w:rPr>
        <w:t xml:space="preserve">, les institutions publiques, </w:t>
      </w:r>
      <w:r w:rsidR="00D20A20" w:rsidRPr="00B01850">
        <w:rPr>
          <w:rFonts w:ascii="Arial" w:hAnsi="Arial" w:cs="Arial"/>
        </w:rPr>
        <w:t xml:space="preserve">les entreprises partenaires et toutes les catégories de travailleurs </w:t>
      </w:r>
      <w:r w:rsidR="00B17E07" w:rsidRPr="00B01850">
        <w:rPr>
          <w:rFonts w:ascii="Arial" w:hAnsi="Arial" w:cs="Arial"/>
        </w:rPr>
        <w:t xml:space="preserve">du </w:t>
      </w:r>
      <w:r w:rsidR="00367946" w:rsidRPr="00B01850">
        <w:rPr>
          <w:rFonts w:ascii="Arial" w:hAnsi="Arial" w:cs="Arial"/>
        </w:rPr>
        <w:t xml:space="preserve">projet </w:t>
      </w:r>
      <w:r w:rsidR="00B17E07" w:rsidRPr="00B01850">
        <w:rPr>
          <w:rFonts w:ascii="Arial" w:hAnsi="Arial" w:cs="Arial"/>
        </w:rPr>
        <w:t xml:space="preserve">seront impliquées </w:t>
      </w:r>
      <w:r w:rsidR="005C6A48" w:rsidRPr="00B01850">
        <w:rPr>
          <w:rFonts w:ascii="Arial" w:hAnsi="Arial" w:cs="Arial"/>
        </w:rPr>
        <w:t>dans le</w:t>
      </w:r>
      <w:r w:rsidR="00367946" w:rsidRPr="00B01850">
        <w:rPr>
          <w:rFonts w:ascii="Arial" w:hAnsi="Arial" w:cs="Arial"/>
        </w:rPr>
        <w:t xml:space="preserve"> suivi</w:t>
      </w:r>
      <w:r w:rsidR="009B0C47" w:rsidRPr="00B01850">
        <w:rPr>
          <w:rFonts w:ascii="Arial" w:hAnsi="Arial" w:cs="Arial"/>
        </w:rPr>
        <w:t>,</w:t>
      </w:r>
      <w:r w:rsidR="00367946" w:rsidRPr="00B01850">
        <w:rPr>
          <w:rFonts w:ascii="Arial" w:hAnsi="Arial" w:cs="Arial"/>
        </w:rPr>
        <w:t xml:space="preserve"> pour assurer la pleine réalisation des objectifs de la NES </w:t>
      </w:r>
      <w:r w:rsidRPr="00B01850">
        <w:rPr>
          <w:rFonts w:ascii="Arial" w:hAnsi="Arial" w:cs="Arial"/>
        </w:rPr>
        <w:t>n°</w:t>
      </w:r>
      <w:r w:rsidR="00367946" w:rsidRPr="00B01850">
        <w:rPr>
          <w:rFonts w:ascii="Arial" w:hAnsi="Arial" w:cs="Arial"/>
        </w:rPr>
        <w:t>2</w:t>
      </w:r>
      <w:r w:rsidRPr="00B01850">
        <w:rPr>
          <w:rFonts w:ascii="Arial" w:hAnsi="Arial" w:cs="Arial"/>
        </w:rPr>
        <w:t>.</w:t>
      </w:r>
    </w:p>
    <w:p w14:paraId="0ABB2DDB" w14:textId="2136A83A" w:rsidR="00367946" w:rsidRPr="00B01850" w:rsidRDefault="00367946" w:rsidP="00214DCC">
      <w:pPr>
        <w:pStyle w:val="ListParagraph"/>
        <w:numPr>
          <w:ilvl w:val="0"/>
          <w:numId w:val="75"/>
        </w:numPr>
        <w:spacing w:before="240" w:after="240" w:line="240" w:lineRule="auto"/>
        <w:contextualSpacing w:val="0"/>
        <w:jc w:val="both"/>
        <w:rPr>
          <w:rFonts w:ascii="Arial" w:eastAsia="Calibri" w:hAnsi="Arial" w:cs="Arial"/>
          <w:b/>
          <w:bCs/>
        </w:rPr>
      </w:pPr>
      <w:bookmarkStart w:id="166" w:name="_Toc42253244"/>
      <w:bookmarkStart w:id="167" w:name="_Toc91747714"/>
      <w:bookmarkStart w:id="168" w:name="_Toc99373559"/>
      <w:bookmarkStart w:id="169" w:name="_Toc99383320"/>
      <w:bookmarkStart w:id="170" w:name="_Toc103362839"/>
      <w:bookmarkStart w:id="171" w:name="_Toc130217211"/>
      <w:bookmarkStart w:id="172" w:name="_Toc142385479"/>
      <w:r w:rsidRPr="00B01850">
        <w:rPr>
          <w:rFonts w:ascii="Arial" w:eastAsia="Calibri" w:hAnsi="Arial" w:cs="Arial"/>
          <w:b/>
          <w:bCs/>
        </w:rPr>
        <w:t>Procédure de recrutement et de remplacement</w:t>
      </w:r>
      <w:bookmarkEnd w:id="166"/>
      <w:bookmarkEnd w:id="167"/>
      <w:bookmarkEnd w:id="168"/>
      <w:bookmarkEnd w:id="169"/>
      <w:bookmarkEnd w:id="170"/>
      <w:bookmarkEnd w:id="171"/>
      <w:bookmarkEnd w:id="172"/>
    </w:p>
    <w:p w14:paraId="6C0C165F" w14:textId="77777777" w:rsidR="00367946" w:rsidRPr="00B01850" w:rsidRDefault="00367946" w:rsidP="00214DCC">
      <w:pPr>
        <w:pStyle w:val="ListParagraph"/>
        <w:numPr>
          <w:ilvl w:val="0"/>
          <w:numId w:val="76"/>
        </w:numPr>
        <w:spacing w:before="120" w:after="120" w:line="240" w:lineRule="auto"/>
        <w:contextualSpacing w:val="0"/>
        <w:jc w:val="both"/>
        <w:rPr>
          <w:rFonts w:ascii="Arial" w:hAnsi="Arial" w:cs="Arial"/>
          <w:bCs/>
          <w:i/>
          <w:iCs/>
        </w:rPr>
      </w:pPr>
      <w:r w:rsidRPr="00B01850">
        <w:rPr>
          <w:rFonts w:ascii="Arial" w:hAnsi="Arial" w:cs="Arial"/>
          <w:bCs/>
          <w:i/>
          <w:iCs/>
        </w:rPr>
        <w:t>Objectif de la procédure</w:t>
      </w:r>
    </w:p>
    <w:p w14:paraId="26C32789" w14:textId="54C29123" w:rsidR="00367946" w:rsidRPr="00B01850" w:rsidRDefault="00367946" w:rsidP="00367946">
      <w:pPr>
        <w:spacing w:after="0" w:line="240" w:lineRule="auto"/>
        <w:jc w:val="both"/>
        <w:rPr>
          <w:rFonts w:ascii="Arial" w:hAnsi="Arial" w:cs="Arial"/>
        </w:rPr>
      </w:pPr>
      <w:r w:rsidRPr="00B01850">
        <w:rPr>
          <w:rFonts w:ascii="Arial" w:hAnsi="Arial" w:cs="Arial"/>
        </w:rPr>
        <w:t xml:space="preserve">L'objectif de cette procédure est de s'assurer que le processus de recrutement et de </w:t>
      </w:r>
      <w:r w:rsidR="003710AC" w:rsidRPr="00B01850">
        <w:rPr>
          <w:rFonts w:ascii="Arial" w:hAnsi="Arial" w:cs="Arial"/>
        </w:rPr>
        <w:t>rem</w:t>
      </w:r>
      <w:r w:rsidRPr="00B01850">
        <w:rPr>
          <w:rFonts w:ascii="Arial" w:hAnsi="Arial" w:cs="Arial"/>
        </w:rPr>
        <w:t>placement des travailleurs du projet est non discriminatoire</w:t>
      </w:r>
      <w:r w:rsidR="00B16B40" w:rsidRPr="00B01850">
        <w:rPr>
          <w:rFonts w:ascii="Arial" w:hAnsi="Arial" w:cs="Arial"/>
        </w:rPr>
        <w:t xml:space="preserve"> </w:t>
      </w:r>
      <w:r w:rsidRPr="00B01850">
        <w:rPr>
          <w:rFonts w:ascii="Arial" w:hAnsi="Arial" w:cs="Arial"/>
        </w:rPr>
        <w:t xml:space="preserve">et que </w:t>
      </w:r>
      <w:r w:rsidR="00B16B40" w:rsidRPr="00B01850">
        <w:rPr>
          <w:rFonts w:ascii="Arial" w:hAnsi="Arial" w:cs="Arial"/>
        </w:rPr>
        <w:t xml:space="preserve">toutes les catégories de travailleurs </w:t>
      </w:r>
      <w:r w:rsidRPr="00B01850">
        <w:rPr>
          <w:rFonts w:ascii="Arial" w:hAnsi="Arial" w:cs="Arial"/>
        </w:rPr>
        <w:t>sont initié</w:t>
      </w:r>
      <w:r w:rsidR="00B16B40" w:rsidRPr="00B01850">
        <w:rPr>
          <w:rFonts w:ascii="Arial" w:hAnsi="Arial" w:cs="Arial"/>
        </w:rPr>
        <w:t>e</w:t>
      </w:r>
      <w:r w:rsidRPr="00B01850">
        <w:rPr>
          <w:rFonts w:ascii="Arial" w:hAnsi="Arial" w:cs="Arial"/>
        </w:rPr>
        <w:t xml:space="preserve">s </w:t>
      </w:r>
      <w:r w:rsidR="00D41934" w:rsidRPr="00B01850">
        <w:rPr>
          <w:rFonts w:ascii="Arial" w:hAnsi="Arial" w:cs="Arial"/>
        </w:rPr>
        <w:t xml:space="preserve">aux </w:t>
      </w:r>
      <w:r w:rsidRPr="00B01850">
        <w:rPr>
          <w:rFonts w:ascii="Arial" w:hAnsi="Arial" w:cs="Arial"/>
        </w:rPr>
        <w:t xml:space="preserve">questions </w:t>
      </w:r>
      <w:r w:rsidR="009259C3" w:rsidRPr="00B01850">
        <w:rPr>
          <w:rFonts w:ascii="Arial" w:hAnsi="Arial" w:cs="Arial"/>
        </w:rPr>
        <w:t xml:space="preserve">relatives </w:t>
      </w:r>
      <w:r w:rsidRPr="00B01850">
        <w:rPr>
          <w:rFonts w:ascii="Arial" w:hAnsi="Arial" w:cs="Arial"/>
        </w:rPr>
        <w:t>au</w:t>
      </w:r>
      <w:r w:rsidR="00A6708B" w:rsidRPr="00B01850">
        <w:rPr>
          <w:rFonts w:ascii="Arial" w:hAnsi="Arial" w:cs="Arial"/>
        </w:rPr>
        <w:t>x conditions</w:t>
      </w:r>
      <w:r w:rsidRPr="00B01850">
        <w:rPr>
          <w:rFonts w:ascii="Arial" w:hAnsi="Arial" w:cs="Arial"/>
        </w:rPr>
        <w:t xml:space="preserve"> </w:t>
      </w:r>
      <w:r w:rsidR="00A6708B" w:rsidRPr="00B01850">
        <w:rPr>
          <w:rFonts w:ascii="Arial" w:hAnsi="Arial" w:cs="Arial"/>
        </w:rPr>
        <w:t xml:space="preserve">de </w:t>
      </w:r>
      <w:r w:rsidRPr="00B01850">
        <w:rPr>
          <w:rFonts w:ascii="Arial" w:hAnsi="Arial" w:cs="Arial"/>
        </w:rPr>
        <w:t>travail.</w:t>
      </w:r>
    </w:p>
    <w:p w14:paraId="0298BD6C" w14:textId="77777777" w:rsidR="00367946" w:rsidRPr="00B01850" w:rsidRDefault="00367946" w:rsidP="00214DCC">
      <w:pPr>
        <w:pStyle w:val="ListParagraph"/>
        <w:numPr>
          <w:ilvl w:val="0"/>
          <w:numId w:val="77"/>
        </w:numPr>
        <w:spacing w:before="120" w:after="120" w:line="240" w:lineRule="auto"/>
        <w:contextualSpacing w:val="0"/>
        <w:jc w:val="both"/>
        <w:rPr>
          <w:rFonts w:ascii="Arial" w:hAnsi="Arial" w:cs="Arial"/>
          <w:bCs/>
          <w:i/>
          <w:iCs/>
        </w:rPr>
      </w:pPr>
      <w:r w:rsidRPr="00B01850">
        <w:rPr>
          <w:rFonts w:ascii="Arial" w:hAnsi="Arial" w:cs="Arial"/>
          <w:bCs/>
          <w:i/>
          <w:iCs/>
        </w:rPr>
        <w:t>Procédure</w:t>
      </w:r>
    </w:p>
    <w:p w14:paraId="38A78F28" w14:textId="2B781AF3" w:rsidR="00367946" w:rsidRPr="00B01850" w:rsidRDefault="00367946" w:rsidP="00214DCC">
      <w:pPr>
        <w:numPr>
          <w:ilvl w:val="0"/>
          <w:numId w:val="8"/>
        </w:numPr>
        <w:spacing w:after="0" w:line="240" w:lineRule="auto"/>
        <w:jc w:val="both"/>
        <w:rPr>
          <w:rFonts w:ascii="Arial" w:hAnsi="Arial" w:cs="Arial"/>
        </w:rPr>
      </w:pPr>
      <w:r w:rsidRPr="00B01850">
        <w:rPr>
          <w:rFonts w:ascii="Arial" w:hAnsi="Arial" w:cs="Arial"/>
        </w:rPr>
        <w:t>Les entrepreneurs soumettent un plan de recrutement à l'U</w:t>
      </w:r>
      <w:r w:rsidR="00BF7DE0" w:rsidRPr="00B01850">
        <w:rPr>
          <w:rFonts w:ascii="Arial" w:hAnsi="Arial" w:cs="Arial"/>
        </w:rPr>
        <w:t>GP</w:t>
      </w:r>
      <w:r w:rsidRPr="00B01850">
        <w:rPr>
          <w:rFonts w:ascii="Arial" w:hAnsi="Arial" w:cs="Arial"/>
        </w:rPr>
        <w:t xml:space="preserve"> pour examen et approbation. </w:t>
      </w:r>
      <w:r w:rsidR="00BB6AE4" w:rsidRPr="00B01850">
        <w:rPr>
          <w:rFonts w:ascii="Arial" w:hAnsi="Arial" w:cs="Arial"/>
        </w:rPr>
        <w:t>Ces informations pourraient apparaitre dans les offres techniques des prestataires concernés</w:t>
      </w:r>
      <w:r w:rsidR="008561FD" w:rsidRPr="00B01850">
        <w:rPr>
          <w:rFonts w:ascii="Arial" w:hAnsi="Arial" w:cs="Arial"/>
        </w:rPr>
        <w:t xml:space="preserve"> et indiqueraient </w:t>
      </w:r>
      <w:r w:rsidR="00D527CC" w:rsidRPr="00B01850">
        <w:rPr>
          <w:rFonts w:ascii="Arial" w:hAnsi="Arial" w:cs="Arial"/>
        </w:rPr>
        <w:t>les détails suivants :</w:t>
      </w:r>
    </w:p>
    <w:p w14:paraId="0F2BD0D8" w14:textId="77777777" w:rsidR="00367946" w:rsidRPr="00B01850" w:rsidRDefault="00367946" w:rsidP="00214DCC">
      <w:pPr>
        <w:numPr>
          <w:ilvl w:val="0"/>
          <w:numId w:val="78"/>
        </w:numPr>
        <w:spacing w:before="120" w:after="0" w:line="240" w:lineRule="auto"/>
        <w:jc w:val="both"/>
        <w:rPr>
          <w:rFonts w:ascii="Arial" w:hAnsi="Arial" w:cs="Arial"/>
        </w:rPr>
      </w:pPr>
      <w:r w:rsidRPr="00B01850">
        <w:rPr>
          <w:rFonts w:ascii="Arial" w:hAnsi="Arial" w:cs="Arial"/>
        </w:rPr>
        <w:t>Nombre d'agents requis</w:t>
      </w:r>
    </w:p>
    <w:p w14:paraId="1EF7BAC0" w14:textId="77777777" w:rsidR="00367946" w:rsidRPr="00B01850" w:rsidRDefault="00367946" w:rsidP="00214DCC">
      <w:pPr>
        <w:numPr>
          <w:ilvl w:val="0"/>
          <w:numId w:val="78"/>
        </w:numPr>
        <w:spacing w:after="0" w:line="240" w:lineRule="auto"/>
        <w:jc w:val="both"/>
        <w:rPr>
          <w:rFonts w:ascii="Arial" w:hAnsi="Arial" w:cs="Arial"/>
        </w:rPr>
      </w:pPr>
      <w:r w:rsidRPr="00B01850">
        <w:rPr>
          <w:rFonts w:ascii="Arial" w:hAnsi="Arial" w:cs="Arial"/>
        </w:rPr>
        <w:t xml:space="preserve">Condition de travail prévue </w:t>
      </w:r>
    </w:p>
    <w:p w14:paraId="20C407C8" w14:textId="77777777" w:rsidR="00367946" w:rsidRPr="00B01850" w:rsidRDefault="00367946" w:rsidP="00214DCC">
      <w:pPr>
        <w:numPr>
          <w:ilvl w:val="0"/>
          <w:numId w:val="78"/>
        </w:numPr>
        <w:spacing w:after="0" w:line="240" w:lineRule="auto"/>
        <w:jc w:val="both"/>
        <w:rPr>
          <w:rFonts w:ascii="Arial" w:hAnsi="Arial" w:cs="Arial"/>
        </w:rPr>
      </w:pPr>
      <w:r w:rsidRPr="00B01850">
        <w:rPr>
          <w:rFonts w:ascii="Arial" w:hAnsi="Arial" w:cs="Arial"/>
        </w:rPr>
        <w:t>Lieux d'affectation prévus du personnel</w:t>
      </w:r>
    </w:p>
    <w:p w14:paraId="1B6B47B2" w14:textId="77777777" w:rsidR="00367946" w:rsidRPr="00B01850" w:rsidRDefault="00367946" w:rsidP="00214DCC">
      <w:pPr>
        <w:numPr>
          <w:ilvl w:val="0"/>
          <w:numId w:val="78"/>
        </w:numPr>
        <w:spacing w:after="0" w:line="240" w:lineRule="auto"/>
        <w:jc w:val="both"/>
        <w:rPr>
          <w:rFonts w:ascii="Arial" w:hAnsi="Arial" w:cs="Arial"/>
        </w:rPr>
      </w:pPr>
      <w:r w:rsidRPr="00B01850">
        <w:rPr>
          <w:rFonts w:ascii="Arial" w:hAnsi="Arial" w:cs="Arial"/>
        </w:rPr>
        <w:t>Spécifications du poste en termes de qualification et d'expérience</w:t>
      </w:r>
    </w:p>
    <w:p w14:paraId="7DAA2870" w14:textId="36B81DD4" w:rsidR="00367946" w:rsidRPr="00B01850" w:rsidRDefault="00367946" w:rsidP="00214DCC">
      <w:pPr>
        <w:numPr>
          <w:ilvl w:val="0"/>
          <w:numId w:val="8"/>
        </w:numPr>
        <w:spacing w:before="120" w:after="0" w:line="240" w:lineRule="auto"/>
        <w:jc w:val="both"/>
        <w:rPr>
          <w:rFonts w:ascii="Arial" w:hAnsi="Arial" w:cs="Arial"/>
        </w:rPr>
      </w:pPr>
      <w:r w:rsidRPr="00B01850">
        <w:rPr>
          <w:rFonts w:ascii="Arial" w:hAnsi="Arial" w:cs="Arial"/>
        </w:rPr>
        <w:t xml:space="preserve">L'entrepreneur publie l'avis d'emploi dans les médias appropriés (presse locale ou invitation directe pour les travailleurs contractuels, ou bouche-à-oreille par l'intermédiaire des </w:t>
      </w:r>
      <w:r w:rsidR="00C11FB2" w:rsidRPr="00B01850">
        <w:rPr>
          <w:rFonts w:ascii="Arial" w:hAnsi="Arial" w:cs="Arial"/>
        </w:rPr>
        <w:t xml:space="preserve">autorités locales </w:t>
      </w:r>
      <w:r w:rsidRPr="00B01850">
        <w:rPr>
          <w:rFonts w:ascii="Arial" w:hAnsi="Arial" w:cs="Arial"/>
        </w:rPr>
        <w:t>pour les travailleurs communautaires) afin de s'assurer que tous les candidats potentiels ont accès à l'information, y compris les femmes et les personnes handicapées, en s'attaquant activement aux risques de népotisme ou de discrimination à l'emploi.</w:t>
      </w:r>
    </w:p>
    <w:p w14:paraId="03DE5A69" w14:textId="77777777" w:rsidR="00367946" w:rsidRPr="00B01850" w:rsidRDefault="00367946" w:rsidP="00214DCC">
      <w:pPr>
        <w:numPr>
          <w:ilvl w:val="0"/>
          <w:numId w:val="8"/>
        </w:numPr>
        <w:spacing w:before="120" w:after="0" w:line="240" w:lineRule="auto"/>
        <w:jc w:val="both"/>
        <w:rPr>
          <w:rFonts w:ascii="Arial" w:hAnsi="Arial" w:cs="Arial"/>
        </w:rPr>
      </w:pPr>
      <w:r w:rsidRPr="00B01850">
        <w:rPr>
          <w:rFonts w:ascii="Arial" w:hAnsi="Arial" w:cs="Arial"/>
        </w:rPr>
        <w:t>Présélectionner et recruter des candidats en veillant à ce qui suit :</w:t>
      </w:r>
    </w:p>
    <w:p w14:paraId="043F1C3B" w14:textId="77777777" w:rsidR="00367946" w:rsidRPr="00B01850" w:rsidRDefault="00367946" w:rsidP="00214DCC">
      <w:pPr>
        <w:numPr>
          <w:ilvl w:val="0"/>
          <w:numId w:val="78"/>
        </w:numPr>
        <w:spacing w:after="0" w:line="240" w:lineRule="auto"/>
        <w:jc w:val="both"/>
        <w:rPr>
          <w:rFonts w:ascii="Arial" w:hAnsi="Arial" w:cs="Arial"/>
        </w:rPr>
      </w:pPr>
      <w:r w:rsidRPr="00B01850">
        <w:rPr>
          <w:rFonts w:ascii="Arial" w:hAnsi="Arial" w:cs="Arial"/>
        </w:rPr>
        <w:t>Dans la mesure du possible, 50 % des candidats présélectionnés sont des femmes.</w:t>
      </w:r>
    </w:p>
    <w:p w14:paraId="042AABC0" w14:textId="77777777" w:rsidR="00367946" w:rsidRPr="00B01850" w:rsidRDefault="00367946" w:rsidP="00214DCC">
      <w:pPr>
        <w:numPr>
          <w:ilvl w:val="0"/>
          <w:numId w:val="78"/>
        </w:numPr>
        <w:spacing w:after="0" w:line="240" w:lineRule="auto"/>
        <w:jc w:val="both"/>
        <w:rPr>
          <w:rFonts w:ascii="Arial" w:hAnsi="Arial" w:cs="Arial"/>
        </w:rPr>
      </w:pPr>
      <w:r w:rsidRPr="00B01850">
        <w:rPr>
          <w:rFonts w:ascii="Arial" w:hAnsi="Arial" w:cs="Arial"/>
        </w:rPr>
        <w:t>Dans la mesure du possible, 50 % des employés engagés sont des femmes.</w:t>
      </w:r>
    </w:p>
    <w:p w14:paraId="740B8D95" w14:textId="35953559" w:rsidR="00367946" w:rsidRPr="00B01850" w:rsidRDefault="00367946" w:rsidP="00214DCC">
      <w:pPr>
        <w:numPr>
          <w:ilvl w:val="0"/>
          <w:numId w:val="78"/>
        </w:numPr>
        <w:spacing w:after="0" w:line="240" w:lineRule="auto"/>
        <w:jc w:val="both"/>
        <w:rPr>
          <w:rFonts w:ascii="Arial" w:hAnsi="Arial" w:cs="Arial"/>
        </w:rPr>
      </w:pPr>
      <w:r w:rsidRPr="00B01850">
        <w:rPr>
          <w:rFonts w:ascii="Arial" w:hAnsi="Arial" w:cs="Arial"/>
        </w:rPr>
        <w:t xml:space="preserve">Exclure les candidats âgés de moins de </w:t>
      </w:r>
      <w:r w:rsidR="00251B74" w:rsidRPr="00B01850">
        <w:rPr>
          <w:rFonts w:ascii="Arial" w:hAnsi="Arial" w:cs="Arial"/>
        </w:rPr>
        <w:t>seize</w:t>
      </w:r>
      <w:r w:rsidRPr="00B01850">
        <w:rPr>
          <w:rFonts w:ascii="Arial" w:hAnsi="Arial" w:cs="Arial"/>
        </w:rPr>
        <w:t xml:space="preserve"> ans.</w:t>
      </w:r>
    </w:p>
    <w:p w14:paraId="7A438D1A" w14:textId="77777777" w:rsidR="00367946" w:rsidRPr="00B01850" w:rsidRDefault="00367946" w:rsidP="00214DCC">
      <w:pPr>
        <w:numPr>
          <w:ilvl w:val="0"/>
          <w:numId w:val="8"/>
        </w:numPr>
        <w:spacing w:before="120" w:after="0" w:line="240" w:lineRule="auto"/>
        <w:jc w:val="both"/>
        <w:rPr>
          <w:rFonts w:ascii="Arial" w:hAnsi="Arial" w:cs="Arial"/>
        </w:rPr>
      </w:pPr>
      <w:r w:rsidRPr="00B01850">
        <w:rPr>
          <w:rFonts w:ascii="Arial" w:hAnsi="Arial" w:cs="Arial"/>
        </w:rPr>
        <w:t>Lors du recrutement, assurez-vous qu'un contrat de travail est signé volontairement, tant pour les travailleurs contractuels que pour les travailleurs communautaires.</w:t>
      </w:r>
    </w:p>
    <w:p w14:paraId="04CE0805" w14:textId="79619523" w:rsidR="00367946" w:rsidRPr="00B01850" w:rsidRDefault="00367946" w:rsidP="00214DCC">
      <w:pPr>
        <w:numPr>
          <w:ilvl w:val="0"/>
          <w:numId w:val="8"/>
        </w:numPr>
        <w:spacing w:before="120" w:after="0" w:line="240" w:lineRule="auto"/>
        <w:jc w:val="both"/>
        <w:rPr>
          <w:rFonts w:ascii="Arial" w:hAnsi="Arial" w:cs="Arial"/>
        </w:rPr>
      </w:pPr>
      <w:r w:rsidRPr="00B01850">
        <w:rPr>
          <w:rFonts w:ascii="Arial" w:hAnsi="Arial" w:cs="Arial"/>
        </w:rPr>
        <w:t>Avant le début d</w:t>
      </w:r>
      <w:r w:rsidR="00D356DA" w:rsidRPr="00B01850">
        <w:rPr>
          <w:rFonts w:ascii="Arial" w:hAnsi="Arial" w:cs="Arial"/>
        </w:rPr>
        <w:t>es activités</w:t>
      </w:r>
      <w:r w:rsidRPr="00B01850">
        <w:rPr>
          <w:rFonts w:ascii="Arial" w:hAnsi="Arial" w:cs="Arial"/>
        </w:rPr>
        <w:t xml:space="preserve">, l'entrepreneur </w:t>
      </w:r>
      <w:r w:rsidR="005C4B96" w:rsidRPr="00B01850">
        <w:rPr>
          <w:rFonts w:ascii="Arial" w:hAnsi="Arial" w:cs="Arial"/>
        </w:rPr>
        <w:t xml:space="preserve">sensibilise </w:t>
      </w:r>
      <w:r w:rsidR="00515138" w:rsidRPr="00B01850">
        <w:rPr>
          <w:rFonts w:ascii="Arial" w:hAnsi="Arial" w:cs="Arial"/>
        </w:rPr>
        <w:t xml:space="preserve">les employés sur les points </w:t>
      </w:r>
      <w:r w:rsidRPr="00B01850">
        <w:rPr>
          <w:rFonts w:ascii="Arial" w:hAnsi="Arial" w:cs="Arial"/>
        </w:rPr>
        <w:t>suiv</w:t>
      </w:r>
      <w:r w:rsidR="00AE4E2A" w:rsidRPr="00B01850">
        <w:rPr>
          <w:rFonts w:ascii="Arial" w:hAnsi="Arial" w:cs="Arial"/>
        </w:rPr>
        <w:t xml:space="preserve">ent </w:t>
      </w:r>
      <w:r w:rsidRPr="00B01850">
        <w:rPr>
          <w:rFonts w:ascii="Arial" w:hAnsi="Arial" w:cs="Arial"/>
        </w:rPr>
        <w:t>:</w:t>
      </w:r>
    </w:p>
    <w:p w14:paraId="6F165585" w14:textId="77777777" w:rsidR="00367946" w:rsidRPr="00B01850" w:rsidRDefault="00367946" w:rsidP="00214DCC">
      <w:pPr>
        <w:numPr>
          <w:ilvl w:val="0"/>
          <w:numId w:val="78"/>
        </w:numPr>
        <w:spacing w:after="0" w:line="240" w:lineRule="auto"/>
        <w:jc w:val="both"/>
        <w:rPr>
          <w:rFonts w:ascii="Arial" w:hAnsi="Arial" w:cs="Arial"/>
        </w:rPr>
      </w:pPr>
      <w:r w:rsidRPr="00B01850">
        <w:rPr>
          <w:rFonts w:ascii="Arial" w:hAnsi="Arial" w:cs="Arial"/>
        </w:rPr>
        <w:t>Principales caractéristiques du poste</w:t>
      </w:r>
    </w:p>
    <w:p w14:paraId="46DBC7E0" w14:textId="77777777" w:rsidR="00367946" w:rsidRPr="00B01850" w:rsidRDefault="00367946" w:rsidP="00214DCC">
      <w:pPr>
        <w:numPr>
          <w:ilvl w:val="0"/>
          <w:numId w:val="78"/>
        </w:numPr>
        <w:spacing w:after="0" w:line="240" w:lineRule="auto"/>
        <w:jc w:val="both"/>
        <w:rPr>
          <w:rFonts w:ascii="Arial" w:hAnsi="Arial" w:cs="Arial"/>
        </w:rPr>
      </w:pPr>
      <w:r w:rsidRPr="00B01850">
        <w:rPr>
          <w:rFonts w:ascii="Arial" w:hAnsi="Arial" w:cs="Arial"/>
        </w:rPr>
        <w:t>Conditions de travail et d’emploi</w:t>
      </w:r>
    </w:p>
    <w:p w14:paraId="2BFE78BD" w14:textId="77777777" w:rsidR="00CC5F9B" w:rsidRPr="00B01850" w:rsidRDefault="00CC5F9B" w:rsidP="00214DCC">
      <w:pPr>
        <w:numPr>
          <w:ilvl w:val="0"/>
          <w:numId w:val="78"/>
        </w:numPr>
        <w:spacing w:after="0" w:line="240" w:lineRule="auto"/>
        <w:jc w:val="both"/>
        <w:rPr>
          <w:rFonts w:ascii="Arial" w:hAnsi="Arial" w:cs="Arial"/>
        </w:rPr>
      </w:pPr>
      <w:r w:rsidRPr="00B01850">
        <w:rPr>
          <w:rFonts w:ascii="Arial" w:hAnsi="Arial" w:cs="Arial"/>
        </w:rPr>
        <w:t>Utilité du Code de Bonne Conduite pour les travailleurs et le projet</w:t>
      </w:r>
    </w:p>
    <w:p w14:paraId="3DCF5C53" w14:textId="3702E582" w:rsidR="00367946" w:rsidRPr="00B01850" w:rsidRDefault="00367946" w:rsidP="00214DCC">
      <w:pPr>
        <w:numPr>
          <w:ilvl w:val="0"/>
          <w:numId w:val="78"/>
        </w:numPr>
        <w:spacing w:after="0" w:line="240" w:lineRule="auto"/>
        <w:jc w:val="both"/>
        <w:rPr>
          <w:rFonts w:ascii="Arial" w:hAnsi="Arial" w:cs="Arial"/>
        </w:rPr>
      </w:pPr>
      <w:r w:rsidRPr="00B01850">
        <w:rPr>
          <w:rFonts w:ascii="Arial" w:hAnsi="Arial" w:cs="Arial"/>
        </w:rPr>
        <w:t>Procédures disciplinaires</w:t>
      </w:r>
    </w:p>
    <w:p w14:paraId="5715A668" w14:textId="3C6DAD78" w:rsidR="00367946" w:rsidRPr="00B01850" w:rsidRDefault="00367946" w:rsidP="00214DCC">
      <w:pPr>
        <w:numPr>
          <w:ilvl w:val="0"/>
          <w:numId w:val="78"/>
        </w:numPr>
        <w:spacing w:after="0" w:line="240" w:lineRule="auto"/>
        <w:jc w:val="both"/>
        <w:rPr>
          <w:rFonts w:ascii="Arial" w:hAnsi="Arial" w:cs="Arial"/>
        </w:rPr>
      </w:pPr>
      <w:r w:rsidRPr="00B01850">
        <w:rPr>
          <w:rFonts w:ascii="Arial" w:hAnsi="Arial" w:cs="Arial"/>
        </w:rPr>
        <w:t xml:space="preserve">Mécanisme de </w:t>
      </w:r>
      <w:r w:rsidR="00172C8C" w:rsidRPr="00B01850">
        <w:rPr>
          <w:rFonts w:ascii="Arial" w:hAnsi="Arial" w:cs="Arial"/>
        </w:rPr>
        <w:t>Gestion des Réclamations des tra</w:t>
      </w:r>
      <w:r w:rsidRPr="00B01850">
        <w:rPr>
          <w:rFonts w:ascii="Arial" w:hAnsi="Arial" w:cs="Arial"/>
        </w:rPr>
        <w:t>vailleurs</w:t>
      </w:r>
    </w:p>
    <w:p w14:paraId="749DBDD8" w14:textId="247E0478" w:rsidR="00367946" w:rsidRPr="00B01850" w:rsidRDefault="00367946" w:rsidP="00214DCC">
      <w:pPr>
        <w:numPr>
          <w:ilvl w:val="0"/>
          <w:numId w:val="78"/>
        </w:numPr>
        <w:spacing w:after="0" w:line="240" w:lineRule="auto"/>
        <w:jc w:val="both"/>
        <w:rPr>
          <w:rFonts w:ascii="Arial" w:hAnsi="Arial" w:cs="Arial"/>
        </w:rPr>
      </w:pPr>
      <w:r w:rsidRPr="00B01850">
        <w:rPr>
          <w:rFonts w:ascii="Arial" w:hAnsi="Arial" w:cs="Arial"/>
        </w:rPr>
        <w:t>Liberté d'adhérer et de participer pleinement aux activités de</w:t>
      </w:r>
      <w:r w:rsidR="00527D06" w:rsidRPr="00B01850">
        <w:rPr>
          <w:rFonts w:ascii="Arial" w:hAnsi="Arial" w:cs="Arial"/>
        </w:rPr>
        <w:t>s</w:t>
      </w:r>
      <w:r w:rsidRPr="00B01850">
        <w:rPr>
          <w:rFonts w:ascii="Arial" w:hAnsi="Arial" w:cs="Arial"/>
        </w:rPr>
        <w:t xml:space="preserve"> Association</w:t>
      </w:r>
      <w:r w:rsidR="00527D06" w:rsidRPr="00B01850">
        <w:rPr>
          <w:rFonts w:ascii="Arial" w:hAnsi="Arial" w:cs="Arial"/>
        </w:rPr>
        <w:t>s</w:t>
      </w:r>
      <w:r w:rsidRPr="00B01850">
        <w:rPr>
          <w:rFonts w:ascii="Arial" w:hAnsi="Arial" w:cs="Arial"/>
        </w:rPr>
        <w:t xml:space="preserve"> des travailleurs</w:t>
      </w:r>
      <w:r w:rsidR="009E4B54" w:rsidRPr="00B01850">
        <w:rPr>
          <w:rFonts w:ascii="Arial" w:hAnsi="Arial" w:cs="Arial"/>
        </w:rPr>
        <w:t xml:space="preserve"> </w:t>
      </w:r>
      <w:r w:rsidRPr="00B01850">
        <w:rPr>
          <w:rFonts w:ascii="Arial" w:hAnsi="Arial" w:cs="Arial"/>
        </w:rPr>
        <w:t>ou d</w:t>
      </w:r>
      <w:r w:rsidR="00527D06" w:rsidRPr="00B01850">
        <w:rPr>
          <w:rFonts w:ascii="Arial" w:hAnsi="Arial" w:cs="Arial"/>
        </w:rPr>
        <w:t xml:space="preserve">es </w:t>
      </w:r>
      <w:r w:rsidRPr="00B01850">
        <w:rPr>
          <w:rFonts w:ascii="Arial" w:hAnsi="Arial" w:cs="Arial"/>
        </w:rPr>
        <w:t>Syndicat</w:t>
      </w:r>
      <w:r w:rsidR="00527D06" w:rsidRPr="00B01850">
        <w:rPr>
          <w:rFonts w:ascii="Arial" w:hAnsi="Arial" w:cs="Arial"/>
        </w:rPr>
        <w:t>s</w:t>
      </w:r>
    </w:p>
    <w:p w14:paraId="6288EE0B" w14:textId="7B06C12B" w:rsidR="00367946" w:rsidRPr="00B01850" w:rsidRDefault="00367946" w:rsidP="00214DCC">
      <w:pPr>
        <w:numPr>
          <w:ilvl w:val="0"/>
          <w:numId w:val="78"/>
        </w:numPr>
        <w:spacing w:after="0" w:line="240" w:lineRule="auto"/>
        <w:jc w:val="both"/>
        <w:rPr>
          <w:rFonts w:ascii="Arial" w:hAnsi="Arial" w:cs="Arial"/>
        </w:rPr>
      </w:pPr>
      <w:r w:rsidRPr="00B01850">
        <w:rPr>
          <w:rFonts w:ascii="Arial" w:hAnsi="Arial" w:cs="Arial"/>
        </w:rPr>
        <w:t>Principaux aspects environnementaux et sociaux du projet et de son PGES et autres instruments environnementaux et sociaux</w:t>
      </w:r>
    </w:p>
    <w:p w14:paraId="3A210F76" w14:textId="141F2914" w:rsidR="00367946" w:rsidRPr="00B01850" w:rsidRDefault="0030779C" w:rsidP="00214DCC">
      <w:pPr>
        <w:numPr>
          <w:ilvl w:val="0"/>
          <w:numId w:val="78"/>
        </w:numPr>
        <w:spacing w:after="0" w:line="240" w:lineRule="auto"/>
        <w:jc w:val="both"/>
        <w:rPr>
          <w:rFonts w:ascii="Arial" w:hAnsi="Arial" w:cs="Arial"/>
        </w:rPr>
      </w:pPr>
      <w:r w:rsidRPr="00B01850">
        <w:rPr>
          <w:rFonts w:ascii="Arial" w:hAnsi="Arial" w:cs="Arial"/>
        </w:rPr>
        <w:t>Questions de santé sécurité au travail</w:t>
      </w:r>
      <w:r w:rsidR="009E4B54" w:rsidRPr="00B01850">
        <w:rPr>
          <w:rFonts w:ascii="Arial" w:hAnsi="Arial" w:cs="Arial"/>
        </w:rPr>
        <w:t xml:space="preserve">, </w:t>
      </w:r>
      <w:r w:rsidRPr="00B01850">
        <w:rPr>
          <w:rFonts w:ascii="Arial" w:hAnsi="Arial" w:cs="Arial"/>
        </w:rPr>
        <w:t>p</w:t>
      </w:r>
      <w:r w:rsidR="00367946" w:rsidRPr="00B01850">
        <w:rPr>
          <w:rFonts w:ascii="Arial" w:hAnsi="Arial" w:cs="Arial"/>
        </w:rPr>
        <w:t>réparation aux situations d’urgence</w:t>
      </w:r>
      <w:r w:rsidR="009E4B54" w:rsidRPr="00B01850">
        <w:rPr>
          <w:rFonts w:ascii="Arial" w:hAnsi="Arial" w:cs="Arial"/>
        </w:rPr>
        <w:t xml:space="preserve">, </w:t>
      </w:r>
      <w:r w:rsidR="004E267D" w:rsidRPr="00B01850">
        <w:rPr>
          <w:rFonts w:ascii="Arial" w:hAnsi="Arial" w:cs="Arial"/>
        </w:rPr>
        <w:t>conduite défensive, etc.</w:t>
      </w:r>
    </w:p>
    <w:p w14:paraId="215AF830" w14:textId="157EE3CE" w:rsidR="00367946" w:rsidRPr="00B01850" w:rsidRDefault="004A056B" w:rsidP="00214DCC">
      <w:pPr>
        <w:numPr>
          <w:ilvl w:val="0"/>
          <w:numId w:val="8"/>
        </w:numPr>
        <w:spacing w:before="120" w:after="0" w:line="240" w:lineRule="auto"/>
        <w:jc w:val="both"/>
        <w:rPr>
          <w:rFonts w:ascii="Arial" w:hAnsi="Arial" w:cs="Arial"/>
        </w:rPr>
      </w:pPr>
      <w:r w:rsidRPr="00B01850">
        <w:rPr>
          <w:rFonts w:ascii="Arial" w:hAnsi="Arial" w:cs="Arial"/>
        </w:rPr>
        <w:t xml:space="preserve">Met </w:t>
      </w:r>
      <w:r w:rsidR="00367946" w:rsidRPr="00B01850">
        <w:rPr>
          <w:rFonts w:ascii="Arial" w:hAnsi="Arial" w:cs="Arial"/>
        </w:rPr>
        <w:t>tous ces dossiers d'emploi à la disposition de l'U</w:t>
      </w:r>
      <w:r w:rsidR="00BF7DE0" w:rsidRPr="00B01850">
        <w:rPr>
          <w:rFonts w:ascii="Arial" w:hAnsi="Arial" w:cs="Arial"/>
        </w:rPr>
        <w:t xml:space="preserve">GP </w:t>
      </w:r>
      <w:r w:rsidR="00367946" w:rsidRPr="00B01850">
        <w:rPr>
          <w:rFonts w:ascii="Arial" w:hAnsi="Arial" w:cs="Arial"/>
        </w:rPr>
        <w:t>concernée, de la Banque mondiale ou de l'</w:t>
      </w:r>
      <w:r w:rsidR="00567864" w:rsidRPr="00B01850">
        <w:rPr>
          <w:rFonts w:ascii="Arial" w:hAnsi="Arial" w:cs="Arial"/>
        </w:rPr>
        <w:t xml:space="preserve">Inspection Générale du Travail </w:t>
      </w:r>
      <w:r w:rsidR="00367946" w:rsidRPr="00B01850">
        <w:rPr>
          <w:rFonts w:ascii="Arial" w:hAnsi="Arial" w:cs="Arial"/>
        </w:rPr>
        <w:t>pour examen.</w:t>
      </w:r>
    </w:p>
    <w:p w14:paraId="48365E20" w14:textId="77777777" w:rsidR="00367946" w:rsidRPr="00B01850" w:rsidRDefault="00367946" w:rsidP="0053277D">
      <w:pPr>
        <w:spacing w:after="0" w:line="240" w:lineRule="auto"/>
        <w:jc w:val="both"/>
        <w:rPr>
          <w:rFonts w:ascii="Arial" w:hAnsi="Arial" w:cs="Arial"/>
        </w:rPr>
      </w:pPr>
    </w:p>
    <w:p w14:paraId="68C5D49A" w14:textId="7C3520EE" w:rsidR="00367946" w:rsidRPr="00B01850" w:rsidRDefault="00367946" w:rsidP="00367946">
      <w:pPr>
        <w:spacing w:after="0" w:line="240" w:lineRule="auto"/>
        <w:rPr>
          <w:rFonts w:ascii="Arial" w:eastAsia="Calibri" w:hAnsi="Arial" w:cs="Arial"/>
          <w:b/>
          <w:bCs/>
        </w:rPr>
      </w:pPr>
      <w:bookmarkStart w:id="173" w:name="_Toc42253245"/>
      <w:bookmarkStart w:id="174" w:name="_Toc91747715"/>
      <w:bookmarkStart w:id="175" w:name="_Toc99373560"/>
      <w:bookmarkStart w:id="176" w:name="_Toc99383321"/>
      <w:bookmarkStart w:id="177" w:name="_Toc142385480"/>
      <w:bookmarkStart w:id="178" w:name="_Toc130217212"/>
      <w:bookmarkStart w:id="179" w:name="_Toc103362840"/>
      <w:r w:rsidRPr="00B01850">
        <w:rPr>
          <w:rFonts w:ascii="Arial" w:eastAsia="Calibri" w:hAnsi="Arial" w:cs="Arial"/>
          <w:b/>
          <w:bCs/>
        </w:rPr>
        <w:lastRenderedPageBreak/>
        <w:t xml:space="preserve">Procédure de </w:t>
      </w:r>
      <w:r w:rsidR="00D44D5A" w:rsidRPr="00B01850">
        <w:rPr>
          <w:rFonts w:ascii="Arial" w:eastAsia="Calibri" w:hAnsi="Arial" w:cs="Arial"/>
          <w:b/>
          <w:bCs/>
        </w:rPr>
        <w:t xml:space="preserve">gestion des réclamations </w:t>
      </w:r>
      <w:r w:rsidRPr="00B01850">
        <w:rPr>
          <w:rFonts w:ascii="Arial" w:eastAsia="Calibri" w:hAnsi="Arial" w:cs="Arial"/>
          <w:b/>
          <w:bCs/>
        </w:rPr>
        <w:t>des travailleurs</w:t>
      </w:r>
      <w:bookmarkEnd w:id="173"/>
      <w:bookmarkEnd w:id="174"/>
      <w:bookmarkEnd w:id="175"/>
      <w:bookmarkEnd w:id="176"/>
      <w:bookmarkEnd w:id="177"/>
      <w:bookmarkEnd w:id="178"/>
      <w:bookmarkEnd w:id="179"/>
    </w:p>
    <w:p w14:paraId="087A1621" w14:textId="77777777" w:rsidR="00367946" w:rsidRPr="00B01850" w:rsidRDefault="00367946" w:rsidP="00367946">
      <w:pPr>
        <w:spacing w:after="0" w:line="240" w:lineRule="auto"/>
        <w:jc w:val="both"/>
        <w:rPr>
          <w:rFonts w:ascii="Arial" w:hAnsi="Arial" w:cs="Arial"/>
          <w:b/>
        </w:rPr>
      </w:pPr>
    </w:p>
    <w:p w14:paraId="4EAF9EF8" w14:textId="5D6B4098" w:rsidR="00367946" w:rsidRPr="00B01850" w:rsidRDefault="00367946" w:rsidP="00214DCC">
      <w:pPr>
        <w:pStyle w:val="ListParagraph"/>
        <w:numPr>
          <w:ilvl w:val="0"/>
          <w:numId w:val="72"/>
        </w:numPr>
        <w:spacing w:before="120" w:after="120" w:line="240" w:lineRule="auto"/>
        <w:contextualSpacing w:val="0"/>
        <w:jc w:val="both"/>
        <w:rPr>
          <w:rFonts w:ascii="Arial" w:hAnsi="Arial" w:cs="Arial"/>
          <w:bCs/>
          <w:i/>
          <w:iCs/>
        </w:rPr>
      </w:pPr>
      <w:r w:rsidRPr="00B01850">
        <w:rPr>
          <w:rFonts w:ascii="Arial" w:hAnsi="Arial" w:cs="Arial"/>
          <w:bCs/>
          <w:i/>
          <w:iCs/>
        </w:rPr>
        <w:t>Objectifs de la procédure</w:t>
      </w:r>
    </w:p>
    <w:p w14:paraId="6DE02FE1" w14:textId="77777777" w:rsidR="00515AAC" w:rsidRPr="00B01850" w:rsidRDefault="00367946" w:rsidP="00367946">
      <w:pPr>
        <w:spacing w:after="0" w:line="240" w:lineRule="auto"/>
        <w:jc w:val="both"/>
        <w:rPr>
          <w:rFonts w:ascii="Arial" w:hAnsi="Arial" w:cs="Arial"/>
        </w:rPr>
      </w:pPr>
      <w:r w:rsidRPr="00B01850">
        <w:rPr>
          <w:rFonts w:ascii="Arial" w:hAnsi="Arial" w:cs="Arial"/>
        </w:rPr>
        <w:t>L'objectif de cette procédure est de régler le</w:t>
      </w:r>
      <w:r w:rsidR="00092A49" w:rsidRPr="00B01850">
        <w:rPr>
          <w:rFonts w:ascii="Arial" w:hAnsi="Arial" w:cs="Arial"/>
        </w:rPr>
        <w:t>s</w:t>
      </w:r>
      <w:r w:rsidRPr="00B01850">
        <w:rPr>
          <w:rFonts w:ascii="Arial" w:hAnsi="Arial" w:cs="Arial"/>
        </w:rPr>
        <w:t xml:space="preserve"> </w:t>
      </w:r>
      <w:r w:rsidR="00056AAA" w:rsidRPr="00B01850">
        <w:rPr>
          <w:rFonts w:ascii="Arial" w:hAnsi="Arial" w:cs="Arial"/>
        </w:rPr>
        <w:t>réclamations</w:t>
      </w:r>
      <w:r w:rsidR="00092A49" w:rsidRPr="00B01850">
        <w:rPr>
          <w:rFonts w:ascii="Arial" w:hAnsi="Arial" w:cs="Arial"/>
        </w:rPr>
        <w:t xml:space="preserve">, </w:t>
      </w:r>
      <w:r w:rsidR="00501931" w:rsidRPr="00B01850">
        <w:rPr>
          <w:rFonts w:ascii="Arial" w:hAnsi="Arial" w:cs="Arial"/>
        </w:rPr>
        <w:t>l</w:t>
      </w:r>
      <w:r w:rsidR="00092A49" w:rsidRPr="00B01850">
        <w:rPr>
          <w:rFonts w:ascii="Arial" w:hAnsi="Arial" w:cs="Arial"/>
        </w:rPr>
        <w:t xml:space="preserve">es préoccupations </w:t>
      </w:r>
      <w:r w:rsidRPr="00B01850">
        <w:rPr>
          <w:rFonts w:ascii="Arial" w:hAnsi="Arial" w:cs="Arial"/>
        </w:rPr>
        <w:t xml:space="preserve">entre un employeur et un employé ou entre </w:t>
      </w:r>
      <w:r w:rsidR="00DE11F8" w:rsidRPr="00B01850">
        <w:rPr>
          <w:rFonts w:ascii="Arial" w:hAnsi="Arial" w:cs="Arial"/>
        </w:rPr>
        <w:t>l</w:t>
      </w:r>
      <w:r w:rsidR="002637E1" w:rsidRPr="00B01850">
        <w:rPr>
          <w:rFonts w:ascii="Arial" w:hAnsi="Arial" w:cs="Arial"/>
        </w:rPr>
        <w:t xml:space="preserve">es </w:t>
      </w:r>
      <w:r w:rsidRPr="00B01850">
        <w:rPr>
          <w:rFonts w:ascii="Arial" w:hAnsi="Arial" w:cs="Arial"/>
        </w:rPr>
        <w:t>employé</w:t>
      </w:r>
      <w:r w:rsidR="002637E1" w:rsidRPr="00B01850">
        <w:rPr>
          <w:rFonts w:ascii="Arial" w:hAnsi="Arial" w:cs="Arial"/>
        </w:rPr>
        <w:t>s</w:t>
      </w:r>
      <w:r w:rsidRPr="00B01850">
        <w:rPr>
          <w:rFonts w:ascii="Arial" w:hAnsi="Arial" w:cs="Arial"/>
        </w:rPr>
        <w:t xml:space="preserve"> avant </w:t>
      </w:r>
      <w:r w:rsidR="00394F2A" w:rsidRPr="00B01850">
        <w:rPr>
          <w:rFonts w:ascii="Arial" w:hAnsi="Arial" w:cs="Arial"/>
        </w:rPr>
        <w:t xml:space="preserve">d’engager </w:t>
      </w:r>
      <w:r w:rsidRPr="00B01850">
        <w:rPr>
          <w:rFonts w:ascii="Arial" w:hAnsi="Arial" w:cs="Arial"/>
        </w:rPr>
        <w:t xml:space="preserve">une procédure formelle. </w:t>
      </w:r>
      <w:r w:rsidR="00394F2A" w:rsidRPr="00B01850">
        <w:rPr>
          <w:rFonts w:ascii="Arial" w:hAnsi="Arial" w:cs="Arial"/>
        </w:rPr>
        <w:t xml:space="preserve">Conformément aux exigences de </w:t>
      </w:r>
      <w:r w:rsidRPr="00B01850">
        <w:rPr>
          <w:rFonts w:ascii="Arial" w:hAnsi="Arial" w:cs="Arial"/>
        </w:rPr>
        <w:t xml:space="preserve">la NES n°2, le </w:t>
      </w:r>
      <w:r w:rsidR="00FC66C7" w:rsidRPr="00B01850">
        <w:rPr>
          <w:rFonts w:ascii="Arial" w:hAnsi="Arial" w:cs="Arial"/>
        </w:rPr>
        <w:t xml:space="preserve">CERP s’assurera que l’UGP du NAFA </w:t>
      </w:r>
      <w:r w:rsidR="008A5811" w:rsidRPr="00B01850">
        <w:rPr>
          <w:rFonts w:ascii="Arial" w:hAnsi="Arial" w:cs="Arial"/>
        </w:rPr>
        <w:t xml:space="preserve">opérationnalise </w:t>
      </w:r>
      <w:r w:rsidRPr="00B01850">
        <w:rPr>
          <w:rFonts w:ascii="Arial" w:hAnsi="Arial" w:cs="Arial"/>
        </w:rPr>
        <w:t xml:space="preserve">un mécanisme de gestion des </w:t>
      </w:r>
      <w:r w:rsidR="008A5811" w:rsidRPr="00B01850">
        <w:rPr>
          <w:rFonts w:ascii="Arial" w:hAnsi="Arial" w:cs="Arial"/>
        </w:rPr>
        <w:t xml:space="preserve">réclamations </w:t>
      </w:r>
      <w:r w:rsidRPr="00B01850">
        <w:rPr>
          <w:rFonts w:ascii="Arial" w:hAnsi="Arial" w:cs="Arial"/>
        </w:rPr>
        <w:t>permettant à tou</w:t>
      </w:r>
      <w:r w:rsidR="00412FA4" w:rsidRPr="00B01850">
        <w:rPr>
          <w:rFonts w:ascii="Arial" w:hAnsi="Arial" w:cs="Arial"/>
        </w:rPr>
        <w:t>te</w:t>
      </w:r>
      <w:r w:rsidRPr="00B01850">
        <w:rPr>
          <w:rFonts w:ascii="Arial" w:hAnsi="Arial" w:cs="Arial"/>
        </w:rPr>
        <w:t xml:space="preserve">s les </w:t>
      </w:r>
      <w:r w:rsidR="00412FA4" w:rsidRPr="00B01850">
        <w:rPr>
          <w:rFonts w:ascii="Arial" w:hAnsi="Arial" w:cs="Arial"/>
        </w:rPr>
        <w:t xml:space="preserve">catégories </w:t>
      </w:r>
      <w:r w:rsidR="00110BE8" w:rsidRPr="00B01850">
        <w:rPr>
          <w:rFonts w:ascii="Arial" w:hAnsi="Arial" w:cs="Arial"/>
        </w:rPr>
        <w:t xml:space="preserve">de </w:t>
      </w:r>
      <w:r w:rsidRPr="00B01850">
        <w:rPr>
          <w:rFonts w:ascii="Arial" w:hAnsi="Arial" w:cs="Arial"/>
        </w:rPr>
        <w:t>travailleurs de faire part de leurs préoccupations sur le lieu de travail.</w:t>
      </w:r>
    </w:p>
    <w:p w14:paraId="427265A9" w14:textId="0986DA35" w:rsidR="00367946" w:rsidRPr="00B01850" w:rsidRDefault="00515AAC" w:rsidP="0093611F">
      <w:pPr>
        <w:spacing w:before="120" w:after="0" w:line="240" w:lineRule="auto"/>
        <w:jc w:val="both"/>
        <w:rPr>
          <w:rFonts w:ascii="Arial" w:hAnsi="Arial" w:cs="Arial"/>
        </w:rPr>
      </w:pPr>
      <w:r w:rsidRPr="00B01850">
        <w:rPr>
          <w:rFonts w:ascii="Arial" w:hAnsi="Arial" w:cs="Arial"/>
        </w:rPr>
        <w:t xml:space="preserve">Le projet doit s’assurer que tous les </w:t>
      </w:r>
      <w:r w:rsidR="00367946" w:rsidRPr="00B01850">
        <w:rPr>
          <w:rFonts w:ascii="Arial" w:hAnsi="Arial" w:cs="Arial"/>
        </w:rPr>
        <w:t>travailleurs s</w:t>
      </w:r>
      <w:r w:rsidRPr="00B01850">
        <w:rPr>
          <w:rFonts w:ascii="Arial" w:hAnsi="Arial" w:cs="Arial"/>
        </w:rPr>
        <w:t xml:space="preserve">ont </w:t>
      </w:r>
      <w:r w:rsidR="00367946" w:rsidRPr="00B01850">
        <w:rPr>
          <w:rFonts w:ascii="Arial" w:hAnsi="Arial" w:cs="Arial"/>
        </w:rPr>
        <w:t>informés de l'existence de ce</w:t>
      </w:r>
      <w:r w:rsidRPr="00B01850">
        <w:rPr>
          <w:rFonts w:ascii="Arial" w:hAnsi="Arial" w:cs="Arial"/>
        </w:rPr>
        <w:t xml:space="preserve">t instrument </w:t>
      </w:r>
      <w:r w:rsidR="00367946" w:rsidRPr="00B01850">
        <w:rPr>
          <w:rFonts w:ascii="Arial" w:hAnsi="Arial" w:cs="Arial"/>
        </w:rPr>
        <w:t>au moment de l'embauche et des mesures mises en place pour les protéger contre toute mesure de représailles pour l'avoir utilisé.</w:t>
      </w:r>
      <w:r w:rsidR="00BE2D28" w:rsidRPr="00B01850">
        <w:rPr>
          <w:rFonts w:ascii="Arial" w:hAnsi="Arial" w:cs="Arial"/>
        </w:rPr>
        <w:t xml:space="preserve"> </w:t>
      </w:r>
      <w:r w:rsidR="00367946" w:rsidRPr="00B01850">
        <w:rPr>
          <w:rFonts w:ascii="Arial" w:hAnsi="Arial" w:cs="Arial"/>
        </w:rPr>
        <w:t xml:space="preserve">Le projet mettra en place des mesures pour rendre le mécanisme de gestion des </w:t>
      </w:r>
      <w:r w:rsidR="0069376F" w:rsidRPr="00B01850">
        <w:rPr>
          <w:rFonts w:ascii="Arial" w:hAnsi="Arial" w:cs="Arial"/>
        </w:rPr>
        <w:t xml:space="preserve">réclamations </w:t>
      </w:r>
      <w:r w:rsidR="00367946" w:rsidRPr="00B01850">
        <w:rPr>
          <w:rFonts w:ascii="Arial" w:hAnsi="Arial" w:cs="Arial"/>
        </w:rPr>
        <w:t xml:space="preserve">des travailleurs facilement accessible à tous les travailleurs du projet.   </w:t>
      </w:r>
      <w:sdt>
        <w:sdtPr>
          <w:rPr>
            <w:rFonts w:ascii="Arial" w:hAnsi="Arial" w:cs="Arial"/>
          </w:rPr>
          <w:tag w:val="goog_rdk_802"/>
          <w:id w:val="1787154770"/>
          <w:showingPlcHdr/>
        </w:sdtPr>
        <w:sdtEndPr>
          <w:rPr>
            <w:highlight w:val="yellow"/>
          </w:rPr>
        </w:sdtEndPr>
        <w:sdtContent>
          <w:r w:rsidR="00A50F92" w:rsidRPr="00B01850">
            <w:rPr>
              <w:rFonts w:ascii="Arial" w:hAnsi="Arial" w:cs="Arial"/>
            </w:rPr>
            <w:t xml:space="preserve">     </w:t>
          </w:r>
        </w:sdtContent>
      </w:sdt>
    </w:p>
    <w:p w14:paraId="208298C3" w14:textId="2B8F524A" w:rsidR="00367946" w:rsidRPr="00B01850" w:rsidRDefault="00367946" w:rsidP="00214DCC">
      <w:pPr>
        <w:pStyle w:val="ListParagraph"/>
        <w:numPr>
          <w:ilvl w:val="0"/>
          <w:numId w:val="73"/>
        </w:numPr>
        <w:spacing w:before="120" w:after="120" w:line="240" w:lineRule="auto"/>
        <w:contextualSpacing w:val="0"/>
        <w:jc w:val="both"/>
        <w:rPr>
          <w:rFonts w:ascii="Arial" w:hAnsi="Arial" w:cs="Arial"/>
          <w:bCs/>
          <w:i/>
          <w:iCs/>
        </w:rPr>
      </w:pPr>
      <w:r w:rsidRPr="00B01850">
        <w:rPr>
          <w:rFonts w:ascii="Arial" w:hAnsi="Arial" w:cs="Arial"/>
          <w:bCs/>
          <w:i/>
          <w:iCs/>
        </w:rPr>
        <w:t>Procédure</w:t>
      </w:r>
    </w:p>
    <w:p w14:paraId="4D2B29B6" w14:textId="6D9F9A33" w:rsidR="00367946" w:rsidRPr="00B01850" w:rsidRDefault="00367946" w:rsidP="00214DCC">
      <w:pPr>
        <w:numPr>
          <w:ilvl w:val="0"/>
          <w:numId w:val="9"/>
        </w:numPr>
        <w:spacing w:after="0" w:line="240" w:lineRule="auto"/>
        <w:jc w:val="both"/>
        <w:rPr>
          <w:rFonts w:ascii="Arial" w:hAnsi="Arial" w:cs="Arial"/>
        </w:rPr>
      </w:pPr>
      <w:r w:rsidRPr="00B01850">
        <w:rPr>
          <w:rFonts w:ascii="Arial" w:hAnsi="Arial" w:cs="Arial"/>
        </w:rPr>
        <w:t>L'U</w:t>
      </w:r>
      <w:r w:rsidR="00B52526" w:rsidRPr="00B01850">
        <w:rPr>
          <w:rFonts w:ascii="Arial" w:hAnsi="Arial" w:cs="Arial"/>
        </w:rPr>
        <w:t>GP</w:t>
      </w:r>
      <w:r w:rsidRPr="00B01850">
        <w:rPr>
          <w:rFonts w:ascii="Arial" w:hAnsi="Arial" w:cs="Arial"/>
        </w:rPr>
        <w:t xml:space="preserve"> n</w:t>
      </w:r>
      <w:r w:rsidR="00B902C5" w:rsidRPr="00B01850">
        <w:rPr>
          <w:rFonts w:ascii="Arial" w:hAnsi="Arial" w:cs="Arial"/>
        </w:rPr>
        <w:t xml:space="preserve">e passera de contrats qu’avec </w:t>
      </w:r>
      <w:r w:rsidRPr="00B01850">
        <w:rPr>
          <w:rFonts w:ascii="Arial" w:hAnsi="Arial" w:cs="Arial"/>
        </w:rPr>
        <w:t xml:space="preserve">des entrepreneurs </w:t>
      </w:r>
      <w:r w:rsidR="0067286F" w:rsidRPr="00B01850">
        <w:rPr>
          <w:rFonts w:ascii="Arial" w:hAnsi="Arial" w:cs="Arial"/>
        </w:rPr>
        <w:t xml:space="preserve">dont les procédures sont conformes aux dispositions de la NES n°2 </w:t>
      </w:r>
      <w:r w:rsidRPr="00B01850">
        <w:rPr>
          <w:rFonts w:ascii="Arial" w:hAnsi="Arial" w:cs="Arial"/>
        </w:rPr>
        <w:t>ou qui s'engagent à se conformer aux dispositions applicables aux travailleurs contractuels et aux entrepreneurs</w:t>
      </w:r>
      <w:r w:rsidR="0067286F" w:rsidRPr="00B01850">
        <w:rPr>
          <w:rFonts w:ascii="Arial" w:hAnsi="Arial" w:cs="Arial"/>
        </w:rPr>
        <w:t xml:space="preserve"> sur la gestion des différentes catégories de travailleurs.</w:t>
      </w:r>
    </w:p>
    <w:p w14:paraId="0BEBFFCA" w14:textId="1B501DA0" w:rsidR="00367946" w:rsidRPr="00B01850" w:rsidRDefault="0068631B" w:rsidP="00214DCC">
      <w:pPr>
        <w:numPr>
          <w:ilvl w:val="0"/>
          <w:numId w:val="9"/>
        </w:numPr>
        <w:spacing w:after="0" w:line="240" w:lineRule="auto"/>
        <w:jc w:val="both"/>
        <w:rPr>
          <w:rFonts w:ascii="Arial" w:hAnsi="Arial" w:cs="Arial"/>
        </w:rPr>
      </w:pPr>
      <w:r w:rsidRPr="00B01850">
        <w:rPr>
          <w:rFonts w:ascii="Arial" w:hAnsi="Arial" w:cs="Arial"/>
        </w:rPr>
        <w:t xml:space="preserve">Les </w:t>
      </w:r>
      <w:r w:rsidR="00B902C5" w:rsidRPr="00B01850">
        <w:rPr>
          <w:rFonts w:ascii="Arial" w:hAnsi="Arial" w:cs="Arial"/>
        </w:rPr>
        <w:t xml:space="preserve">entreprises partenaires et sous-traitantes </w:t>
      </w:r>
      <w:r w:rsidR="006423CA" w:rsidRPr="00B01850">
        <w:rPr>
          <w:rFonts w:ascii="Arial" w:hAnsi="Arial" w:cs="Arial"/>
        </w:rPr>
        <w:t xml:space="preserve">informent </w:t>
      </w:r>
      <w:r w:rsidR="00B902C5" w:rsidRPr="00B01850">
        <w:rPr>
          <w:rFonts w:ascii="Arial" w:hAnsi="Arial" w:cs="Arial"/>
        </w:rPr>
        <w:t xml:space="preserve">tous </w:t>
      </w:r>
      <w:r w:rsidR="006423CA" w:rsidRPr="00B01850">
        <w:rPr>
          <w:rFonts w:ascii="Arial" w:hAnsi="Arial" w:cs="Arial"/>
        </w:rPr>
        <w:t>les employés sur le M</w:t>
      </w:r>
      <w:r w:rsidR="00882962" w:rsidRPr="00B01850">
        <w:rPr>
          <w:rFonts w:ascii="Arial" w:hAnsi="Arial" w:cs="Arial"/>
        </w:rPr>
        <w:t>GR des travailleurs en insistant sur le fait que</w:t>
      </w:r>
      <w:r w:rsidR="00AE6AC1" w:rsidRPr="00B01850">
        <w:rPr>
          <w:rFonts w:ascii="Arial" w:hAnsi="Arial" w:cs="Arial"/>
        </w:rPr>
        <w:t xml:space="preserve"> faire des réclamations, exprimer ces préoccupations dans le milieu de travail est </w:t>
      </w:r>
      <w:r w:rsidR="00B902C5" w:rsidRPr="00B01850">
        <w:rPr>
          <w:rFonts w:ascii="Arial" w:hAnsi="Arial" w:cs="Arial"/>
        </w:rPr>
        <w:t xml:space="preserve">un </w:t>
      </w:r>
      <w:r w:rsidR="00AE6AC1" w:rsidRPr="00B01850">
        <w:rPr>
          <w:rFonts w:ascii="Arial" w:hAnsi="Arial" w:cs="Arial"/>
        </w:rPr>
        <w:t>droit</w:t>
      </w:r>
      <w:r w:rsidR="00882962" w:rsidRPr="00B01850">
        <w:rPr>
          <w:rFonts w:ascii="Arial" w:hAnsi="Arial" w:cs="Arial"/>
        </w:rPr>
        <w:t xml:space="preserve">. </w:t>
      </w:r>
      <w:r w:rsidR="00AE6AC1" w:rsidRPr="00B01850">
        <w:rPr>
          <w:rFonts w:ascii="Arial" w:hAnsi="Arial" w:cs="Arial"/>
        </w:rPr>
        <w:t xml:space="preserve">Ainsi, les </w:t>
      </w:r>
      <w:r w:rsidRPr="00B01850">
        <w:rPr>
          <w:rFonts w:ascii="Arial" w:hAnsi="Arial" w:cs="Arial"/>
        </w:rPr>
        <w:t xml:space="preserve">registres relatifs </w:t>
      </w:r>
      <w:r w:rsidR="00AE6AC1" w:rsidRPr="00B01850">
        <w:rPr>
          <w:rFonts w:ascii="Arial" w:hAnsi="Arial" w:cs="Arial"/>
        </w:rPr>
        <w:t xml:space="preserve">aux séances d’information et de sensibilisation </w:t>
      </w:r>
      <w:r w:rsidR="00960C68" w:rsidRPr="00B01850">
        <w:rPr>
          <w:rFonts w:ascii="Arial" w:hAnsi="Arial" w:cs="Arial"/>
        </w:rPr>
        <w:t xml:space="preserve">doivent </w:t>
      </w:r>
      <w:r w:rsidRPr="00B01850">
        <w:rPr>
          <w:rFonts w:ascii="Arial" w:hAnsi="Arial" w:cs="Arial"/>
        </w:rPr>
        <w:t>être conservés et mis à la disposition de l'U</w:t>
      </w:r>
      <w:r w:rsidR="00822B67" w:rsidRPr="00B01850">
        <w:rPr>
          <w:rFonts w:ascii="Arial" w:hAnsi="Arial" w:cs="Arial"/>
        </w:rPr>
        <w:t>GP</w:t>
      </w:r>
      <w:r w:rsidR="003E373D" w:rsidRPr="00B01850">
        <w:rPr>
          <w:rFonts w:ascii="Arial" w:hAnsi="Arial" w:cs="Arial"/>
        </w:rPr>
        <w:t xml:space="preserve"> et des services d’inspection lorsqu’ils exprimeront le besoin</w:t>
      </w:r>
      <w:r w:rsidRPr="00B01850">
        <w:rPr>
          <w:rFonts w:ascii="Arial" w:hAnsi="Arial" w:cs="Arial"/>
        </w:rPr>
        <w:t>.</w:t>
      </w:r>
    </w:p>
    <w:p w14:paraId="77C0A599" w14:textId="034197F0" w:rsidR="00367946" w:rsidRPr="00B01850" w:rsidRDefault="00367946" w:rsidP="00214DCC">
      <w:pPr>
        <w:numPr>
          <w:ilvl w:val="0"/>
          <w:numId w:val="9"/>
        </w:numPr>
        <w:spacing w:after="0" w:line="240" w:lineRule="auto"/>
        <w:jc w:val="both"/>
        <w:rPr>
          <w:rFonts w:ascii="Arial" w:hAnsi="Arial" w:cs="Arial"/>
        </w:rPr>
      </w:pPr>
      <w:r w:rsidRPr="00B01850">
        <w:rPr>
          <w:rFonts w:ascii="Arial" w:hAnsi="Arial" w:cs="Arial"/>
        </w:rPr>
        <w:t xml:space="preserve">En cas de violation, l'employé </w:t>
      </w:r>
      <w:r w:rsidR="00B902C5" w:rsidRPr="00B01850">
        <w:rPr>
          <w:rFonts w:ascii="Arial" w:hAnsi="Arial" w:cs="Arial"/>
        </w:rPr>
        <w:t xml:space="preserve">qui se penserait </w:t>
      </w:r>
      <w:r w:rsidRPr="00B01850">
        <w:rPr>
          <w:rFonts w:ascii="Arial" w:hAnsi="Arial" w:cs="Arial"/>
        </w:rPr>
        <w:t>lés</w:t>
      </w:r>
      <w:r w:rsidR="00AC558E" w:rsidRPr="00B01850">
        <w:rPr>
          <w:rFonts w:ascii="Arial" w:hAnsi="Arial" w:cs="Arial"/>
        </w:rPr>
        <w:t>er</w:t>
      </w:r>
      <w:r w:rsidRPr="00B01850">
        <w:rPr>
          <w:rFonts w:ascii="Arial" w:hAnsi="Arial" w:cs="Arial"/>
        </w:rPr>
        <w:t xml:space="preserve"> </w:t>
      </w:r>
      <w:r w:rsidR="00B902C5" w:rsidRPr="00B01850">
        <w:rPr>
          <w:rFonts w:ascii="Arial" w:hAnsi="Arial" w:cs="Arial"/>
        </w:rPr>
        <w:t>dans ses droits</w:t>
      </w:r>
      <w:r w:rsidR="00351A6E" w:rsidRPr="00B01850">
        <w:rPr>
          <w:rFonts w:ascii="Arial" w:hAnsi="Arial" w:cs="Arial"/>
        </w:rPr>
        <w:t>,</w:t>
      </w:r>
      <w:r w:rsidR="00B902C5" w:rsidRPr="00B01850">
        <w:rPr>
          <w:rFonts w:ascii="Arial" w:hAnsi="Arial" w:cs="Arial"/>
        </w:rPr>
        <w:t xml:space="preserve"> doit présenter sa réclamation </w:t>
      </w:r>
      <w:r w:rsidRPr="00B01850">
        <w:rPr>
          <w:rFonts w:ascii="Arial" w:hAnsi="Arial" w:cs="Arial"/>
        </w:rPr>
        <w:t xml:space="preserve">consigner et présenter les détails de la plainte à la personne </w:t>
      </w:r>
      <w:r w:rsidR="00351A6E" w:rsidRPr="00B01850">
        <w:rPr>
          <w:rFonts w:ascii="Arial" w:hAnsi="Arial" w:cs="Arial"/>
        </w:rPr>
        <w:t xml:space="preserve">de qui </w:t>
      </w:r>
      <w:r w:rsidRPr="00B01850">
        <w:rPr>
          <w:rFonts w:ascii="Arial" w:hAnsi="Arial" w:cs="Arial"/>
        </w:rPr>
        <w:t>il relève ou au supérieur hiérarchique du supérieur hiérarchique en cas de conflit d'intérêts.</w:t>
      </w:r>
    </w:p>
    <w:p w14:paraId="349DC7C8" w14:textId="77777777" w:rsidR="00367946" w:rsidRPr="00B01850" w:rsidRDefault="00367946" w:rsidP="00214DCC">
      <w:pPr>
        <w:numPr>
          <w:ilvl w:val="0"/>
          <w:numId w:val="9"/>
        </w:numPr>
        <w:spacing w:after="0" w:line="240" w:lineRule="auto"/>
        <w:jc w:val="both"/>
        <w:rPr>
          <w:rFonts w:ascii="Arial" w:hAnsi="Arial" w:cs="Arial"/>
        </w:rPr>
      </w:pPr>
      <w:r w:rsidRPr="00B01850">
        <w:rPr>
          <w:rFonts w:ascii="Arial" w:hAnsi="Arial" w:cs="Arial"/>
        </w:rPr>
        <w:t>Le superviseur vérifiera les détails et s'efforcera de résoudre le problème dans les plus brefs délais (jusqu'à 48 heures).</w:t>
      </w:r>
    </w:p>
    <w:p w14:paraId="24061E65" w14:textId="77777777" w:rsidR="00367946" w:rsidRPr="00B01850" w:rsidRDefault="00367946" w:rsidP="00214DCC">
      <w:pPr>
        <w:numPr>
          <w:ilvl w:val="0"/>
          <w:numId w:val="9"/>
        </w:numPr>
        <w:spacing w:after="0" w:line="240" w:lineRule="auto"/>
        <w:jc w:val="both"/>
        <w:rPr>
          <w:rFonts w:ascii="Arial" w:hAnsi="Arial" w:cs="Arial"/>
        </w:rPr>
      </w:pPr>
      <w:r w:rsidRPr="00B01850">
        <w:rPr>
          <w:rFonts w:ascii="Arial" w:hAnsi="Arial" w:cs="Arial"/>
        </w:rPr>
        <w:t>Le supérieur hiérarchique transmettra le problème dans les 48 heures si aucune solution n'est trouvée.</w:t>
      </w:r>
    </w:p>
    <w:p w14:paraId="19C8E142" w14:textId="5B4B8A56" w:rsidR="00367946" w:rsidRPr="00B01850" w:rsidRDefault="00367946" w:rsidP="00214DCC">
      <w:pPr>
        <w:numPr>
          <w:ilvl w:val="0"/>
          <w:numId w:val="9"/>
        </w:numPr>
        <w:spacing w:after="0" w:line="240" w:lineRule="auto"/>
        <w:jc w:val="both"/>
        <w:rPr>
          <w:rFonts w:ascii="Arial" w:hAnsi="Arial" w:cs="Arial"/>
        </w:rPr>
      </w:pPr>
      <w:r w:rsidRPr="00B01850">
        <w:rPr>
          <w:rFonts w:ascii="Arial" w:hAnsi="Arial" w:cs="Arial"/>
        </w:rPr>
        <w:t xml:space="preserve">Si aucune solution n'est trouvée, l'employé peut faire remonter le problème aux institutions ou aux tribunaux spécifiques du secteur qui régleront le problème entre l'employeur et l'employé. </w:t>
      </w:r>
      <w:r w:rsidR="00373841" w:rsidRPr="00B01850">
        <w:rPr>
          <w:rFonts w:ascii="Arial" w:hAnsi="Arial" w:cs="Arial"/>
        </w:rPr>
        <w:t xml:space="preserve">L’inspection générale du travail pourrait contribuer à la gestion de la réclamation. Si le cas est porté devant les tribunaux, la </w:t>
      </w:r>
      <w:r w:rsidRPr="00B01850">
        <w:rPr>
          <w:rFonts w:ascii="Arial" w:hAnsi="Arial" w:cs="Arial"/>
        </w:rPr>
        <w:t>décision de la Cour suprême est définitive.</w:t>
      </w:r>
    </w:p>
    <w:p w14:paraId="4A766F47" w14:textId="468FD223" w:rsidR="00367946" w:rsidRPr="00B01850" w:rsidRDefault="009D7901" w:rsidP="00214DCC">
      <w:pPr>
        <w:numPr>
          <w:ilvl w:val="0"/>
          <w:numId w:val="9"/>
        </w:numPr>
        <w:spacing w:after="0" w:line="240" w:lineRule="auto"/>
        <w:jc w:val="both"/>
        <w:rPr>
          <w:rFonts w:ascii="Arial" w:hAnsi="Arial" w:cs="Arial"/>
        </w:rPr>
      </w:pPr>
      <w:r w:rsidRPr="00B01850">
        <w:rPr>
          <w:rFonts w:ascii="Arial" w:hAnsi="Arial" w:cs="Arial"/>
        </w:rPr>
        <w:t>A cause de l’inaccessibilité des tribunaux</w:t>
      </w:r>
      <w:r w:rsidR="00F75C32" w:rsidRPr="00B01850">
        <w:rPr>
          <w:rFonts w:ascii="Arial" w:hAnsi="Arial" w:cs="Arial"/>
        </w:rPr>
        <w:t xml:space="preserve"> (</w:t>
      </w:r>
      <w:r w:rsidRPr="00B01850">
        <w:rPr>
          <w:rFonts w:ascii="Arial" w:hAnsi="Arial" w:cs="Arial"/>
        </w:rPr>
        <w:t>inexistence, éloignement ou incapacité à</w:t>
      </w:r>
      <w:r w:rsidR="00367946" w:rsidRPr="00B01850">
        <w:rPr>
          <w:rFonts w:ascii="Arial" w:hAnsi="Arial" w:cs="Arial"/>
        </w:rPr>
        <w:t xml:space="preserve"> rendre </w:t>
      </w:r>
      <w:r w:rsidRPr="00B01850">
        <w:rPr>
          <w:rFonts w:ascii="Arial" w:hAnsi="Arial" w:cs="Arial"/>
        </w:rPr>
        <w:t xml:space="preserve">un </w:t>
      </w:r>
      <w:r w:rsidR="00367946" w:rsidRPr="00B01850">
        <w:rPr>
          <w:rFonts w:ascii="Arial" w:hAnsi="Arial" w:cs="Arial"/>
        </w:rPr>
        <w:t>jugement</w:t>
      </w:r>
      <w:r w:rsidR="00F75C32" w:rsidRPr="00B01850">
        <w:rPr>
          <w:rFonts w:ascii="Arial" w:hAnsi="Arial" w:cs="Arial"/>
        </w:rPr>
        <w:t>)</w:t>
      </w:r>
      <w:r w:rsidR="00367946" w:rsidRPr="00B01850">
        <w:rPr>
          <w:rFonts w:ascii="Arial" w:hAnsi="Arial" w:cs="Arial"/>
        </w:rPr>
        <w:t>, l'affaire doit être signalée et traitée par l'U</w:t>
      </w:r>
      <w:r w:rsidR="008863B1" w:rsidRPr="00B01850">
        <w:rPr>
          <w:rFonts w:ascii="Arial" w:hAnsi="Arial" w:cs="Arial"/>
        </w:rPr>
        <w:t>GP</w:t>
      </w:r>
      <w:r w:rsidR="00F75C32" w:rsidRPr="00B01850">
        <w:rPr>
          <w:rFonts w:ascii="Arial" w:hAnsi="Arial" w:cs="Arial"/>
        </w:rPr>
        <w:t xml:space="preserve"> </w:t>
      </w:r>
      <w:r w:rsidR="00A10D05" w:rsidRPr="00B01850">
        <w:rPr>
          <w:rFonts w:ascii="Arial" w:hAnsi="Arial" w:cs="Arial"/>
        </w:rPr>
        <w:t xml:space="preserve">par conciliation </w:t>
      </w:r>
      <w:r w:rsidR="00F75C32" w:rsidRPr="00B01850">
        <w:rPr>
          <w:rFonts w:ascii="Arial" w:hAnsi="Arial" w:cs="Arial"/>
        </w:rPr>
        <w:t xml:space="preserve">à travers le </w:t>
      </w:r>
      <w:r w:rsidR="00367946" w:rsidRPr="00B01850">
        <w:rPr>
          <w:rFonts w:ascii="Arial" w:hAnsi="Arial" w:cs="Arial"/>
          <w:bCs/>
        </w:rPr>
        <w:t xml:space="preserve">Mécanisme de </w:t>
      </w:r>
      <w:r w:rsidR="00395C35" w:rsidRPr="00B01850">
        <w:rPr>
          <w:rFonts w:ascii="Arial" w:hAnsi="Arial" w:cs="Arial"/>
          <w:bCs/>
        </w:rPr>
        <w:t>Gestion des Réclamations</w:t>
      </w:r>
      <w:r w:rsidR="00822B67" w:rsidRPr="00B01850">
        <w:rPr>
          <w:rFonts w:ascii="Arial" w:hAnsi="Arial" w:cs="Arial"/>
          <w:bCs/>
        </w:rPr>
        <w:t xml:space="preserve"> (MGR)</w:t>
      </w:r>
      <w:r w:rsidR="00367946" w:rsidRPr="00B01850">
        <w:rPr>
          <w:rFonts w:ascii="Arial" w:hAnsi="Arial" w:cs="Arial"/>
          <w:bCs/>
        </w:rPr>
        <w:t>. Dans ce cas, l'U</w:t>
      </w:r>
      <w:r w:rsidR="008863B1" w:rsidRPr="00B01850">
        <w:rPr>
          <w:rFonts w:ascii="Arial" w:hAnsi="Arial" w:cs="Arial"/>
          <w:bCs/>
        </w:rPr>
        <w:t>GP</w:t>
      </w:r>
      <w:r w:rsidR="00367946" w:rsidRPr="00B01850">
        <w:rPr>
          <w:rFonts w:ascii="Arial" w:hAnsi="Arial" w:cs="Arial"/>
          <w:bCs/>
        </w:rPr>
        <w:t xml:space="preserve"> s'efforcera de parvenir à un accord équitable entre le travailleur et l</w:t>
      </w:r>
      <w:r w:rsidR="00A10D05" w:rsidRPr="00B01850">
        <w:rPr>
          <w:rFonts w:ascii="Arial" w:hAnsi="Arial" w:cs="Arial"/>
          <w:bCs/>
        </w:rPr>
        <w:t xml:space="preserve">’entreprise </w:t>
      </w:r>
      <w:r w:rsidR="00367946" w:rsidRPr="00B01850">
        <w:rPr>
          <w:rFonts w:ascii="Arial" w:hAnsi="Arial" w:cs="Arial"/>
          <w:bCs/>
        </w:rPr>
        <w:t>partenaire.</w:t>
      </w:r>
      <w:r w:rsidR="00BE36EE" w:rsidRPr="00B01850">
        <w:rPr>
          <w:rFonts w:ascii="Arial" w:hAnsi="Arial" w:cs="Arial"/>
          <w:bCs/>
        </w:rPr>
        <w:t xml:space="preserve"> Dans certaines mesures l’UGP peut faire recours à l’Inspection Générale du Travail.</w:t>
      </w:r>
    </w:p>
    <w:p w14:paraId="3C97C984" w14:textId="5BA9AAB9" w:rsidR="00367946" w:rsidRPr="00B01850" w:rsidRDefault="00367946" w:rsidP="00214DCC">
      <w:pPr>
        <w:numPr>
          <w:ilvl w:val="0"/>
          <w:numId w:val="9"/>
        </w:numPr>
        <w:spacing w:after="0" w:line="240" w:lineRule="auto"/>
        <w:jc w:val="both"/>
        <w:rPr>
          <w:rFonts w:ascii="Arial" w:hAnsi="Arial" w:cs="Arial"/>
        </w:rPr>
      </w:pPr>
      <w:r w:rsidRPr="00B01850">
        <w:rPr>
          <w:rFonts w:ascii="Arial" w:hAnsi="Arial" w:cs="Arial"/>
        </w:rPr>
        <w:t>L</w:t>
      </w:r>
      <w:r w:rsidR="00A10D05" w:rsidRPr="00B01850">
        <w:rPr>
          <w:rFonts w:ascii="Arial" w:hAnsi="Arial" w:cs="Arial"/>
        </w:rPr>
        <w:t>’</w:t>
      </w:r>
      <w:r w:rsidRPr="00B01850">
        <w:rPr>
          <w:rFonts w:ascii="Arial" w:hAnsi="Arial" w:cs="Arial"/>
        </w:rPr>
        <w:t>e</w:t>
      </w:r>
      <w:r w:rsidR="00A10D05" w:rsidRPr="00B01850">
        <w:rPr>
          <w:rFonts w:ascii="Arial" w:hAnsi="Arial" w:cs="Arial"/>
        </w:rPr>
        <w:t>ntreprise</w:t>
      </w:r>
      <w:r w:rsidRPr="00B01850">
        <w:rPr>
          <w:rFonts w:ascii="Arial" w:hAnsi="Arial" w:cs="Arial"/>
        </w:rPr>
        <w:t xml:space="preserve"> partenaire tient des registres de toutes les </w:t>
      </w:r>
      <w:r w:rsidR="00A10D05" w:rsidRPr="00B01850">
        <w:rPr>
          <w:rFonts w:ascii="Arial" w:hAnsi="Arial" w:cs="Arial"/>
        </w:rPr>
        <w:t xml:space="preserve">réclamations dont la gestion lui revient. Ces informations doivent </w:t>
      </w:r>
      <w:r w:rsidR="00070773" w:rsidRPr="00B01850">
        <w:rPr>
          <w:rFonts w:ascii="Arial" w:hAnsi="Arial" w:cs="Arial"/>
        </w:rPr>
        <w:t xml:space="preserve">être mentionnées dans le </w:t>
      </w:r>
      <w:r w:rsidRPr="00B01850">
        <w:rPr>
          <w:rFonts w:ascii="Arial" w:hAnsi="Arial" w:cs="Arial"/>
        </w:rPr>
        <w:t xml:space="preserve">rapport d'activité qu'il adresse </w:t>
      </w:r>
      <w:r w:rsidR="00070773" w:rsidRPr="00B01850">
        <w:rPr>
          <w:rFonts w:ascii="Arial" w:hAnsi="Arial" w:cs="Arial"/>
        </w:rPr>
        <w:t xml:space="preserve">périodiquement </w:t>
      </w:r>
      <w:r w:rsidRPr="00B01850">
        <w:rPr>
          <w:rFonts w:ascii="Arial" w:hAnsi="Arial" w:cs="Arial"/>
        </w:rPr>
        <w:t>à l'U</w:t>
      </w:r>
      <w:r w:rsidR="008863B1" w:rsidRPr="00B01850">
        <w:rPr>
          <w:rFonts w:ascii="Arial" w:hAnsi="Arial" w:cs="Arial"/>
        </w:rPr>
        <w:t>GP</w:t>
      </w:r>
      <w:r w:rsidRPr="00B01850">
        <w:rPr>
          <w:rFonts w:ascii="Arial" w:hAnsi="Arial" w:cs="Arial"/>
        </w:rPr>
        <w:t>.</w:t>
      </w:r>
    </w:p>
    <w:p w14:paraId="2E717B31" w14:textId="698DAC5F" w:rsidR="00367946" w:rsidRPr="00B01850" w:rsidRDefault="00367946" w:rsidP="00214DCC">
      <w:pPr>
        <w:numPr>
          <w:ilvl w:val="0"/>
          <w:numId w:val="9"/>
        </w:numPr>
        <w:spacing w:after="0" w:line="240" w:lineRule="auto"/>
        <w:jc w:val="both"/>
        <w:rPr>
          <w:rFonts w:ascii="Arial" w:hAnsi="Arial" w:cs="Arial"/>
        </w:rPr>
      </w:pPr>
      <w:r w:rsidRPr="00B01850">
        <w:rPr>
          <w:rFonts w:ascii="Arial" w:hAnsi="Arial" w:cs="Arial"/>
        </w:rPr>
        <w:t xml:space="preserve">En cas de risque </w:t>
      </w:r>
      <w:r w:rsidR="00734D59" w:rsidRPr="00B01850">
        <w:rPr>
          <w:rFonts w:ascii="Arial" w:hAnsi="Arial" w:cs="Arial"/>
        </w:rPr>
        <w:t xml:space="preserve">de représailles pour </w:t>
      </w:r>
      <w:r w:rsidRPr="00B01850">
        <w:rPr>
          <w:rFonts w:ascii="Arial" w:hAnsi="Arial" w:cs="Arial"/>
        </w:rPr>
        <w:t xml:space="preserve">de l'employé, il peut immédiatement saisir </w:t>
      </w:r>
      <w:r w:rsidR="00302F1C" w:rsidRPr="00B01850">
        <w:rPr>
          <w:rFonts w:ascii="Arial" w:hAnsi="Arial" w:cs="Arial"/>
        </w:rPr>
        <w:t xml:space="preserve">l’Inspection Générale du Travail ou dans d’autres mesures </w:t>
      </w:r>
      <w:r w:rsidRPr="00B01850">
        <w:rPr>
          <w:rFonts w:ascii="Arial" w:hAnsi="Arial" w:cs="Arial"/>
        </w:rPr>
        <w:t>le système judiciaire</w:t>
      </w:r>
      <w:r w:rsidR="00302F1C" w:rsidRPr="00B01850">
        <w:rPr>
          <w:rFonts w:ascii="Arial" w:hAnsi="Arial" w:cs="Arial"/>
        </w:rPr>
        <w:t xml:space="preserve"> national</w:t>
      </w:r>
      <w:r w:rsidRPr="00B01850">
        <w:rPr>
          <w:rFonts w:ascii="Arial" w:hAnsi="Arial" w:cs="Arial"/>
        </w:rPr>
        <w:t xml:space="preserve">. Si la confidentialité est demandée, </w:t>
      </w:r>
      <w:r w:rsidR="00AF0504" w:rsidRPr="00B01850">
        <w:rPr>
          <w:rFonts w:ascii="Arial" w:hAnsi="Arial" w:cs="Arial"/>
        </w:rPr>
        <w:t>l’UGP</w:t>
      </w:r>
      <w:r w:rsidRPr="00B01850">
        <w:rPr>
          <w:rFonts w:ascii="Arial" w:hAnsi="Arial" w:cs="Arial"/>
        </w:rPr>
        <w:t xml:space="preserve"> veillera à éviter tout risque d'in</w:t>
      </w:r>
      <w:r w:rsidR="00302F1C" w:rsidRPr="00B01850">
        <w:rPr>
          <w:rFonts w:ascii="Arial" w:hAnsi="Arial" w:cs="Arial"/>
        </w:rPr>
        <w:t>trusion</w:t>
      </w:r>
      <w:r w:rsidRPr="00B01850">
        <w:rPr>
          <w:rFonts w:ascii="Arial" w:hAnsi="Arial" w:cs="Arial"/>
        </w:rPr>
        <w:t xml:space="preserve"> dans ses actions de suivi.</w:t>
      </w:r>
    </w:p>
    <w:p w14:paraId="741CEB96" w14:textId="77777777" w:rsidR="00367946" w:rsidRPr="00B01850" w:rsidRDefault="00367946" w:rsidP="00214DCC">
      <w:pPr>
        <w:pStyle w:val="ListParagraph"/>
        <w:numPr>
          <w:ilvl w:val="0"/>
          <w:numId w:val="79"/>
        </w:numPr>
        <w:spacing w:after="0" w:line="240" w:lineRule="auto"/>
        <w:rPr>
          <w:rFonts w:ascii="Arial" w:eastAsia="Calibri" w:hAnsi="Arial" w:cs="Arial"/>
          <w:b/>
          <w:bCs/>
        </w:rPr>
      </w:pPr>
      <w:bookmarkStart w:id="180" w:name="_Toc42253249"/>
      <w:bookmarkStart w:id="181" w:name="_Toc91747719"/>
      <w:bookmarkStart w:id="182" w:name="_Toc99373564"/>
      <w:bookmarkStart w:id="183" w:name="_Toc99383325"/>
      <w:bookmarkStart w:id="184" w:name="_Toc103362844"/>
      <w:bookmarkStart w:id="185" w:name="_Toc130217216"/>
      <w:bookmarkStart w:id="186" w:name="_Toc142385484"/>
      <w:r w:rsidRPr="00B01850">
        <w:rPr>
          <w:rFonts w:ascii="Arial" w:eastAsia="Calibri" w:hAnsi="Arial" w:cs="Arial"/>
          <w:b/>
          <w:bCs/>
        </w:rPr>
        <w:t>Procédure pour les fournisseurs principaux</w:t>
      </w:r>
      <w:bookmarkEnd w:id="180"/>
      <w:bookmarkEnd w:id="181"/>
      <w:bookmarkEnd w:id="182"/>
      <w:bookmarkEnd w:id="183"/>
      <w:bookmarkEnd w:id="184"/>
      <w:bookmarkEnd w:id="185"/>
      <w:bookmarkEnd w:id="186"/>
    </w:p>
    <w:p w14:paraId="1486BD00" w14:textId="77777777" w:rsidR="00367946" w:rsidRPr="00B01850" w:rsidRDefault="00367946" w:rsidP="00367946">
      <w:pPr>
        <w:spacing w:after="0" w:line="240" w:lineRule="auto"/>
        <w:jc w:val="both"/>
        <w:rPr>
          <w:rFonts w:ascii="Arial" w:hAnsi="Arial" w:cs="Arial"/>
        </w:rPr>
      </w:pPr>
    </w:p>
    <w:p w14:paraId="100D64DF" w14:textId="0836C928" w:rsidR="00367946" w:rsidRPr="00B01850" w:rsidRDefault="00367946" w:rsidP="00367946">
      <w:pPr>
        <w:spacing w:after="0" w:line="240" w:lineRule="auto"/>
        <w:jc w:val="both"/>
        <w:rPr>
          <w:rFonts w:ascii="Arial" w:hAnsi="Arial" w:cs="Arial"/>
        </w:rPr>
      </w:pPr>
      <w:r w:rsidRPr="00B01850">
        <w:rPr>
          <w:rFonts w:ascii="Arial" w:hAnsi="Arial" w:cs="Arial"/>
        </w:rPr>
        <w:t xml:space="preserve">Les employés des fournisseurs principaux sont des employés de fournisseurs qui, sur une base continue, fournissent des biens et des services au projet. </w:t>
      </w:r>
      <w:r w:rsidR="00960B1D" w:rsidRPr="00B01850">
        <w:rPr>
          <w:rFonts w:ascii="Arial" w:hAnsi="Arial" w:cs="Arial"/>
        </w:rPr>
        <w:t>L’une des obligations de l</w:t>
      </w:r>
      <w:r w:rsidR="00AF0504" w:rsidRPr="00B01850">
        <w:rPr>
          <w:rFonts w:ascii="Arial" w:hAnsi="Arial" w:cs="Arial"/>
        </w:rPr>
        <w:t>’UGP</w:t>
      </w:r>
      <w:r w:rsidRPr="00B01850">
        <w:rPr>
          <w:rFonts w:ascii="Arial" w:hAnsi="Arial" w:cs="Arial"/>
        </w:rPr>
        <w:t xml:space="preserve"> </w:t>
      </w:r>
      <w:r w:rsidR="00960B1D" w:rsidRPr="00B01850">
        <w:rPr>
          <w:rFonts w:ascii="Arial" w:hAnsi="Arial" w:cs="Arial"/>
        </w:rPr>
        <w:t xml:space="preserve">indiquées par la NES n°2, est de </w:t>
      </w:r>
      <w:r w:rsidRPr="00B01850">
        <w:rPr>
          <w:rFonts w:ascii="Arial" w:hAnsi="Arial" w:cs="Arial"/>
        </w:rPr>
        <w:t>supervise</w:t>
      </w:r>
      <w:r w:rsidR="00960B1D" w:rsidRPr="00B01850">
        <w:rPr>
          <w:rFonts w:ascii="Arial" w:hAnsi="Arial" w:cs="Arial"/>
        </w:rPr>
        <w:t xml:space="preserve">r </w:t>
      </w:r>
      <w:r w:rsidRPr="00B01850">
        <w:rPr>
          <w:rFonts w:ascii="Arial" w:hAnsi="Arial" w:cs="Arial"/>
        </w:rPr>
        <w:t xml:space="preserve">la mise en œuvre des exigences relatives aux procédures de gestion de la main-d'œuvre </w:t>
      </w:r>
      <w:r w:rsidR="00734D59" w:rsidRPr="00B01850">
        <w:rPr>
          <w:rFonts w:ascii="Arial" w:hAnsi="Arial" w:cs="Arial"/>
        </w:rPr>
        <w:t xml:space="preserve">pour cette </w:t>
      </w:r>
      <w:r w:rsidRPr="00B01850">
        <w:rPr>
          <w:rFonts w:ascii="Arial" w:hAnsi="Arial" w:cs="Arial"/>
        </w:rPr>
        <w:t>catégorie.</w:t>
      </w:r>
    </w:p>
    <w:p w14:paraId="6D6C8E6A" w14:textId="77777777" w:rsidR="00367946" w:rsidRPr="00B01850" w:rsidRDefault="00367946" w:rsidP="00214DCC">
      <w:pPr>
        <w:pStyle w:val="ListParagraph"/>
        <w:numPr>
          <w:ilvl w:val="0"/>
          <w:numId w:val="80"/>
        </w:numPr>
        <w:spacing w:before="120" w:after="120" w:line="240" w:lineRule="auto"/>
        <w:contextualSpacing w:val="0"/>
        <w:jc w:val="both"/>
        <w:rPr>
          <w:rFonts w:ascii="Arial" w:hAnsi="Arial" w:cs="Arial"/>
          <w:bCs/>
          <w:i/>
          <w:iCs/>
        </w:rPr>
      </w:pPr>
      <w:r w:rsidRPr="00B01850">
        <w:rPr>
          <w:rFonts w:ascii="Arial" w:hAnsi="Arial" w:cs="Arial"/>
          <w:bCs/>
          <w:i/>
          <w:iCs/>
        </w:rPr>
        <w:t>Objectif de la procédure</w:t>
      </w:r>
    </w:p>
    <w:p w14:paraId="78A070C4" w14:textId="670EC8DF" w:rsidR="00367946" w:rsidRPr="00B01850" w:rsidRDefault="00367946" w:rsidP="00367946">
      <w:pPr>
        <w:spacing w:after="0" w:line="240" w:lineRule="auto"/>
        <w:jc w:val="both"/>
        <w:rPr>
          <w:rFonts w:ascii="Arial" w:hAnsi="Arial" w:cs="Arial"/>
        </w:rPr>
      </w:pPr>
      <w:r w:rsidRPr="00B01850">
        <w:rPr>
          <w:rFonts w:ascii="Arial" w:hAnsi="Arial" w:cs="Arial"/>
        </w:rPr>
        <w:t xml:space="preserve">L'objectif de la procédure est de s'assurer que les risques liés à la main-d'œuvre encourus par les travailleurs des fournisseurs principaux dans le projet sont gérés conformément </w:t>
      </w:r>
      <w:r w:rsidR="00787DDE" w:rsidRPr="00B01850">
        <w:rPr>
          <w:rFonts w:ascii="Arial" w:hAnsi="Arial" w:cs="Arial"/>
        </w:rPr>
        <w:t xml:space="preserve">à la réglementation nationale, </w:t>
      </w:r>
      <w:r w:rsidRPr="00B01850">
        <w:rPr>
          <w:rFonts w:ascii="Arial" w:hAnsi="Arial" w:cs="Arial"/>
        </w:rPr>
        <w:t>aux exigences de la NES n°2</w:t>
      </w:r>
      <w:r w:rsidR="00395BBB" w:rsidRPr="00B01850">
        <w:rPr>
          <w:rFonts w:ascii="Arial" w:hAnsi="Arial" w:cs="Arial"/>
        </w:rPr>
        <w:t xml:space="preserve"> et des présentes </w:t>
      </w:r>
      <w:proofErr w:type="spellStart"/>
      <w:r w:rsidR="00787DDE" w:rsidRPr="00B01850">
        <w:rPr>
          <w:rFonts w:ascii="Arial" w:hAnsi="Arial" w:cs="Arial"/>
        </w:rPr>
        <w:t>PGMo</w:t>
      </w:r>
      <w:proofErr w:type="spellEnd"/>
      <w:r w:rsidR="00787DDE" w:rsidRPr="00B01850">
        <w:rPr>
          <w:rFonts w:ascii="Arial" w:hAnsi="Arial" w:cs="Arial"/>
        </w:rPr>
        <w:t>.</w:t>
      </w:r>
    </w:p>
    <w:p w14:paraId="3E12FD93" w14:textId="77777777" w:rsidR="00367946" w:rsidRPr="00B01850" w:rsidRDefault="00367946" w:rsidP="00367946">
      <w:pPr>
        <w:spacing w:after="0" w:line="240" w:lineRule="auto"/>
        <w:jc w:val="both"/>
        <w:rPr>
          <w:rFonts w:ascii="Arial" w:hAnsi="Arial" w:cs="Arial"/>
        </w:rPr>
      </w:pPr>
    </w:p>
    <w:p w14:paraId="7996B94E" w14:textId="233EFFC7" w:rsidR="00367946" w:rsidRPr="00B01850" w:rsidRDefault="00367946" w:rsidP="00214DCC">
      <w:pPr>
        <w:pStyle w:val="ListParagraph"/>
        <w:numPr>
          <w:ilvl w:val="0"/>
          <w:numId w:val="81"/>
        </w:numPr>
        <w:spacing w:before="120" w:after="120" w:line="240" w:lineRule="auto"/>
        <w:contextualSpacing w:val="0"/>
        <w:jc w:val="both"/>
        <w:rPr>
          <w:rFonts w:ascii="Arial" w:hAnsi="Arial" w:cs="Arial"/>
          <w:bCs/>
          <w:i/>
          <w:iCs/>
        </w:rPr>
      </w:pPr>
      <w:r w:rsidRPr="00B01850">
        <w:rPr>
          <w:rFonts w:ascii="Arial" w:hAnsi="Arial" w:cs="Arial"/>
          <w:bCs/>
          <w:i/>
          <w:iCs/>
        </w:rPr>
        <w:t>Procédure</w:t>
      </w:r>
    </w:p>
    <w:p w14:paraId="264FDB6D" w14:textId="1C6B3A0B" w:rsidR="00367946" w:rsidRPr="00B01850" w:rsidRDefault="00367946" w:rsidP="00AA0B12">
      <w:pPr>
        <w:spacing w:before="120" w:after="120" w:line="240" w:lineRule="auto"/>
        <w:jc w:val="both"/>
        <w:rPr>
          <w:rFonts w:ascii="Arial" w:hAnsi="Arial" w:cs="Arial"/>
          <w:bCs/>
        </w:rPr>
      </w:pPr>
      <w:r w:rsidRPr="00B01850">
        <w:rPr>
          <w:rFonts w:ascii="Arial" w:hAnsi="Arial" w:cs="Arial"/>
          <w:bCs/>
        </w:rPr>
        <w:t>L'U</w:t>
      </w:r>
      <w:r w:rsidR="00C46511" w:rsidRPr="00B01850">
        <w:rPr>
          <w:rFonts w:ascii="Arial" w:hAnsi="Arial" w:cs="Arial"/>
          <w:bCs/>
        </w:rPr>
        <w:t>GP</w:t>
      </w:r>
      <w:r w:rsidRPr="00B01850">
        <w:rPr>
          <w:rFonts w:ascii="Arial" w:hAnsi="Arial" w:cs="Arial"/>
          <w:bCs/>
        </w:rPr>
        <w:t xml:space="preserve"> </w:t>
      </w:r>
      <w:r w:rsidR="00787DDE" w:rsidRPr="00B01850">
        <w:rPr>
          <w:rFonts w:ascii="Arial" w:hAnsi="Arial" w:cs="Arial"/>
          <w:bCs/>
        </w:rPr>
        <w:t>s’assurera au préalable de</w:t>
      </w:r>
      <w:r w:rsidR="005B7130" w:rsidRPr="00B01850">
        <w:rPr>
          <w:rFonts w:ascii="Arial" w:hAnsi="Arial" w:cs="Arial"/>
          <w:bCs/>
        </w:rPr>
        <w:t> :</w:t>
      </w:r>
    </w:p>
    <w:p w14:paraId="61C38564" w14:textId="1D93ABDB" w:rsidR="00367946" w:rsidRPr="00B01850" w:rsidRDefault="00367946" w:rsidP="00214DCC">
      <w:pPr>
        <w:pStyle w:val="ListParagraph"/>
        <w:numPr>
          <w:ilvl w:val="0"/>
          <w:numId w:val="82"/>
        </w:numPr>
        <w:spacing w:after="0" w:line="240" w:lineRule="auto"/>
        <w:jc w:val="both"/>
        <w:rPr>
          <w:rFonts w:ascii="Arial" w:hAnsi="Arial" w:cs="Arial"/>
        </w:rPr>
      </w:pPr>
      <w:r w:rsidRPr="00B01850">
        <w:rPr>
          <w:rFonts w:ascii="Arial" w:hAnsi="Arial" w:cs="Arial"/>
        </w:rPr>
        <w:t>S'approvisionner auprès de fournisseurs légalement constitué</w:t>
      </w:r>
      <w:r w:rsidR="005B7130" w:rsidRPr="00B01850">
        <w:rPr>
          <w:rFonts w:ascii="Arial" w:hAnsi="Arial" w:cs="Arial"/>
        </w:rPr>
        <w:t xml:space="preserve">s dont les documents légaux </w:t>
      </w:r>
      <w:r w:rsidRPr="00B01850">
        <w:rPr>
          <w:rFonts w:ascii="Arial" w:hAnsi="Arial" w:cs="Arial"/>
        </w:rPr>
        <w:t>garanti</w:t>
      </w:r>
      <w:r w:rsidR="005B7130" w:rsidRPr="00B01850">
        <w:rPr>
          <w:rFonts w:ascii="Arial" w:hAnsi="Arial" w:cs="Arial"/>
        </w:rPr>
        <w:t>ssen</w:t>
      </w:r>
      <w:r w:rsidRPr="00B01850">
        <w:rPr>
          <w:rFonts w:ascii="Arial" w:hAnsi="Arial" w:cs="Arial"/>
        </w:rPr>
        <w:t xml:space="preserve">t que l'entreprise est tenue de se conformer </w:t>
      </w:r>
      <w:r w:rsidR="005B7130" w:rsidRPr="00B01850">
        <w:rPr>
          <w:rFonts w:ascii="Arial" w:hAnsi="Arial" w:cs="Arial"/>
        </w:rPr>
        <w:t xml:space="preserve">au code du travail </w:t>
      </w:r>
      <w:r w:rsidRPr="00B01850">
        <w:rPr>
          <w:rFonts w:ascii="Arial" w:hAnsi="Arial" w:cs="Arial"/>
        </w:rPr>
        <w:t>et autres lois applicables</w:t>
      </w:r>
      <w:r w:rsidR="005B7130" w:rsidRPr="00B01850">
        <w:rPr>
          <w:rFonts w:ascii="Arial" w:hAnsi="Arial" w:cs="Arial"/>
        </w:rPr>
        <w:t xml:space="preserve"> aux entreprises en </w:t>
      </w:r>
      <w:r w:rsidR="00083181" w:rsidRPr="00B01850">
        <w:rPr>
          <w:rFonts w:ascii="Arial" w:hAnsi="Arial" w:cs="Arial"/>
        </w:rPr>
        <w:t>Guinée</w:t>
      </w:r>
      <w:r w:rsidR="005B7130" w:rsidRPr="00B01850">
        <w:rPr>
          <w:rFonts w:ascii="Arial" w:hAnsi="Arial" w:cs="Arial"/>
        </w:rPr>
        <w:t xml:space="preserve"> dont </w:t>
      </w:r>
      <w:r w:rsidR="00787DDE" w:rsidRPr="00B01850">
        <w:rPr>
          <w:rFonts w:ascii="Arial" w:hAnsi="Arial" w:cs="Arial"/>
        </w:rPr>
        <w:t xml:space="preserve">(i) </w:t>
      </w:r>
      <w:r w:rsidR="005B7130" w:rsidRPr="00B01850">
        <w:rPr>
          <w:rFonts w:ascii="Arial" w:hAnsi="Arial" w:cs="Arial"/>
        </w:rPr>
        <w:t>l’a</w:t>
      </w:r>
      <w:r w:rsidRPr="00B01850">
        <w:rPr>
          <w:rFonts w:ascii="Arial" w:hAnsi="Arial" w:cs="Arial"/>
        </w:rPr>
        <w:t>cte de constitution</w:t>
      </w:r>
      <w:r w:rsidR="00787DDE" w:rsidRPr="00B01850">
        <w:rPr>
          <w:rFonts w:ascii="Arial" w:hAnsi="Arial" w:cs="Arial"/>
        </w:rPr>
        <w:t xml:space="preserve">, (ii) </w:t>
      </w:r>
      <w:r w:rsidR="005B7130" w:rsidRPr="00B01850">
        <w:rPr>
          <w:rFonts w:ascii="Arial" w:hAnsi="Arial" w:cs="Arial"/>
        </w:rPr>
        <w:t>le q</w:t>
      </w:r>
      <w:r w:rsidRPr="00B01850">
        <w:rPr>
          <w:rFonts w:ascii="Arial" w:hAnsi="Arial" w:cs="Arial"/>
        </w:rPr>
        <w:t>uitus fiscal</w:t>
      </w:r>
      <w:r w:rsidR="00787DDE" w:rsidRPr="00B01850">
        <w:rPr>
          <w:rFonts w:ascii="Arial" w:hAnsi="Arial" w:cs="Arial"/>
        </w:rPr>
        <w:t xml:space="preserve">, (iii) </w:t>
      </w:r>
      <w:r w:rsidR="005B7130" w:rsidRPr="00B01850">
        <w:rPr>
          <w:rFonts w:ascii="Arial" w:hAnsi="Arial" w:cs="Arial"/>
        </w:rPr>
        <w:t>le c</w:t>
      </w:r>
      <w:r w:rsidRPr="00B01850">
        <w:rPr>
          <w:rFonts w:ascii="Arial" w:hAnsi="Arial" w:cs="Arial"/>
        </w:rPr>
        <w:t>ertificat de taxe sur la valeur ajoutée</w:t>
      </w:r>
      <w:r w:rsidR="00787DDE" w:rsidRPr="00B01850">
        <w:rPr>
          <w:rFonts w:ascii="Arial" w:hAnsi="Arial" w:cs="Arial"/>
        </w:rPr>
        <w:t xml:space="preserve">, (iv) </w:t>
      </w:r>
      <w:r w:rsidR="005B7130" w:rsidRPr="00B01850">
        <w:rPr>
          <w:rFonts w:ascii="Arial" w:hAnsi="Arial" w:cs="Arial"/>
        </w:rPr>
        <w:t>l’e</w:t>
      </w:r>
      <w:r w:rsidRPr="00B01850">
        <w:rPr>
          <w:rFonts w:ascii="Arial" w:hAnsi="Arial" w:cs="Arial"/>
        </w:rPr>
        <w:t xml:space="preserve">nregistrement du fournisseur </w:t>
      </w:r>
      <w:r w:rsidR="005B7130" w:rsidRPr="00B01850">
        <w:rPr>
          <w:rFonts w:ascii="Arial" w:hAnsi="Arial" w:cs="Arial"/>
        </w:rPr>
        <w:t>à la Caisse Nationale de Sécurité Sociale (CNSS).</w:t>
      </w:r>
    </w:p>
    <w:p w14:paraId="4C9F100E" w14:textId="0220E978" w:rsidR="00670439" w:rsidRPr="00B01850" w:rsidRDefault="00F36FAE" w:rsidP="00214DCC">
      <w:pPr>
        <w:pStyle w:val="ListParagraph"/>
        <w:numPr>
          <w:ilvl w:val="0"/>
          <w:numId w:val="82"/>
        </w:numPr>
        <w:spacing w:after="0" w:line="240" w:lineRule="auto"/>
        <w:jc w:val="both"/>
        <w:rPr>
          <w:rFonts w:ascii="Arial" w:hAnsi="Arial" w:cs="Arial"/>
        </w:rPr>
      </w:pPr>
      <w:r w:rsidRPr="00B01850">
        <w:rPr>
          <w:rFonts w:ascii="Arial" w:hAnsi="Arial" w:cs="Arial"/>
        </w:rPr>
        <w:t xml:space="preserve">Risque réputationnel du projet et de la Banque mondiale. </w:t>
      </w:r>
      <w:r w:rsidR="00670439" w:rsidRPr="00B01850">
        <w:rPr>
          <w:rFonts w:ascii="Arial" w:hAnsi="Arial" w:cs="Arial"/>
        </w:rPr>
        <w:t xml:space="preserve">Analyser le contexte global de production des biens qui seront fournis au projet, pour s’assurer que le fournisseur concerné n’impacte pas négativement </w:t>
      </w:r>
      <w:r w:rsidR="00AE4D22" w:rsidRPr="00B01850">
        <w:rPr>
          <w:rFonts w:ascii="Arial" w:hAnsi="Arial" w:cs="Arial"/>
        </w:rPr>
        <w:t xml:space="preserve">son </w:t>
      </w:r>
      <w:r w:rsidR="00670439" w:rsidRPr="00B01850">
        <w:rPr>
          <w:rFonts w:ascii="Arial" w:hAnsi="Arial" w:cs="Arial"/>
        </w:rPr>
        <w:t>environnement biophysique et humain.</w:t>
      </w:r>
    </w:p>
    <w:p w14:paraId="34CA35DA" w14:textId="656E1EC3" w:rsidR="00367946" w:rsidRPr="00B01850" w:rsidRDefault="00367946" w:rsidP="00214DCC">
      <w:pPr>
        <w:pStyle w:val="ListParagraph"/>
        <w:numPr>
          <w:ilvl w:val="0"/>
          <w:numId w:val="82"/>
        </w:numPr>
        <w:spacing w:after="0" w:line="240" w:lineRule="auto"/>
        <w:jc w:val="both"/>
        <w:rPr>
          <w:rFonts w:ascii="Arial" w:hAnsi="Arial" w:cs="Arial"/>
        </w:rPr>
      </w:pPr>
      <w:r w:rsidRPr="00B01850">
        <w:rPr>
          <w:rFonts w:ascii="Arial" w:hAnsi="Arial" w:cs="Arial"/>
        </w:rPr>
        <w:t>Procéder à un contrôle physique du système de gestion de la main-d'œuvre du fournisseur, notamment</w:t>
      </w:r>
      <w:r w:rsidR="005B7130" w:rsidRPr="00B01850">
        <w:rPr>
          <w:rFonts w:ascii="Arial" w:hAnsi="Arial" w:cs="Arial"/>
        </w:rPr>
        <w:t xml:space="preserve"> dont (i) les </w:t>
      </w:r>
      <w:r w:rsidRPr="00B01850">
        <w:rPr>
          <w:rFonts w:ascii="Arial" w:hAnsi="Arial" w:cs="Arial"/>
        </w:rPr>
        <w:t>Contrats des employés</w:t>
      </w:r>
      <w:r w:rsidR="005B7130" w:rsidRPr="00B01850">
        <w:rPr>
          <w:rFonts w:ascii="Arial" w:hAnsi="Arial" w:cs="Arial"/>
        </w:rPr>
        <w:t xml:space="preserve">, (ii) le </w:t>
      </w:r>
      <w:r w:rsidRPr="00B01850">
        <w:rPr>
          <w:rFonts w:ascii="Arial" w:hAnsi="Arial" w:cs="Arial"/>
        </w:rPr>
        <w:t>S</w:t>
      </w:r>
      <w:r w:rsidR="005B7130" w:rsidRPr="00B01850">
        <w:rPr>
          <w:rFonts w:ascii="Arial" w:hAnsi="Arial" w:cs="Arial"/>
        </w:rPr>
        <w:t xml:space="preserve">ystème de Santé </w:t>
      </w:r>
      <w:r w:rsidRPr="00B01850">
        <w:rPr>
          <w:rFonts w:ascii="Arial" w:hAnsi="Arial" w:cs="Arial"/>
        </w:rPr>
        <w:t>S</w:t>
      </w:r>
      <w:r w:rsidR="005B7130" w:rsidRPr="00B01850">
        <w:rPr>
          <w:rFonts w:ascii="Arial" w:hAnsi="Arial" w:cs="Arial"/>
        </w:rPr>
        <w:t xml:space="preserve">écurité au </w:t>
      </w:r>
      <w:r w:rsidRPr="00B01850">
        <w:rPr>
          <w:rFonts w:ascii="Arial" w:hAnsi="Arial" w:cs="Arial"/>
        </w:rPr>
        <w:t>T</w:t>
      </w:r>
      <w:r w:rsidR="005B7130" w:rsidRPr="00B01850">
        <w:rPr>
          <w:rFonts w:ascii="Arial" w:hAnsi="Arial" w:cs="Arial"/>
        </w:rPr>
        <w:t xml:space="preserve">ravail, (iii) </w:t>
      </w:r>
      <w:r w:rsidR="00C46511" w:rsidRPr="00B01850">
        <w:rPr>
          <w:rFonts w:ascii="Arial" w:hAnsi="Arial" w:cs="Arial"/>
        </w:rPr>
        <w:t>Tout</w:t>
      </w:r>
      <w:r w:rsidRPr="00B01850">
        <w:rPr>
          <w:rFonts w:ascii="Arial" w:hAnsi="Arial" w:cs="Arial"/>
        </w:rPr>
        <w:t xml:space="preserve"> incident environnemental ou professionnel antérieur lié au travail</w:t>
      </w:r>
      <w:r w:rsidR="00537447" w:rsidRPr="00B01850">
        <w:rPr>
          <w:rFonts w:ascii="Arial" w:hAnsi="Arial" w:cs="Arial"/>
        </w:rPr>
        <w:t xml:space="preserve">, (iv) le </w:t>
      </w:r>
      <w:r w:rsidR="006F333A" w:rsidRPr="00B01850">
        <w:rPr>
          <w:rFonts w:ascii="Arial" w:hAnsi="Arial" w:cs="Arial"/>
        </w:rPr>
        <w:t>c</w:t>
      </w:r>
      <w:r w:rsidRPr="00B01850">
        <w:rPr>
          <w:rFonts w:ascii="Arial" w:hAnsi="Arial" w:cs="Arial"/>
        </w:rPr>
        <w:t>omité des travailleurs en place</w:t>
      </w:r>
      <w:r w:rsidR="00537447" w:rsidRPr="00B01850">
        <w:rPr>
          <w:rFonts w:ascii="Arial" w:hAnsi="Arial" w:cs="Arial"/>
        </w:rPr>
        <w:t>.</w:t>
      </w:r>
    </w:p>
    <w:p w14:paraId="7EEA4A99" w14:textId="52B293DA" w:rsidR="00367946" w:rsidRPr="00B01850" w:rsidRDefault="00367946" w:rsidP="00214DCC">
      <w:pPr>
        <w:pStyle w:val="ListParagraph"/>
        <w:numPr>
          <w:ilvl w:val="0"/>
          <w:numId w:val="82"/>
        </w:numPr>
        <w:spacing w:after="0" w:line="240" w:lineRule="auto"/>
        <w:jc w:val="both"/>
        <w:rPr>
          <w:rFonts w:ascii="Arial" w:hAnsi="Arial" w:cs="Arial"/>
        </w:rPr>
      </w:pPr>
      <w:r w:rsidRPr="00B01850">
        <w:rPr>
          <w:rFonts w:ascii="Arial" w:hAnsi="Arial" w:cs="Arial"/>
        </w:rPr>
        <w:t>Vérifier la certification de qualité et la notation environnementale des produits, le cas échéant</w:t>
      </w:r>
      <w:r w:rsidR="00C54670" w:rsidRPr="00B01850">
        <w:rPr>
          <w:rFonts w:ascii="Arial" w:hAnsi="Arial" w:cs="Arial"/>
        </w:rPr>
        <w:t>, s</w:t>
      </w:r>
      <w:r w:rsidRPr="00B01850">
        <w:rPr>
          <w:rFonts w:ascii="Arial" w:hAnsi="Arial" w:cs="Arial"/>
        </w:rPr>
        <w:t>'engager à reprendre les déchets pour les réutiliser, par exemple les contenants et emballages le cas échéant</w:t>
      </w:r>
      <w:r w:rsidR="00537447" w:rsidRPr="00B01850">
        <w:rPr>
          <w:rFonts w:ascii="Arial" w:hAnsi="Arial" w:cs="Arial"/>
        </w:rPr>
        <w:t>.</w:t>
      </w:r>
    </w:p>
    <w:p w14:paraId="53AF627D" w14:textId="3A843FA8" w:rsidR="00074F12" w:rsidRPr="00B01850" w:rsidRDefault="00367946" w:rsidP="00214DCC">
      <w:pPr>
        <w:pStyle w:val="ListParagraph"/>
        <w:numPr>
          <w:ilvl w:val="0"/>
          <w:numId w:val="83"/>
        </w:numPr>
        <w:spacing w:after="0" w:line="240" w:lineRule="auto"/>
        <w:jc w:val="both"/>
        <w:rPr>
          <w:rFonts w:ascii="Arial" w:hAnsi="Arial" w:cs="Arial"/>
        </w:rPr>
      </w:pPr>
      <w:r w:rsidRPr="00B01850">
        <w:rPr>
          <w:rFonts w:ascii="Arial" w:hAnsi="Arial" w:cs="Arial"/>
        </w:rPr>
        <w:t>Possibilité de formation des utilisateurs communautaires à l'utilisation sans danger du produit, le cas échéant</w:t>
      </w:r>
      <w:r w:rsidR="00AE4D22" w:rsidRPr="00B01850">
        <w:rPr>
          <w:rFonts w:ascii="Arial" w:hAnsi="Arial" w:cs="Arial"/>
        </w:rPr>
        <w:t>.</w:t>
      </w:r>
    </w:p>
    <w:p w14:paraId="225AD3FE" w14:textId="30AD5667" w:rsidR="00367946" w:rsidRPr="00B01850" w:rsidRDefault="00367946" w:rsidP="00214DCC">
      <w:pPr>
        <w:pStyle w:val="ListParagraph"/>
        <w:numPr>
          <w:ilvl w:val="0"/>
          <w:numId w:val="83"/>
        </w:numPr>
        <w:spacing w:after="0" w:line="240" w:lineRule="auto"/>
        <w:jc w:val="both"/>
        <w:rPr>
          <w:rFonts w:ascii="Arial" w:hAnsi="Arial" w:cs="Arial"/>
        </w:rPr>
      </w:pPr>
      <w:r w:rsidRPr="00B01850">
        <w:rPr>
          <w:rFonts w:ascii="Arial" w:hAnsi="Arial" w:cs="Arial"/>
        </w:rPr>
        <w:t>Lorsqu'un risque de travail des enfants, de travail forcé ou de graves risques pour la sécurité est identifié dans un secteur ou une industrie donnée, un</w:t>
      </w:r>
      <w:r w:rsidR="00F36FAE" w:rsidRPr="00B01850">
        <w:rPr>
          <w:rFonts w:ascii="Arial" w:hAnsi="Arial" w:cs="Arial"/>
        </w:rPr>
        <w:t>e</w:t>
      </w:r>
      <w:r w:rsidRPr="00B01850">
        <w:rPr>
          <w:rFonts w:ascii="Arial" w:hAnsi="Arial" w:cs="Arial"/>
        </w:rPr>
        <w:t xml:space="preserve"> cartographie doit être </w:t>
      </w:r>
      <w:r w:rsidR="00F36FAE" w:rsidRPr="00B01850">
        <w:rPr>
          <w:rFonts w:ascii="Arial" w:hAnsi="Arial" w:cs="Arial"/>
        </w:rPr>
        <w:t>établie</w:t>
      </w:r>
      <w:r w:rsidRPr="00B01850">
        <w:rPr>
          <w:rFonts w:ascii="Arial" w:hAnsi="Arial" w:cs="Arial"/>
        </w:rPr>
        <w:t xml:space="preserve"> pour identifier les fournisseurs qui dépendent de ces produits.</w:t>
      </w:r>
    </w:p>
    <w:p w14:paraId="11836D4D" w14:textId="77777777" w:rsidR="00367946" w:rsidRPr="00B01850" w:rsidRDefault="00367946" w:rsidP="00214DCC">
      <w:pPr>
        <w:pStyle w:val="ListParagraph"/>
        <w:numPr>
          <w:ilvl w:val="0"/>
          <w:numId w:val="83"/>
        </w:numPr>
        <w:spacing w:after="0" w:line="240" w:lineRule="auto"/>
        <w:jc w:val="both"/>
        <w:rPr>
          <w:rFonts w:ascii="Arial" w:hAnsi="Arial" w:cs="Arial"/>
        </w:rPr>
      </w:pPr>
      <w:r w:rsidRPr="00B01850">
        <w:rPr>
          <w:rFonts w:ascii="Arial" w:hAnsi="Arial" w:cs="Arial"/>
        </w:rPr>
        <w:t>Lorsqu'il n'est pas possible d'identifier des fournisseurs principaux spécifiques, la cartographie doit identifier les problèmes généraux de main-d'œuvre du secteur d'activité liés à la fourniture des biens respectifs.</w:t>
      </w:r>
    </w:p>
    <w:p w14:paraId="7A04D506" w14:textId="77777777" w:rsidR="00367946" w:rsidRPr="00B01850" w:rsidRDefault="00367946" w:rsidP="00367946">
      <w:pPr>
        <w:spacing w:after="0" w:line="240" w:lineRule="auto"/>
        <w:ind w:left="360"/>
        <w:jc w:val="both"/>
        <w:rPr>
          <w:rFonts w:ascii="Arial" w:hAnsi="Arial" w:cs="Arial"/>
        </w:rPr>
      </w:pPr>
    </w:p>
    <w:p w14:paraId="7BD1402A" w14:textId="77777777" w:rsidR="00367946" w:rsidRPr="00B01850" w:rsidRDefault="00367946" w:rsidP="00214DCC">
      <w:pPr>
        <w:pStyle w:val="ListParagraph"/>
        <w:numPr>
          <w:ilvl w:val="0"/>
          <w:numId w:val="84"/>
        </w:numPr>
        <w:spacing w:after="0" w:line="240" w:lineRule="auto"/>
        <w:jc w:val="both"/>
        <w:rPr>
          <w:rFonts w:ascii="Arial" w:hAnsi="Arial" w:cs="Arial"/>
          <w:b/>
          <w:bCs/>
        </w:rPr>
      </w:pPr>
      <w:r w:rsidRPr="00B01850">
        <w:rPr>
          <w:rFonts w:ascii="Arial" w:hAnsi="Arial" w:cs="Arial"/>
          <w:b/>
          <w:bCs/>
        </w:rPr>
        <w:t>Conditions de travail des travailleurs du projet</w:t>
      </w:r>
    </w:p>
    <w:p w14:paraId="259792F4" w14:textId="77777777" w:rsidR="00367946" w:rsidRPr="00B01850" w:rsidRDefault="00367946" w:rsidP="00367946">
      <w:pPr>
        <w:spacing w:after="0" w:line="240" w:lineRule="auto"/>
        <w:jc w:val="both"/>
        <w:rPr>
          <w:rFonts w:ascii="Arial" w:hAnsi="Arial" w:cs="Arial"/>
        </w:rPr>
      </w:pPr>
    </w:p>
    <w:p w14:paraId="42ED72AE" w14:textId="459060D8" w:rsidR="00367946" w:rsidRPr="00B01850" w:rsidRDefault="00367946" w:rsidP="00367946">
      <w:pPr>
        <w:spacing w:after="0" w:line="240" w:lineRule="auto"/>
        <w:jc w:val="both"/>
        <w:rPr>
          <w:rFonts w:ascii="Arial" w:hAnsi="Arial" w:cs="Arial"/>
        </w:rPr>
      </w:pPr>
      <w:r w:rsidRPr="00B01850">
        <w:rPr>
          <w:rFonts w:ascii="Arial" w:hAnsi="Arial" w:cs="Arial"/>
        </w:rPr>
        <w:t>Les conditions spécifiques applicables aux différentes catégories de travailleurs du projet et aux différents types d'activités seront définies lors de la phase de démarrage du projet, en s'inspirant des conditions actuellement appliquées par l'U</w:t>
      </w:r>
      <w:r w:rsidR="00D94545" w:rsidRPr="00B01850">
        <w:rPr>
          <w:rFonts w:ascii="Arial" w:hAnsi="Arial" w:cs="Arial"/>
        </w:rPr>
        <w:t>G</w:t>
      </w:r>
      <w:r w:rsidRPr="00B01850">
        <w:rPr>
          <w:rFonts w:ascii="Arial" w:hAnsi="Arial" w:cs="Arial"/>
        </w:rPr>
        <w:t>P</w:t>
      </w:r>
      <w:r w:rsidR="009E0F05" w:rsidRPr="00B01850">
        <w:rPr>
          <w:rFonts w:ascii="Arial" w:hAnsi="Arial" w:cs="Arial"/>
        </w:rPr>
        <w:t xml:space="preserve"> du projet </w:t>
      </w:r>
      <w:r w:rsidR="00EA386B" w:rsidRPr="00B01850">
        <w:rPr>
          <w:rFonts w:ascii="Arial" w:hAnsi="Arial" w:cs="Arial"/>
        </w:rPr>
        <w:t>NAFA -PRU-APN (P168777).</w:t>
      </w:r>
    </w:p>
    <w:p w14:paraId="296EE313" w14:textId="77777777" w:rsidR="00367946" w:rsidRPr="00B01850" w:rsidRDefault="00367946" w:rsidP="00367946">
      <w:pPr>
        <w:spacing w:after="0" w:line="240" w:lineRule="auto"/>
        <w:jc w:val="both"/>
        <w:rPr>
          <w:rFonts w:ascii="Arial" w:hAnsi="Arial" w:cs="Arial"/>
        </w:rPr>
      </w:pPr>
    </w:p>
    <w:p w14:paraId="1E0A1523" w14:textId="77777777" w:rsidR="00367946" w:rsidRPr="00B01850" w:rsidRDefault="00367946" w:rsidP="00214DCC">
      <w:pPr>
        <w:pStyle w:val="ListParagraph"/>
        <w:numPr>
          <w:ilvl w:val="0"/>
          <w:numId w:val="85"/>
        </w:numPr>
        <w:spacing w:after="0" w:line="240" w:lineRule="auto"/>
        <w:jc w:val="both"/>
        <w:rPr>
          <w:rFonts w:ascii="Arial" w:hAnsi="Arial" w:cs="Arial"/>
          <w:b/>
          <w:bCs/>
        </w:rPr>
      </w:pPr>
      <w:r w:rsidRPr="00B01850">
        <w:rPr>
          <w:rFonts w:ascii="Arial" w:hAnsi="Arial" w:cs="Arial"/>
          <w:b/>
          <w:bCs/>
        </w:rPr>
        <w:t>Suivi et supervision</w:t>
      </w:r>
    </w:p>
    <w:p w14:paraId="03D9B344" w14:textId="77777777" w:rsidR="00367946" w:rsidRPr="00B01850" w:rsidRDefault="00367946" w:rsidP="00367946">
      <w:pPr>
        <w:spacing w:after="0" w:line="240" w:lineRule="auto"/>
        <w:jc w:val="both"/>
        <w:rPr>
          <w:rFonts w:ascii="Arial" w:hAnsi="Arial" w:cs="Arial"/>
        </w:rPr>
      </w:pPr>
    </w:p>
    <w:p w14:paraId="51BED91F" w14:textId="7719AA24" w:rsidR="00367946" w:rsidRPr="00B01850" w:rsidRDefault="00367946" w:rsidP="00367946">
      <w:pPr>
        <w:spacing w:after="0" w:line="240" w:lineRule="auto"/>
        <w:jc w:val="both"/>
        <w:rPr>
          <w:rFonts w:ascii="Arial" w:hAnsi="Arial" w:cs="Arial"/>
        </w:rPr>
      </w:pPr>
      <w:r w:rsidRPr="00B01850">
        <w:rPr>
          <w:rFonts w:ascii="Arial" w:hAnsi="Arial" w:cs="Arial"/>
        </w:rPr>
        <w:t xml:space="preserve">Le suivi de la performance de ces procédures de gestion de la main-d'œuvre suivra le même dispositif institutionnel que le suivi et la supervision du PGES. En général, </w:t>
      </w:r>
      <w:r w:rsidR="00AF0504" w:rsidRPr="00B01850">
        <w:rPr>
          <w:rFonts w:ascii="Arial" w:hAnsi="Arial" w:cs="Arial"/>
        </w:rPr>
        <w:t>l’UGP</w:t>
      </w:r>
      <w:r w:rsidRPr="00B01850">
        <w:rPr>
          <w:rFonts w:ascii="Arial" w:hAnsi="Arial" w:cs="Arial"/>
        </w:rPr>
        <w:t xml:space="preserve"> </w:t>
      </w:r>
      <w:r w:rsidR="00CE13C5" w:rsidRPr="00B01850">
        <w:rPr>
          <w:rFonts w:ascii="Arial" w:hAnsi="Arial" w:cs="Arial"/>
        </w:rPr>
        <w:t xml:space="preserve">du projet NAFA -PRU-APN (P168777) </w:t>
      </w:r>
      <w:r w:rsidRPr="00B01850">
        <w:rPr>
          <w:rFonts w:ascii="Arial" w:hAnsi="Arial" w:cs="Arial"/>
        </w:rPr>
        <w:t xml:space="preserve">sera responsable du suivi de la mise en œuvre des </w:t>
      </w:r>
      <w:r w:rsidR="00CE13C5" w:rsidRPr="00B01850">
        <w:rPr>
          <w:rFonts w:ascii="Arial" w:hAnsi="Arial" w:cs="Arial"/>
        </w:rPr>
        <w:t xml:space="preserve">présentes </w:t>
      </w:r>
      <w:r w:rsidRPr="00B01850">
        <w:rPr>
          <w:rFonts w:ascii="Arial" w:hAnsi="Arial" w:cs="Arial"/>
        </w:rPr>
        <w:t xml:space="preserve">procédures </w:t>
      </w:r>
      <w:r w:rsidRPr="00B01850">
        <w:rPr>
          <w:rFonts w:ascii="Arial" w:hAnsi="Arial" w:cs="Arial"/>
        </w:rPr>
        <w:lastRenderedPageBreak/>
        <w:t xml:space="preserve">de gestion de la main-d'œuvre. </w:t>
      </w:r>
      <w:r w:rsidR="0027472B" w:rsidRPr="00B01850">
        <w:rPr>
          <w:rFonts w:ascii="Arial" w:hAnsi="Arial" w:cs="Arial"/>
        </w:rPr>
        <w:t xml:space="preserve">Les </w:t>
      </w:r>
      <w:r w:rsidR="00F46727" w:rsidRPr="00B01850">
        <w:rPr>
          <w:rFonts w:ascii="Arial" w:hAnsi="Arial" w:cs="Arial"/>
        </w:rPr>
        <w:t>s</w:t>
      </w:r>
      <w:r w:rsidR="0027472B" w:rsidRPr="00B01850">
        <w:rPr>
          <w:rFonts w:ascii="Arial" w:hAnsi="Arial" w:cs="Arial"/>
        </w:rPr>
        <w:t>pécialistes en sauvegarde du projet travailleront de concert pour garantir la viabilité du projet en termes de gestion de la main d’œuvre.</w:t>
      </w:r>
    </w:p>
    <w:p w14:paraId="219C548D" w14:textId="77777777" w:rsidR="00367946" w:rsidRPr="00B01850" w:rsidRDefault="00367946" w:rsidP="00367946">
      <w:pPr>
        <w:spacing w:after="0" w:line="240" w:lineRule="auto"/>
        <w:jc w:val="both"/>
        <w:rPr>
          <w:rFonts w:ascii="Arial" w:hAnsi="Arial" w:cs="Arial"/>
        </w:rPr>
      </w:pPr>
    </w:p>
    <w:p w14:paraId="05647A58" w14:textId="0AC20F35" w:rsidR="00367946" w:rsidRPr="00B01850" w:rsidRDefault="0027472B" w:rsidP="00367946">
      <w:pPr>
        <w:spacing w:after="0" w:line="240" w:lineRule="auto"/>
        <w:jc w:val="both"/>
        <w:rPr>
          <w:rFonts w:ascii="Arial" w:hAnsi="Arial" w:cs="Arial"/>
        </w:rPr>
      </w:pPr>
      <w:r w:rsidRPr="00B01850">
        <w:rPr>
          <w:rFonts w:ascii="Arial" w:hAnsi="Arial" w:cs="Arial"/>
        </w:rPr>
        <w:t xml:space="preserve">Ils effectueront des missions </w:t>
      </w:r>
      <w:r w:rsidR="00367946" w:rsidRPr="00B01850">
        <w:rPr>
          <w:rFonts w:ascii="Arial" w:hAnsi="Arial" w:cs="Arial"/>
        </w:rPr>
        <w:t>de supervision et de contrôle ponctuel</w:t>
      </w:r>
      <w:r w:rsidR="00552235" w:rsidRPr="00B01850">
        <w:rPr>
          <w:rFonts w:ascii="Arial" w:hAnsi="Arial" w:cs="Arial"/>
        </w:rPr>
        <w:t>le</w:t>
      </w:r>
      <w:r w:rsidR="00367946" w:rsidRPr="00B01850">
        <w:rPr>
          <w:rFonts w:ascii="Arial" w:hAnsi="Arial" w:cs="Arial"/>
        </w:rPr>
        <w:t xml:space="preserve">s selon un calendrier qui sera établi </w:t>
      </w:r>
      <w:r w:rsidR="00552235" w:rsidRPr="00B01850">
        <w:rPr>
          <w:rFonts w:ascii="Arial" w:hAnsi="Arial" w:cs="Arial"/>
        </w:rPr>
        <w:t xml:space="preserve">lorsque le CERP sera activé. </w:t>
      </w:r>
      <w:r w:rsidR="00CB1C82" w:rsidRPr="00B01850">
        <w:rPr>
          <w:rFonts w:ascii="Arial" w:hAnsi="Arial" w:cs="Arial"/>
        </w:rPr>
        <w:t xml:space="preserve">A cet effet, l’UGP et les spécialistes en sauvegarde seront tenus au courant des zones d’intervention du projet. Ainsi, informés des risques et effets </w:t>
      </w:r>
      <w:r w:rsidR="00367946" w:rsidRPr="00B01850">
        <w:rPr>
          <w:rFonts w:ascii="Arial" w:hAnsi="Arial" w:cs="Arial"/>
        </w:rPr>
        <w:t>potentiels des activités lié</w:t>
      </w:r>
      <w:r w:rsidR="008F54B2" w:rsidRPr="00B01850">
        <w:rPr>
          <w:rFonts w:ascii="Arial" w:hAnsi="Arial" w:cs="Arial"/>
        </w:rPr>
        <w:t>e</w:t>
      </w:r>
      <w:r w:rsidR="00367946" w:rsidRPr="00B01850">
        <w:rPr>
          <w:rFonts w:ascii="Arial" w:hAnsi="Arial" w:cs="Arial"/>
        </w:rPr>
        <w:t>s à la main-d'œuvre</w:t>
      </w:r>
      <w:r w:rsidR="00CB1C82" w:rsidRPr="00B01850">
        <w:rPr>
          <w:rFonts w:ascii="Arial" w:hAnsi="Arial" w:cs="Arial"/>
        </w:rPr>
        <w:t xml:space="preserve"> du projet, ces derniers </w:t>
      </w:r>
      <w:r w:rsidR="00367946" w:rsidRPr="00B01850">
        <w:rPr>
          <w:rFonts w:ascii="Arial" w:hAnsi="Arial" w:cs="Arial"/>
        </w:rPr>
        <w:t>élaborer</w:t>
      </w:r>
      <w:r w:rsidR="00CB1C82" w:rsidRPr="00B01850">
        <w:rPr>
          <w:rFonts w:ascii="Arial" w:hAnsi="Arial" w:cs="Arial"/>
        </w:rPr>
        <w:t xml:space="preserve">ont </w:t>
      </w:r>
      <w:r w:rsidR="00367946" w:rsidRPr="00B01850">
        <w:rPr>
          <w:rFonts w:ascii="Arial" w:hAnsi="Arial" w:cs="Arial"/>
        </w:rPr>
        <w:t>un calendrier de suivi en conséquence.</w:t>
      </w:r>
    </w:p>
    <w:p w14:paraId="7AB642A1" w14:textId="77777777" w:rsidR="00367946" w:rsidRPr="00B01850" w:rsidRDefault="00367946" w:rsidP="00367946">
      <w:pPr>
        <w:spacing w:after="0" w:line="240" w:lineRule="auto"/>
        <w:jc w:val="both"/>
        <w:rPr>
          <w:rFonts w:ascii="Arial" w:hAnsi="Arial" w:cs="Arial"/>
        </w:rPr>
      </w:pPr>
    </w:p>
    <w:p w14:paraId="3D271153" w14:textId="72D74EF3" w:rsidR="00367946" w:rsidRPr="00B01850" w:rsidRDefault="00567A70" w:rsidP="00367946">
      <w:pPr>
        <w:spacing w:after="0" w:line="240" w:lineRule="auto"/>
        <w:jc w:val="both"/>
        <w:rPr>
          <w:rFonts w:ascii="Arial" w:hAnsi="Arial" w:cs="Arial"/>
        </w:rPr>
      </w:pPr>
      <w:r w:rsidRPr="00B01850">
        <w:rPr>
          <w:rFonts w:ascii="Arial" w:hAnsi="Arial" w:cs="Arial"/>
        </w:rPr>
        <w:t xml:space="preserve">Lorsque des cas de </w:t>
      </w:r>
      <w:r w:rsidR="00367946" w:rsidRPr="00B01850">
        <w:rPr>
          <w:rFonts w:ascii="Arial" w:hAnsi="Arial" w:cs="Arial"/>
        </w:rPr>
        <w:t xml:space="preserve">non-respect des procédures de gestion de la main-d'œuvre </w:t>
      </w:r>
      <w:r w:rsidRPr="00B01850">
        <w:rPr>
          <w:rFonts w:ascii="Arial" w:hAnsi="Arial" w:cs="Arial"/>
        </w:rPr>
        <w:t xml:space="preserve">sont constatés, le Coordonnateur du projet est alerté et ces informations sont mentionnées </w:t>
      </w:r>
      <w:r w:rsidR="00367946" w:rsidRPr="00B01850">
        <w:rPr>
          <w:rFonts w:ascii="Arial" w:hAnsi="Arial" w:cs="Arial"/>
        </w:rPr>
        <w:t>dans les rapports</w:t>
      </w:r>
      <w:r w:rsidRPr="00B01850">
        <w:rPr>
          <w:rFonts w:ascii="Arial" w:hAnsi="Arial" w:cs="Arial"/>
        </w:rPr>
        <w:t xml:space="preserve"> périodiques relatifs à la mise en œuvre des mesures de sauvegarde du CERP.</w:t>
      </w:r>
    </w:p>
    <w:p w14:paraId="60ADCE16" w14:textId="77777777" w:rsidR="00354FB4" w:rsidRPr="00B01850" w:rsidRDefault="00354FB4" w:rsidP="00367946">
      <w:pPr>
        <w:rPr>
          <w:rFonts w:ascii="Arial" w:hAnsi="Arial" w:cs="Arial"/>
        </w:rPr>
      </w:pPr>
    </w:p>
    <w:p w14:paraId="3E93A2D0" w14:textId="77777777" w:rsidR="00354FB4" w:rsidRPr="00B01850" w:rsidRDefault="00354FB4">
      <w:pPr>
        <w:rPr>
          <w:rFonts w:ascii="Arial" w:eastAsiaTheme="majorEastAsia" w:hAnsi="Arial" w:cs="Arial"/>
          <w:color w:val="365F91" w:themeColor="accent1" w:themeShade="BF"/>
        </w:rPr>
      </w:pPr>
      <w:r w:rsidRPr="00B01850">
        <w:rPr>
          <w:rFonts w:ascii="Arial" w:hAnsi="Arial" w:cs="Arial"/>
        </w:rPr>
        <w:br w:type="page"/>
      </w:r>
    </w:p>
    <w:p w14:paraId="355BC6B4" w14:textId="278DFE0F" w:rsidR="00354FB4" w:rsidRPr="00B01850" w:rsidRDefault="00FF1DB9" w:rsidP="00354FB4">
      <w:pPr>
        <w:pStyle w:val="Heading1"/>
        <w:rPr>
          <w:rFonts w:ascii="Arial" w:hAnsi="Arial" w:cs="Arial"/>
          <w:color w:val="auto"/>
          <w:sz w:val="22"/>
          <w:szCs w:val="22"/>
        </w:rPr>
      </w:pPr>
      <w:bookmarkStart w:id="187" w:name="_Toc555242748"/>
      <w:bookmarkStart w:id="188" w:name="_Hlk196718788"/>
      <w:bookmarkStart w:id="189" w:name="_Toc197382161"/>
      <w:r w:rsidRPr="00B01850">
        <w:rPr>
          <w:rFonts w:ascii="Arial" w:hAnsi="Arial" w:cs="Arial"/>
          <w:b/>
          <w:bCs/>
          <w:color w:val="auto"/>
          <w:sz w:val="22"/>
          <w:szCs w:val="22"/>
        </w:rPr>
        <w:lastRenderedPageBreak/>
        <w:t>Annexe 3</w:t>
      </w:r>
      <w:r w:rsidRPr="00B01850">
        <w:rPr>
          <w:rFonts w:ascii="Arial" w:hAnsi="Arial" w:cs="Arial"/>
          <w:color w:val="auto"/>
          <w:sz w:val="22"/>
          <w:szCs w:val="22"/>
        </w:rPr>
        <w:t xml:space="preserve"> : Cadre de </w:t>
      </w:r>
      <w:r w:rsidR="00677773" w:rsidRPr="00B01850">
        <w:rPr>
          <w:rFonts w:ascii="Arial" w:hAnsi="Arial" w:cs="Arial"/>
          <w:color w:val="auto"/>
          <w:sz w:val="22"/>
          <w:szCs w:val="22"/>
        </w:rPr>
        <w:t>S</w:t>
      </w:r>
      <w:r w:rsidRPr="00B01850">
        <w:rPr>
          <w:rFonts w:ascii="Arial" w:hAnsi="Arial" w:cs="Arial"/>
          <w:color w:val="auto"/>
          <w:sz w:val="22"/>
          <w:szCs w:val="22"/>
        </w:rPr>
        <w:t xml:space="preserve">anté et </w:t>
      </w:r>
      <w:r w:rsidR="00677773" w:rsidRPr="00B01850">
        <w:rPr>
          <w:rFonts w:ascii="Arial" w:hAnsi="Arial" w:cs="Arial"/>
          <w:color w:val="auto"/>
          <w:sz w:val="22"/>
          <w:szCs w:val="22"/>
        </w:rPr>
        <w:t>S</w:t>
      </w:r>
      <w:r w:rsidRPr="00B01850">
        <w:rPr>
          <w:rFonts w:ascii="Arial" w:hAnsi="Arial" w:cs="Arial"/>
          <w:color w:val="auto"/>
          <w:sz w:val="22"/>
          <w:szCs w:val="22"/>
        </w:rPr>
        <w:t>écurité au travail</w:t>
      </w:r>
      <w:bookmarkEnd w:id="187"/>
      <w:bookmarkEnd w:id="189"/>
    </w:p>
    <w:bookmarkEnd w:id="188"/>
    <w:p w14:paraId="2C32C09C" w14:textId="77777777" w:rsidR="00354FB4" w:rsidRPr="00B01850" w:rsidRDefault="00354FB4" w:rsidP="00354FB4">
      <w:pPr>
        <w:spacing w:after="0" w:line="240" w:lineRule="auto"/>
        <w:jc w:val="both"/>
        <w:rPr>
          <w:rFonts w:ascii="Arial" w:hAnsi="Arial" w:cs="Arial"/>
        </w:rPr>
      </w:pPr>
    </w:p>
    <w:p w14:paraId="02EA7B3A" w14:textId="11E961E2" w:rsidR="008F3027" w:rsidRPr="00B01850" w:rsidRDefault="007C6904" w:rsidP="00214DCC">
      <w:pPr>
        <w:pStyle w:val="ListParagraph"/>
        <w:numPr>
          <w:ilvl w:val="0"/>
          <w:numId w:val="102"/>
        </w:numPr>
        <w:spacing w:after="0" w:line="240" w:lineRule="auto"/>
        <w:jc w:val="both"/>
        <w:rPr>
          <w:rFonts w:ascii="Arial" w:hAnsi="Arial" w:cs="Arial"/>
          <w:b/>
          <w:bCs/>
        </w:rPr>
      </w:pPr>
      <w:r w:rsidRPr="00B01850">
        <w:rPr>
          <w:rFonts w:ascii="Arial" w:hAnsi="Arial" w:cs="Arial"/>
          <w:b/>
          <w:bCs/>
        </w:rPr>
        <w:t>But</w:t>
      </w:r>
    </w:p>
    <w:p w14:paraId="5E7DE6EA" w14:textId="77777777" w:rsidR="008F3027" w:rsidRPr="00B01850" w:rsidRDefault="008F3027" w:rsidP="008F3027">
      <w:pPr>
        <w:spacing w:after="0" w:line="240" w:lineRule="auto"/>
        <w:jc w:val="both"/>
        <w:rPr>
          <w:rFonts w:ascii="Arial" w:hAnsi="Arial" w:cs="Arial"/>
        </w:rPr>
      </w:pPr>
    </w:p>
    <w:p w14:paraId="78860E4C" w14:textId="4A2BFD81" w:rsidR="008F3027" w:rsidRPr="00B01850" w:rsidRDefault="008F3027" w:rsidP="008F3027">
      <w:pPr>
        <w:spacing w:after="0" w:line="240" w:lineRule="auto"/>
        <w:jc w:val="both"/>
        <w:rPr>
          <w:rFonts w:ascii="Arial" w:hAnsi="Arial" w:cs="Arial"/>
        </w:rPr>
      </w:pPr>
      <w:r w:rsidRPr="00B01850">
        <w:rPr>
          <w:rFonts w:ascii="Arial" w:hAnsi="Arial" w:cs="Arial"/>
        </w:rPr>
        <w:t xml:space="preserve">Le présent Cadre </w:t>
      </w:r>
      <w:r w:rsidR="00677773" w:rsidRPr="00B01850">
        <w:rPr>
          <w:rFonts w:ascii="Arial" w:hAnsi="Arial" w:cs="Arial"/>
        </w:rPr>
        <w:t xml:space="preserve">de </w:t>
      </w:r>
      <w:r w:rsidRPr="00B01850">
        <w:rPr>
          <w:rFonts w:ascii="Arial" w:hAnsi="Arial" w:cs="Arial"/>
        </w:rPr>
        <w:t>S</w:t>
      </w:r>
      <w:r w:rsidR="00677773" w:rsidRPr="00B01850">
        <w:rPr>
          <w:rFonts w:ascii="Arial" w:hAnsi="Arial" w:cs="Arial"/>
        </w:rPr>
        <w:t xml:space="preserve">anté </w:t>
      </w:r>
      <w:r w:rsidRPr="00B01850">
        <w:rPr>
          <w:rFonts w:ascii="Arial" w:hAnsi="Arial" w:cs="Arial"/>
        </w:rPr>
        <w:t>S</w:t>
      </w:r>
      <w:r w:rsidR="00677773" w:rsidRPr="00B01850">
        <w:rPr>
          <w:rFonts w:ascii="Arial" w:hAnsi="Arial" w:cs="Arial"/>
        </w:rPr>
        <w:t xml:space="preserve">écurité au </w:t>
      </w:r>
      <w:r w:rsidRPr="00B01850">
        <w:rPr>
          <w:rFonts w:ascii="Arial" w:hAnsi="Arial" w:cs="Arial"/>
        </w:rPr>
        <w:t>T</w:t>
      </w:r>
      <w:r w:rsidR="00677773" w:rsidRPr="00B01850">
        <w:rPr>
          <w:rFonts w:ascii="Arial" w:hAnsi="Arial" w:cs="Arial"/>
        </w:rPr>
        <w:t>ravail</w:t>
      </w:r>
      <w:r w:rsidRPr="00B01850">
        <w:rPr>
          <w:rFonts w:ascii="Arial" w:hAnsi="Arial" w:cs="Arial"/>
        </w:rPr>
        <w:t xml:space="preserve"> </w:t>
      </w:r>
      <w:r w:rsidR="00677773" w:rsidRPr="00B01850">
        <w:rPr>
          <w:rFonts w:ascii="Arial" w:hAnsi="Arial" w:cs="Arial"/>
        </w:rPr>
        <w:t xml:space="preserve">vise à </w:t>
      </w:r>
      <w:r w:rsidRPr="00B01850">
        <w:rPr>
          <w:rFonts w:ascii="Arial" w:hAnsi="Arial" w:cs="Arial"/>
        </w:rPr>
        <w:t xml:space="preserve">fournir des orientations pour l'identification, l'évaluation, la prévention et la maîtrise des dangers généraux sur le lieu de travail, des dangers professionnels spécifiques, des dangers potentiels et des </w:t>
      </w:r>
      <w:r w:rsidR="003C76C5" w:rsidRPr="00B01850">
        <w:rPr>
          <w:rFonts w:ascii="Arial" w:hAnsi="Arial" w:cs="Arial"/>
        </w:rPr>
        <w:t xml:space="preserve">risques et </w:t>
      </w:r>
      <w:r w:rsidRPr="00B01850">
        <w:rPr>
          <w:rFonts w:ascii="Arial" w:hAnsi="Arial" w:cs="Arial"/>
        </w:rPr>
        <w:t xml:space="preserve">effets sur l'environnement qui peuvent résulter de conditions prévisibles pendant la mise en œuvre du </w:t>
      </w:r>
      <w:r w:rsidR="00677773" w:rsidRPr="00B01850">
        <w:rPr>
          <w:rFonts w:ascii="Arial" w:hAnsi="Arial" w:cs="Arial"/>
        </w:rPr>
        <w:t>CERP en Guinée.</w:t>
      </w:r>
    </w:p>
    <w:p w14:paraId="5B94E895" w14:textId="77777777" w:rsidR="008F3027" w:rsidRPr="00B01850" w:rsidRDefault="008F3027" w:rsidP="008F3027">
      <w:pPr>
        <w:spacing w:after="0" w:line="240" w:lineRule="auto"/>
        <w:jc w:val="both"/>
        <w:rPr>
          <w:rFonts w:ascii="Arial" w:hAnsi="Arial" w:cs="Arial"/>
        </w:rPr>
      </w:pPr>
    </w:p>
    <w:p w14:paraId="49DF7C96" w14:textId="46E7A1F8" w:rsidR="008F3027" w:rsidRPr="00B01850" w:rsidRDefault="003C76C5" w:rsidP="008F3027">
      <w:pPr>
        <w:spacing w:after="0" w:line="240" w:lineRule="auto"/>
        <w:jc w:val="both"/>
        <w:rPr>
          <w:rFonts w:ascii="Arial" w:hAnsi="Arial" w:cs="Arial"/>
        </w:rPr>
      </w:pPr>
      <w:r w:rsidRPr="00B01850">
        <w:rPr>
          <w:rFonts w:ascii="Arial" w:hAnsi="Arial" w:cs="Arial"/>
        </w:rPr>
        <w:t xml:space="preserve">Son suivi relève de la responsabilité de tous les acteurs de mise en œuvre et </w:t>
      </w:r>
      <w:r w:rsidR="008F3027" w:rsidRPr="00B01850">
        <w:rPr>
          <w:rFonts w:ascii="Arial" w:hAnsi="Arial" w:cs="Arial"/>
        </w:rPr>
        <w:t xml:space="preserve">par tous les fournisseurs. Dans </w:t>
      </w:r>
      <w:r w:rsidRPr="00B01850">
        <w:rPr>
          <w:rFonts w:ascii="Arial" w:hAnsi="Arial" w:cs="Arial"/>
        </w:rPr>
        <w:t xml:space="preserve">la mesure </w:t>
      </w:r>
      <w:r w:rsidR="008F3027" w:rsidRPr="00B01850">
        <w:rPr>
          <w:rFonts w:ascii="Arial" w:hAnsi="Arial" w:cs="Arial"/>
        </w:rPr>
        <w:t xml:space="preserve">où </w:t>
      </w:r>
      <w:r w:rsidRPr="00B01850">
        <w:rPr>
          <w:rFonts w:ascii="Arial" w:hAnsi="Arial" w:cs="Arial"/>
        </w:rPr>
        <w:t xml:space="preserve">la mise en œuvre de </w:t>
      </w:r>
      <w:r w:rsidR="008F3027" w:rsidRPr="00B01850">
        <w:rPr>
          <w:rFonts w:ascii="Arial" w:hAnsi="Arial" w:cs="Arial"/>
        </w:rPr>
        <w:t xml:space="preserve">documents spécifiques de la Banque mondiale </w:t>
      </w:r>
      <w:r w:rsidRPr="00B01850">
        <w:rPr>
          <w:rFonts w:ascii="Arial" w:hAnsi="Arial" w:cs="Arial"/>
        </w:rPr>
        <w:t xml:space="preserve">a été exigée, </w:t>
      </w:r>
      <w:r w:rsidR="008F3027" w:rsidRPr="00B01850">
        <w:rPr>
          <w:rFonts w:ascii="Arial" w:hAnsi="Arial" w:cs="Arial"/>
        </w:rPr>
        <w:t>ce document sera suivi conjointement avec les documents spécifiques de la Banque mondiale et les Directives environnementales</w:t>
      </w:r>
      <w:r w:rsidRPr="00B01850">
        <w:rPr>
          <w:rFonts w:ascii="Arial" w:hAnsi="Arial" w:cs="Arial"/>
        </w:rPr>
        <w:t xml:space="preserve">, </w:t>
      </w:r>
      <w:r w:rsidR="008F3027" w:rsidRPr="00B01850">
        <w:rPr>
          <w:rFonts w:ascii="Arial" w:hAnsi="Arial" w:cs="Arial"/>
        </w:rPr>
        <w:t xml:space="preserve">sanitaires </w:t>
      </w:r>
      <w:r w:rsidRPr="00B01850">
        <w:rPr>
          <w:rFonts w:ascii="Arial" w:hAnsi="Arial" w:cs="Arial"/>
        </w:rPr>
        <w:t xml:space="preserve">et sécuritaires </w:t>
      </w:r>
      <w:r w:rsidR="008F3027" w:rsidRPr="00B01850">
        <w:rPr>
          <w:rFonts w:ascii="Arial" w:hAnsi="Arial" w:cs="Arial"/>
        </w:rPr>
        <w:t>de la Banque mondiale.</w:t>
      </w:r>
    </w:p>
    <w:p w14:paraId="78FC2514" w14:textId="77777777" w:rsidR="008F3027" w:rsidRPr="00B01850" w:rsidRDefault="008F3027" w:rsidP="008F3027">
      <w:pPr>
        <w:spacing w:after="0" w:line="240" w:lineRule="auto"/>
        <w:jc w:val="both"/>
        <w:rPr>
          <w:rFonts w:ascii="Arial" w:hAnsi="Arial" w:cs="Arial"/>
        </w:rPr>
      </w:pPr>
    </w:p>
    <w:p w14:paraId="390C674F" w14:textId="61509110" w:rsidR="008F3027" w:rsidRPr="00B01850" w:rsidRDefault="007167F6" w:rsidP="008F3027">
      <w:pPr>
        <w:spacing w:after="0" w:line="240" w:lineRule="auto"/>
        <w:jc w:val="both"/>
        <w:rPr>
          <w:rFonts w:ascii="Arial" w:hAnsi="Arial" w:cs="Arial"/>
        </w:rPr>
      </w:pPr>
      <w:r w:rsidRPr="00B01850">
        <w:rPr>
          <w:rFonts w:ascii="Arial" w:hAnsi="Arial" w:cs="Arial"/>
        </w:rPr>
        <w:t xml:space="preserve">Par ailleurs, il convient d’indiquer </w:t>
      </w:r>
      <w:r w:rsidR="00201ADD" w:rsidRPr="00B01850">
        <w:rPr>
          <w:rFonts w:ascii="Arial" w:hAnsi="Arial" w:cs="Arial"/>
        </w:rPr>
        <w:t xml:space="preserve">que </w:t>
      </w:r>
      <w:r w:rsidR="00676B3B" w:rsidRPr="00B01850">
        <w:rPr>
          <w:rFonts w:ascii="Arial" w:hAnsi="Arial" w:cs="Arial"/>
        </w:rPr>
        <w:t xml:space="preserve">malgré tous les efforts consentis </w:t>
      </w:r>
      <w:r w:rsidR="008F3027" w:rsidRPr="00B01850">
        <w:rPr>
          <w:rFonts w:ascii="Arial" w:hAnsi="Arial" w:cs="Arial"/>
        </w:rPr>
        <w:t xml:space="preserve">pour rendre </w:t>
      </w:r>
      <w:r w:rsidR="00D061FA" w:rsidRPr="00B01850">
        <w:rPr>
          <w:rFonts w:ascii="Arial" w:hAnsi="Arial" w:cs="Arial"/>
        </w:rPr>
        <w:t>c</w:t>
      </w:r>
      <w:r w:rsidR="008F3027" w:rsidRPr="00B01850">
        <w:rPr>
          <w:rFonts w:ascii="Arial" w:hAnsi="Arial" w:cs="Arial"/>
        </w:rPr>
        <w:t>e</w:t>
      </w:r>
      <w:r w:rsidR="00676B3B" w:rsidRPr="00B01850">
        <w:rPr>
          <w:rFonts w:ascii="Arial" w:hAnsi="Arial" w:cs="Arial"/>
        </w:rPr>
        <w:t xml:space="preserve"> cadre de Santé et Sécurité au travail </w:t>
      </w:r>
      <w:r w:rsidR="008F3027" w:rsidRPr="00B01850">
        <w:rPr>
          <w:rFonts w:ascii="Arial" w:hAnsi="Arial" w:cs="Arial"/>
        </w:rPr>
        <w:t xml:space="preserve">conformes aux exigences légales, </w:t>
      </w:r>
      <w:r w:rsidR="00676B3B" w:rsidRPr="00B01850">
        <w:rPr>
          <w:rFonts w:ascii="Arial" w:hAnsi="Arial" w:cs="Arial"/>
        </w:rPr>
        <w:t xml:space="preserve">des </w:t>
      </w:r>
      <w:r w:rsidR="008F3027" w:rsidRPr="00B01850">
        <w:rPr>
          <w:rFonts w:ascii="Arial" w:hAnsi="Arial" w:cs="Arial"/>
        </w:rPr>
        <w:t>divergence</w:t>
      </w:r>
      <w:r w:rsidR="00676B3B" w:rsidRPr="00B01850">
        <w:rPr>
          <w:rFonts w:ascii="Arial" w:hAnsi="Arial" w:cs="Arial"/>
        </w:rPr>
        <w:t xml:space="preserve">s pourraient exister. </w:t>
      </w:r>
      <w:r w:rsidR="00201ADD" w:rsidRPr="00B01850">
        <w:rPr>
          <w:rFonts w:ascii="Arial" w:hAnsi="Arial" w:cs="Arial"/>
        </w:rPr>
        <w:t xml:space="preserve">A cet effet, </w:t>
      </w:r>
      <w:r w:rsidR="008F3027" w:rsidRPr="00B01850">
        <w:rPr>
          <w:rFonts w:ascii="Arial" w:hAnsi="Arial" w:cs="Arial"/>
        </w:rPr>
        <w:t xml:space="preserve">les directives légales pertinentes doivent être </w:t>
      </w:r>
      <w:r w:rsidR="00201ADD" w:rsidRPr="00B01850">
        <w:rPr>
          <w:rFonts w:ascii="Arial" w:hAnsi="Arial" w:cs="Arial"/>
        </w:rPr>
        <w:t xml:space="preserve">respectées ainsi que les </w:t>
      </w:r>
      <w:r w:rsidR="008F3027" w:rsidRPr="00B01850">
        <w:rPr>
          <w:rFonts w:ascii="Arial" w:hAnsi="Arial" w:cs="Arial"/>
        </w:rPr>
        <w:t>exigence</w:t>
      </w:r>
      <w:r w:rsidR="00201ADD" w:rsidRPr="00B01850">
        <w:rPr>
          <w:rFonts w:ascii="Arial" w:hAnsi="Arial" w:cs="Arial"/>
        </w:rPr>
        <w:t>s</w:t>
      </w:r>
      <w:r w:rsidR="008F3027" w:rsidRPr="00B01850">
        <w:rPr>
          <w:rFonts w:ascii="Arial" w:hAnsi="Arial" w:cs="Arial"/>
        </w:rPr>
        <w:t xml:space="preserve"> spécifique</w:t>
      </w:r>
      <w:r w:rsidR="00201ADD" w:rsidRPr="00B01850">
        <w:rPr>
          <w:rFonts w:ascii="Arial" w:hAnsi="Arial" w:cs="Arial"/>
        </w:rPr>
        <w:t>s de la Banque mondiale</w:t>
      </w:r>
      <w:r w:rsidR="008F3027" w:rsidRPr="00B01850">
        <w:rPr>
          <w:rFonts w:ascii="Arial" w:hAnsi="Arial" w:cs="Arial"/>
        </w:rPr>
        <w:t xml:space="preserve">, </w:t>
      </w:r>
      <w:r w:rsidR="00201ADD" w:rsidRPr="00B01850">
        <w:rPr>
          <w:rFonts w:ascii="Arial" w:hAnsi="Arial" w:cs="Arial"/>
        </w:rPr>
        <w:t>si elles existent.</w:t>
      </w:r>
    </w:p>
    <w:p w14:paraId="2BE41A7E" w14:textId="77777777" w:rsidR="008F3027" w:rsidRPr="00B01850" w:rsidRDefault="008F3027" w:rsidP="008F3027">
      <w:pPr>
        <w:spacing w:after="0" w:line="240" w:lineRule="auto"/>
        <w:jc w:val="both"/>
        <w:rPr>
          <w:rFonts w:ascii="Arial" w:hAnsi="Arial" w:cs="Arial"/>
        </w:rPr>
      </w:pPr>
    </w:p>
    <w:p w14:paraId="68D9109D" w14:textId="3486CAAF" w:rsidR="008F3027" w:rsidRPr="00B01850" w:rsidRDefault="007C6904" w:rsidP="00214DCC">
      <w:pPr>
        <w:pStyle w:val="ListParagraph"/>
        <w:numPr>
          <w:ilvl w:val="0"/>
          <w:numId w:val="103"/>
        </w:numPr>
        <w:spacing w:after="0" w:line="240" w:lineRule="auto"/>
        <w:jc w:val="both"/>
        <w:rPr>
          <w:rFonts w:ascii="Arial" w:hAnsi="Arial" w:cs="Arial"/>
          <w:b/>
          <w:bCs/>
        </w:rPr>
      </w:pPr>
      <w:r w:rsidRPr="00B01850">
        <w:rPr>
          <w:rFonts w:ascii="Arial" w:hAnsi="Arial" w:cs="Arial"/>
          <w:b/>
          <w:bCs/>
        </w:rPr>
        <w:t>Portée</w:t>
      </w:r>
    </w:p>
    <w:p w14:paraId="41D847CA" w14:textId="77777777" w:rsidR="008F3027" w:rsidRPr="00B01850" w:rsidRDefault="008F3027" w:rsidP="008F3027">
      <w:pPr>
        <w:spacing w:after="0" w:line="240" w:lineRule="auto"/>
        <w:jc w:val="both"/>
        <w:rPr>
          <w:rFonts w:ascii="Arial" w:hAnsi="Arial" w:cs="Arial"/>
        </w:rPr>
      </w:pPr>
    </w:p>
    <w:p w14:paraId="6A5F43C1" w14:textId="47132932" w:rsidR="008F3027" w:rsidRPr="00B01850" w:rsidRDefault="00E40E29" w:rsidP="008F3027">
      <w:pPr>
        <w:spacing w:after="0" w:line="240" w:lineRule="auto"/>
        <w:jc w:val="both"/>
        <w:rPr>
          <w:rFonts w:ascii="Arial" w:hAnsi="Arial" w:cs="Arial"/>
        </w:rPr>
      </w:pPr>
      <w:r w:rsidRPr="00B01850">
        <w:rPr>
          <w:rFonts w:ascii="Arial" w:hAnsi="Arial" w:cs="Arial"/>
        </w:rPr>
        <w:t xml:space="preserve">Ce </w:t>
      </w:r>
      <w:r w:rsidR="00745BBE" w:rsidRPr="00B01850">
        <w:rPr>
          <w:rFonts w:ascii="Arial" w:hAnsi="Arial" w:cs="Arial"/>
        </w:rPr>
        <w:t xml:space="preserve">Cadre de Santé et Sécurité au travail </w:t>
      </w:r>
      <w:r w:rsidR="008F3027" w:rsidRPr="00B01850">
        <w:rPr>
          <w:rFonts w:ascii="Arial" w:hAnsi="Arial" w:cs="Arial"/>
        </w:rPr>
        <w:t>s'applique aux personnes chargées de la mise en œuvre du CERP</w:t>
      </w:r>
      <w:r w:rsidR="00AC1C0D" w:rsidRPr="00B01850">
        <w:rPr>
          <w:rFonts w:ascii="Arial" w:hAnsi="Arial" w:cs="Arial"/>
        </w:rPr>
        <w:t xml:space="preserve">, aux </w:t>
      </w:r>
      <w:r w:rsidR="00E2522C" w:rsidRPr="00B01850">
        <w:rPr>
          <w:rFonts w:ascii="Arial" w:hAnsi="Arial" w:cs="Arial"/>
        </w:rPr>
        <w:t xml:space="preserve">zones d’intervention du projet </w:t>
      </w:r>
      <w:r w:rsidR="00AC1C0D" w:rsidRPr="00B01850">
        <w:rPr>
          <w:rFonts w:ascii="Arial" w:hAnsi="Arial" w:cs="Arial"/>
        </w:rPr>
        <w:t xml:space="preserve">lors que le projet d’urgence est activé et à toutes les </w:t>
      </w:r>
      <w:r w:rsidR="008F3027" w:rsidRPr="00B01850">
        <w:rPr>
          <w:rFonts w:ascii="Arial" w:hAnsi="Arial" w:cs="Arial"/>
        </w:rPr>
        <w:t>activités</w:t>
      </w:r>
      <w:r w:rsidR="00AC1C0D" w:rsidRPr="00B01850">
        <w:rPr>
          <w:rFonts w:ascii="Arial" w:hAnsi="Arial" w:cs="Arial"/>
        </w:rPr>
        <w:t xml:space="preserve"> éligibles au projet</w:t>
      </w:r>
      <w:r w:rsidR="008F3027" w:rsidRPr="00B01850">
        <w:rPr>
          <w:rFonts w:ascii="Arial" w:hAnsi="Arial" w:cs="Arial"/>
        </w:rPr>
        <w:t>, conformément aux obligations contractuelles pertinentes.</w:t>
      </w:r>
    </w:p>
    <w:p w14:paraId="63B73274" w14:textId="77777777" w:rsidR="008F3027" w:rsidRPr="00B01850" w:rsidRDefault="008F3027" w:rsidP="008F3027">
      <w:pPr>
        <w:spacing w:after="0" w:line="240" w:lineRule="auto"/>
        <w:jc w:val="both"/>
        <w:rPr>
          <w:rFonts w:ascii="Arial" w:hAnsi="Arial" w:cs="Arial"/>
        </w:rPr>
      </w:pPr>
    </w:p>
    <w:p w14:paraId="2CE70883" w14:textId="72C6FDBF" w:rsidR="007E60C9" w:rsidRPr="00B01850" w:rsidRDefault="007C6904" w:rsidP="00214DCC">
      <w:pPr>
        <w:pStyle w:val="ListParagraph"/>
        <w:numPr>
          <w:ilvl w:val="0"/>
          <w:numId w:val="81"/>
        </w:numPr>
        <w:spacing w:after="0" w:line="240" w:lineRule="auto"/>
        <w:jc w:val="both"/>
        <w:rPr>
          <w:rFonts w:ascii="Arial" w:hAnsi="Arial" w:cs="Arial"/>
          <w:b/>
          <w:bCs/>
        </w:rPr>
      </w:pPr>
      <w:r w:rsidRPr="00B01850">
        <w:rPr>
          <w:rFonts w:ascii="Arial" w:hAnsi="Arial" w:cs="Arial"/>
          <w:b/>
          <w:bCs/>
        </w:rPr>
        <w:t>Objectifs et cibles</w:t>
      </w:r>
    </w:p>
    <w:p w14:paraId="186A769A" w14:textId="77777777" w:rsidR="007E60C9" w:rsidRPr="00B01850" w:rsidRDefault="007E60C9" w:rsidP="007E60C9">
      <w:pPr>
        <w:spacing w:after="0" w:line="240" w:lineRule="auto"/>
        <w:jc w:val="both"/>
        <w:rPr>
          <w:rFonts w:ascii="Arial" w:hAnsi="Arial" w:cs="Arial"/>
        </w:rPr>
      </w:pPr>
    </w:p>
    <w:p w14:paraId="4FF72312" w14:textId="44452803" w:rsidR="008F3027" w:rsidRPr="00B01850" w:rsidRDefault="008F3027" w:rsidP="007E60C9">
      <w:pPr>
        <w:spacing w:after="0" w:line="240" w:lineRule="auto"/>
        <w:jc w:val="both"/>
        <w:rPr>
          <w:rFonts w:ascii="Arial" w:hAnsi="Arial" w:cs="Arial"/>
        </w:rPr>
      </w:pPr>
      <w:r w:rsidRPr="00B01850">
        <w:rPr>
          <w:rFonts w:ascii="Arial" w:hAnsi="Arial" w:cs="Arial"/>
        </w:rPr>
        <w:t xml:space="preserve">Le </w:t>
      </w:r>
      <w:r w:rsidR="007E60C9" w:rsidRPr="00B01850">
        <w:rPr>
          <w:rFonts w:ascii="Arial" w:hAnsi="Arial" w:cs="Arial"/>
        </w:rPr>
        <w:t xml:space="preserve">présent </w:t>
      </w:r>
      <w:r w:rsidRPr="00B01850">
        <w:rPr>
          <w:rFonts w:ascii="Arial" w:hAnsi="Arial" w:cs="Arial"/>
        </w:rPr>
        <w:t xml:space="preserve">Cadre </w:t>
      </w:r>
      <w:r w:rsidR="007E60C9" w:rsidRPr="00B01850">
        <w:rPr>
          <w:rFonts w:ascii="Arial" w:hAnsi="Arial" w:cs="Arial"/>
        </w:rPr>
        <w:t xml:space="preserve">de </w:t>
      </w:r>
      <w:r w:rsidRPr="00B01850">
        <w:rPr>
          <w:rFonts w:ascii="Arial" w:hAnsi="Arial" w:cs="Arial"/>
        </w:rPr>
        <w:t>S</w:t>
      </w:r>
      <w:r w:rsidR="007E60C9" w:rsidRPr="00B01850">
        <w:rPr>
          <w:rFonts w:ascii="Arial" w:hAnsi="Arial" w:cs="Arial"/>
        </w:rPr>
        <w:t xml:space="preserve">anté </w:t>
      </w:r>
      <w:r w:rsidRPr="00B01850">
        <w:rPr>
          <w:rFonts w:ascii="Arial" w:hAnsi="Arial" w:cs="Arial"/>
        </w:rPr>
        <w:t>S</w:t>
      </w:r>
      <w:r w:rsidR="007E60C9" w:rsidRPr="00B01850">
        <w:rPr>
          <w:rFonts w:ascii="Arial" w:hAnsi="Arial" w:cs="Arial"/>
        </w:rPr>
        <w:t xml:space="preserve">écurité au </w:t>
      </w:r>
      <w:r w:rsidRPr="00B01850">
        <w:rPr>
          <w:rFonts w:ascii="Arial" w:hAnsi="Arial" w:cs="Arial"/>
        </w:rPr>
        <w:t>T</w:t>
      </w:r>
      <w:r w:rsidR="007E60C9" w:rsidRPr="00B01850">
        <w:rPr>
          <w:rFonts w:ascii="Arial" w:hAnsi="Arial" w:cs="Arial"/>
        </w:rPr>
        <w:t>ravail exprime la volonté de l’UGP du projet NAFA -PRU-APN (P168777) à</w:t>
      </w:r>
      <w:r w:rsidRPr="00B01850">
        <w:rPr>
          <w:rFonts w:ascii="Arial" w:hAnsi="Arial" w:cs="Arial"/>
        </w:rPr>
        <w:t xml:space="preserve"> accorde</w:t>
      </w:r>
      <w:r w:rsidR="007E60C9" w:rsidRPr="00B01850">
        <w:rPr>
          <w:rFonts w:ascii="Arial" w:hAnsi="Arial" w:cs="Arial"/>
        </w:rPr>
        <w:t>r</w:t>
      </w:r>
      <w:r w:rsidRPr="00B01850">
        <w:rPr>
          <w:rFonts w:ascii="Arial" w:hAnsi="Arial" w:cs="Arial"/>
        </w:rPr>
        <w:t xml:space="preserve"> une priorité élevée à la santé, à la sécurité et à l'environnement</w:t>
      </w:r>
      <w:r w:rsidR="007E60C9" w:rsidRPr="00B01850">
        <w:rPr>
          <w:rFonts w:ascii="Arial" w:hAnsi="Arial" w:cs="Arial"/>
        </w:rPr>
        <w:t xml:space="preserve"> de </w:t>
      </w:r>
      <w:r w:rsidRPr="00B01850">
        <w:rPr>
          <w:rFonts w:ascii="Arial" w:hAnsi="Arial" w:cs="Arial"/>
        </w:rPr>
        <w:t xml:space="preserve">travail </w:t>
      </w:r>
      <w:r w:rsidR="007E60C9" w:rsidRPr="00B01850">
        <w:rPr>
          <w:rFonts w:ascii="Arial" w:hAnsi="Arial" w:cs="Arial"/>
        </w:rPr>
        <w:t>durant les activités du CERP. A cet effet, elle s’engage à :</w:t>
      </w:r>
    </w:p>
    <w:p w14:paraId="5709568F" w14:textId="668C45CA" w:rsidR="008F3027" w:rsidRPr="00B01850" w:rsidRDefault="008F3027" w:rsidP="00214DCC">
      <w:pPr>
        <w:pStyle w:val="ListParagraph"/>
        <w:numPr>
          <w:ilvl w:val="0"/>
          <w:numId w:val="122"/>
        </w:numPr>
        <w:spacing w:before="120" w:after="0" w:line="240" w:lineRule="auto"/>
        <w:contextualSpacing w:val="0"/>
        <w:jc w:val="both"/>
        <w:rPr>
          <w:rFonts w:ascii="Arial" w:hAnsi="Arial" w:cs="Arial"/>
        </w:rPr>
      </w:pPr>
      <w:r w:rsidRPr="00B01850">
        <w:rPr>
          <w:rFonts w:ascii="Arial" w:hAnsi="Arial" w:cs="Arial"/>
        </w:rPr>
        <w:t>Veiller à ce que la santé et la sécurité de toutes les personnes présentes sur le lieu de travail ne soient pas affectées par le travail ;</w:t>
      </w:r>
    </w:p>
    <w:p w14:paraId="1C4A90CE" w14:textId="77777777"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t>Assurer la protection de l'environnement du chantier et de la communauté adjacente ;</w:t>
      </w:r>
    </w:p>
    <w:p w14:paraId="73A1F50A" w14:textId="1E307077" w:rsidR="008F3027" w:rsidRPr="00B01850" w:rsidRDefault="00BE6B34" w:rsidP="00214DCC">
      <w:pPr>
        <w:pStyle w:val="ListParagraph"/>
        <w:numPr>
          <w:ilvl w:val="0"/>
          <w:numId w:val="122"/>
        </w:numPr>
        <w:spacing w:after="0" w:line="240" w:lineRule="auto"/>
        <w:jc w:val="both"/>
        <w:rPr>
          <w:rFonts w:ascii="Arial" w:hAnsi="Arial" w:cs="Arial"/>
        </w:rPr>
      </w:pPr>
      <w:r w:rsidRPr="00B01850">
        <w:rPr>
          <w:rFonts w:ascii="Arial" w:hAnsi="Arial" w:cs="Arial"/>
        </w:rPr>
        <w:t>Se</w:t>
      </w:r>
      <w:r w:rsidR="008F3027" w:rsidRPr="00B01850">
        <w:rPr>
          <w:rFonts w:ascii="Arial" w:hAnsi="Arial" w:cs="Arial"/>
        </w:rPr>
        <w:t xml:space="preserve"> conformer en tout temps aux exigences légales et contractuelles pertinentes en matière de SST, aux bonnes pratiques internationales du secteur d'activité et aux Directives environnementales, sanitaires et sécuritaires de la Banque mondiale ; </w:t>
      </w:r>
    </w:p>
    <w:p w14:paraId="27428868" w14:textId="77777777"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t>Fournir un personnel formé, expérimenté et compétent. Veiller à ce que seul le personnel médicalement apte soit engagé au travail ;</w:t>
      </w:r>
    </w:p>
    <w:p w14:paraId="3E77B65A" w14:textId="1F1BCCFF"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t>Fournir et entretenir des installations, des lieux de travail et des systèmes de travail sûrs et sans risque pour la santé et l'environnement ;</w:t>
      </w:r>
    </w:p>
    <w:p w14:paraId="119B79DB" w14:textId="0480B397"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t xml:space="preserve">Fournir à l'ensemble du personnel des informations, des instructions, </w:t>
      </w:r>
      <w:r w:rsidR="00AA05AB" w:rsidRPr="00B01850">
        <w:rPr>
          <w:rFonts w:ascii="Arial" w:hAnsi="Arial" w:cs="Arial"/>
        </w:rPr>
        <w:t xml:space="preserve">des outils, </w:t>
      </w:r>
      <w:r w:rsidRPr="00B01850">
        <w:rPr>
          <w:rFonts w:ascii="Arial" w:hAnsi="Arial" w:cs="Arial"/>
        </w:rPr>
        <w:t xml:space="preserve">une formation et une supervision adéquates </w:t>
      </w:r>
      <w:r w:rsidR="003D1941" w:rsidRPr="00B01850">
        <w:rPr>
          <w:rFonts w:ascii="Arial" w:hAnsi="Arial" w:cs="Arial"/>
        </w:rPr>
        <w:t xml:space="preserve">des </w:t>
      </w:r>
      <w:r w:rsidR="007E60C9" w:rsidRPr="00B01850">
        <w:rPr>
          <w:rFonts w:ascii="Arial" w:hAnsi="Arial" w:cs="Arial"/>
        </w:rPr>
        <w:t xml:space="preserve">différents </w:t>
      </w:r>
      <w:r w:rsidRPr="00B01850">
        <w:rPr>
          <w:rFonts w:ascii="Arial" w:hAnsi="Arial" w:cs="Arial"/>
        </w:rPr>
        <w:t>aspect</w:t>
      </w:r>
      <w:r w:rsidR="007E60C9" w:rsidRPr="00B01850">
        <w:rPr>
          <w:rFonts w:ascii="Arial" w:hAnsi="Arial" w:cs="Arial"/>
        </w:rPr>
        <w:t>s</w:t>
      </w:r>
      <w:r w:rsidRPr="00B01850">
        <w:rPr>
          <w:rFonts w:ascii="Arial" w:hAnsi="Arial" w:cs="Arial"/>
        </w:rPr>
        <w:t xml:space="preserve"> </w:t>
      </w:r>
      <w:r w:rsidR="007E60C9" w:rsidRPr="00B01850">
        <w:rPr>
          <w:rFonts w:ascii="Arial" w:hAnsi="Arial" w:cs="Arial"/>
        </w:rPr>
        <w:t xml:space="preserve">de la </w:t>
      </w:r>
      <w:r w:rsidRPr="00B01850">
        <w:rPr>
          <w:rFonts w:ascii="Arial" w:hAnsi="Arial" w:cs="Arial"/>
        </w:rPr>
        <w:t xml:space="preserve">sécurité </w:t>
      </w:r>
      <w:r w:rsidR="00AA05AB" w:rsidRPr="00B01850">
        <w:rPr>
          <w:rFonts w:ascii="Arial" w:hAnsi="Arial" w:cs="Arial"/>
        </w:rPr>
        <w:t>au</w:t>
      </w:r>
      <w:r w:rsidRPr="00B01850">
        <w:rPr>
          <w:rFonts w:ascii="Arial" w:hAnsi="Arial" w:cs="Arial"/>
        </w:rPr>
        <w:t xml:space="preserve"> travail ;</w:t>
      </w:r>
    </w:p>
    <w:p w14:paraId="149E9443" w14:textId="3A47E090"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t>Contrôler, coordonner et surveiller efficacement les activités de tout le personnel sur les sites du Projet, y compris les fournisseurs et les entrepreneurs, en matière de SST ;</w:t>
      </w:r>
    </w:p>
    <w:p w14:paraId="22AA8FAE" w14:textId="7DEE1826"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t xml:space="preserve">Établir une communication efficace sur les questions de SST avec toutes les parties concernées par les </w:t>
      </w:r>
      <w:r w:rsidR="003D1941" w:rsidRPr="00B01850">
        <w:rPr>
          <w:rFonts w:ascii="Arial" w:hAnsi="Arial" w:cs="Arial"/>
        </w:rPr>
        <w:t xml:space="preserve">activités </w:t>
      </w:r>
      <w:r w:rsidRPr="00B01850">
        <w:rPr>
          <w:rFonts w:ascii="Arial" w:hAnsi="Arial" w:cs="Arial"/>
        </w:rPr>
        <w:t xml:space="preserve">du </w:t>
      </w:r>
      <w:r w:rsidR="003D1941" w:rsidRPr="00B01850">
        <w:rPr>
          <w:rFonts w:ascii="Arial" w:hAnsi="Arial" w:cs="Arial"/>
        </w:rPr>
        <w:t>CERP</w:t>
      </w:r>
      <w:r w:rsidR="00FC4987" w:rsidRPr="00B01850">
        <w:rPr>
          <w:rFonts w:ascii="Arial" w:hAnsi="Arial" w:cs="Arial"/>
        </w:rPr>
        <w:t> ;</w:t>
      </w:r>
    </w:p>
    <w:p w14:paraId="0456C8AD" w14:textId="150E399A"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t xml:space="preserve">Veiller à ce que </w:t>
      </w:r>
      <w:r w:rsidR="00A11899" w:rsidRPr="00B01850">
        <w:rPr>
          <w:rFonts w:ascii="Arial" w:hAnsi="Arial" w:cs="Arial"/>
        </w:rPr>
        <w:t xml:space="preserve">la </w:t>
      </w:r>
      <w:r w:rsidRPr="00B01850">
        <w:rPr>
          <w:rFonts w:ascii="Arial" w:hAnsi="Arial" w:cs="Arial"/>
        </w:rPr>
        <w:t xml:space="preserve">planification des </w:t>
      </w:r>
      <w:r w:rsidR="00A11899" w:rsidRPr="00B01850">
        <w:rPr>
          <w:rFonts w:ascii="Arial" w:hAnsi="Arial" w:cs="Arial"/>
        </w:rPr>
        <w:t>activités du CERP p</w:t>
      </w:r>
      <w:r w:rsidRPr="00B01850">
        <w:rPr>
          <w:rFonts w:ascii="Arial" w:hAnsi="Arial" w:cs="Arial"/>
        </w:rPr>
        <w:t xml:space="preserve">renne en compte toutes </w:t>
      </w:r>
      <w:r w:rsidR="00A11899" w:rsidRPr="00B01850">
        <w:rPr>
          <w:rFonts w:ascii="Arial" w:hAnsi="Arial" w:cs="Arial"/>
        </w:rPr>
        <w:t xml:space="preserve">catégories de </w:t>
      </w:r>
      <w:r w:rsidRPr="00B01850">
        <w:rPr>
          <w:rFonts w:ascii="Arial" w:hAnsi="Arial" w:cs="Arial"/>
        </w:rPr>
        <w:t xml:space="preserve">personnes susceptibles d'être </w:t>
      </w:r>
      <w:r w:rsidR="00A11899" w:rsidRPr="00B01850">
        <w:rPr>
          <w:rFonts w:ascii="Arial" w:hAnsi="Arial" w:cs="Arial"/>
        </w:rPr>
        <w:t>affectées ;</w:t>
      </w:r>
      <w:r w:rsidRPr="00B01850">
        <w:rPr>
          <w:rFonts w:ascii="Arial" w:hAnsi="Arial" w:cs="Arial"/>
        </w:rPr>
        <w:t xml:space="preserve"> </w:t>
      </w:r>
    </w:p>
    <w:p w14:paraId="105D4CBF" w14:textId="3D2D1A52"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lastRenderedPageBreak/>
        <w:t>Veiller à ce que tous les tests de condition physique</w:t>
      </w:r>
      <w:r w:rsidR="00A11899" w:rsidRPr="00B01850">
        <w:rPr>
          <w:rFonts w:ascii="Arial" w:hAnsi="Arial" w:cs="Arial"/>
        </w:rPr>
        <w:t xml:space="preserve"> et </w:t>
      </w:r>
      <w:r w:rsidRPr="00B01850">
        <w:rPr>
          <w:rFonts w:ascii="Arial" w:hAnsi="Arial" w:cs="Arial"/>
        </w:rPr>
        <w:t xml:space="preserve">de tous les équipements soient certifiés par des personnes compétentes ; </w:t>
      </w:r>
    </w:p>
    <w:p w14:paraId="66560231" w14:textId="77777777"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t xml:space="preserve">Veiller à la mise à disposition rapide des ressources pour faciliter la mise en œuvre efficace des exigences en matière de SST ; </w:t>
      </w:r>
    </w:p>
    <w:p w14:paraId="0C9F0498" w14:textId="77777777"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t xml:space="preserve">Veiller à l'amélioration continue de la performance en matière de SST ; </w:t>
      </w:r>
    </w:p>
    <w:p w14:paraId="4B7FF92F" w14:textId="77777777"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t xml:space="preserve">Assurer la conservation des ressources et la réduction du gaspillage ; </w:t>
      </w:r>
    </w:p>
    <w:p w14:paraId="0787623C" w14:textId="7EC1357A"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t>Capture</w:t>
      </w:r>
      <w:r w:rsidR="00DD2FE5" w:rsidRPr="00B01850">
        <w:rPr>
          <w:rFonts w:ascii="Arial" w:hAnsi="Arial" w:cs="Arial"/>
        </w:rPr>
        <w:t>r</w:t>
      </w:r>
      <w:r w:rsidRPr="00B01850">
        <w:rPr>
          <w:rFonts w:ascii="Arial" w:hAnsi="Arial" w:cs="Arial"/>
        </w:rPr>
        <w:t xml:space="preserve"> les données de tous les incidents, y compris les </w:t>
      </w:r>
      <w:r w:rsidR="005E4D11" w:rsidRPr="00B01850">
        <w:rPr>
          <w:rFonts w:ascii="Arial" w:hAnsi="Arial" w:cs="Arial"/>
        </w:rPr>
        <w:t>presque-</w:t>
      </w:r>
      <w:r w:rsidRPr="00B01850">
        <w:rPr>
          <w:rFonts w:ascii="Arial" w:hAnsi="Arial" w:cs="Arial"/>
        </w:rPr>
        <w:t>accidents</w:t>
      </w:r>
      <w:r w:rsidR="005E4D11" w:rsidRPr="00B01850">
        <w:rPr>
          <w:rFonts w:ascii="Arial" w:hAnsi="Arial" w:cs="Arial"/>
        </w:rPr>
        <w:t>,</w:t>
      </w:r>
      <w:r w:rsidRPr="00B01850">
        <w:rPr>
          <w:rFonts w:ascii="Arial" w:hAnsi="Arial" w:cs="Arial"/>
        </w:rPr>
        <w:t xml:space="preserve"> les écarts de processus, etc. Enquêter et analyser la même chose pour en découvrir la cause profonde ;</w:t>
      </w:r>
    </w:p>
    <w:p w14:paraId="6FD04952" w14:textId="46B77307" w:rsidR="008F3027" w:rsidRPr="00B01850" w:rsidRDefault="008F3027" w:rsidP="00214DCC">
      <w:pPr>
        <w:pStyle w:val="ListParagraph"/>
        <w:numPr>
          <w:ilvl w:val="0"/>
          <w:numId w:val="122"/>
        </w:numPr>
        <w:spacing w:after="0" w:line="240" w:lineRule="auto"/>
        <w:jc w:val="both"/>
        <w:rPr>
          <w:rFonts w:ascii="Arial" w:hAnsi="Arial" w:cs="Arial"/>
        </w:rPr>
      </w:pPr>
      <w:r w:rsidRPr="00B01850">
        <w:rPr>
          <w:rFonts w:ascii="Arial" w:hAnsi="Arial" w:cs="Arial"/>
        </w:rPr>
        <w:t xml:space="preserve">Veiller à la mise en œuvre en temps opportun des mesures </w:t>
      </w:r>
      <w:r w:rsidR="009C7627" w:rsidRPr="00B01850">
        <w:rPr>
          <w:rFonts w:ascii="Arial" w:hAnsi="Arial" w:cs="Arial"/>
        </w:rPr>
        <w:t xml:space="preserve">réponses </w:t>
      </w:r>
      <w:r w:rsidR="005E4D11" w:rsidRPr="00B01850">
        <w:rPr>
          <w:rFonts w:ascii="Arial" w:hAnsi="Arial" w:cs="Arial"/>
        </w:rPr>
        <w:t xml:space="preserve">ainsi que </w:t>
      </w:r>
      <w:r w:rsidRPr="00B01850">
        <w:rPr>
          <w:rFonts w:ascii="Arial" w:hAnsi="Arial" w:cs="Arial"/>
        </w:rPr>
        <w:t>des mesures préventives.</w:t>
      </w:r>
    </w:p>
    <w:p w14:paraId="2499D177" w14:textId="77777777" w:rsidR="008F3027" w:rsidRPr="00B01850" w:rsidRDefault="008F3027" w:rsidP="008F3027">
      <w:pPr>
        <w:spacing w:after="0" w:line="240" w:lineRule="auto"/>
        <w:jc w:val="both"/>
        <w:rPr>
          <w:rFonts w:ascii="Arial" w:hAnsi="Arial" w:cs="Arial"/>
          <w:b/>
          <w:bCs/>
        </w:rPr>
      </w:pPr>
    </w:p>
    <w:p w14:paraId="3C0593AE" w14:textId="2F308816" w:rsidR="008F3027" w:rsidRPr="00B01850" w:rsidRDefault="00082FD1" w:rsidP="00214DCC">
      <w:pPr>
        <w:pStyle w:val="ListParagraph"/>
        <w:numPr>
          <w:ilvl w:val="0"/>
          <w:numId w:val="104"/>
        </w:numPr>
        <w:spacing w:after="0" w:line="240" w:lineRule="auto"/>
        <w:jc w:val="both"/>
        <w:rPr>
          <w:rFonts w:ascii="Arial" w:hAnsi="Arial" w:cs="Arial"/>
          <w:b/>
          <w:bCs/>
        </w:rPr>
      </w:pPr>
      <w:r w:rsidRPr="00B01850">
        <w:rPr>
          <w:rFonts w:ascii="Arial" w:hAnsi="Arial" w:cs="Arial"/>
          <w:b/>
          <w:bCs/>
        </w:rPr>
        <w:t xml:space="preserve">Performance ciblée </w:t>
      </w:r>
      <w:r w:rsidR="007C6904" w:rsidRPr="00B01850">
        <w:rPr>
          <w:rFonts w:ascii="Arial" w:hAnsi="Arial" w:cs="Arial"/>
          <w:b/>
          <w:bCs/>
        </w:rPr>
        <w:t>en matière de S</w:t>
      </w:r>
      <w:r w:rsidR="00AE380F" w:rsidRPr="00B01850">
        <w:rPr>
          <w:rFonts w:ascii="Arial" w:hAnsi="Arial" w:cs="Arial"/>
          <w:b/>
          <w:bCs/>
        </w:rPr>
        <w:t xml:space="preserve">anté </w:t>
      </w:r>
      <w:r w:rsidR="007C6904" w:rsidRPr="00B01850">
        <w:rPr>
          <w:rFonts w:ascii="Arial" w:hAnsi="Arial" w:cs="Arial"/>
          <w:b/>
          <w:bCs/>
        </w:rPr>
        <w:t>S</w:t>
      </w:r>
      <w:r w:rsidR="00AE380F" w:rsidRPr="00B01850">
        <w:rPr>
          <w:rFonts w:ascii="Arial" w:hAnsi="Arial" w:cs="Arial"/>
          <w:b/>
          <w:bCs/>
        </w:rPr>
        <w:t xml:space="preserve">écurité au </w:t>
      </w:r>
      <w:r w:rsidR="007C6904" w:rsidRPr="00B01850">
        <w:rPr>
          <w:rFonts w:ascii="Arial" w:hAnsi="Arial" w:cs="Arial"/>
          <w:b/>
          <w:bCs/>
        </w:rPr>
        <w:t>T</w:t>
      </w:r>
      <w:r w:rsidR="00AE380F" w:rsidRPr="00B01850">
        <w:rPr>
          <w:rFonts w:ascii="Arial" w:hAnsi="Arial" w:cs="Arial"/>
          <w:b/>
          <w:bCs/>
        </w:rPr>
        <w:t>ravail</w:t>
      </w:r>
    </w:p>
    <w:p w14:paraId="26F3872D" w14:textId="77777777" w:rsidR="008F3027" w:rsidRPr="00B01850" w:rsidRDefault="008F3027" w:rsidP="008F3027">
      <w:pPr>
        <w:spacing w:after="0" w:line="240" w:lineRule="auto"/>
        <w:jc w:val="both"/>
        <w:rPr>
          <w:rFonts w:ascii="Arial" w:hAnsi="Arial" w:cs="Arial"/>
          <w:highlight w:val="magenta"/>
        </w:rPr>
      </w:pPr>
    </w:p>
    <w:tbl>
      <w:tblPr>
        <w:tblStyle w:val="TableGrid"/>
        <w:tblW w:w="7200" w:type="dxa"/>
        <w:jc w:val="center"/>
        <w:tblLook w:val="04A0" w:firstRow="1" w:lastRow="0" w:firstColumn="1" w:lastColumn="0" w:noHBand="0" w:noVBand="1"/>
      </w:tblPr>
      <w:tblGrid>
        <w:gridCol w:w="3686"/>
        <w:gridCol w:w="3514"/>
      </w:tblGrid>
      <w:tr w:rsidR="006E25F0" w:rsidRPr="00B01850" w14:paraId="65D6F4AE" w14:textId="77777777" w:rsidTr="006E25F0">
        <w:trPr>
          <w:trHeight w:val="288"/>
          <w:jc w:val="center"/>
        </w:trPr>
        <w:tc>
          <w:tcPr>
            <w:tcW w:w="4675" w:type="dxa"/>
            <w:shd w:val="clear" w:color="auto" w:fill="FDE9D9" w:themeFill="accent6" w:themeFillTint="33"/>
            <w:vAlign w:val="center"/>
          </w:tcPr>
          <w:p w14:paraId="59BAFE71" w14:textId="7037B4CF" w:rsidR="006E25F0" w:rsidRPr="00B01850" w:rsidRDefault="006E25F0" w:rsidP="006E25F0">
            <w:pPr>
              <w:jc w:val="center"/>
              <w:rPr>
                <w:rFonts w:ascii="Arial" w:hAnsi="Arial" w:cs="Arial"/>
                <w:i/>
                <w:iCs/>
              </w:rPr>
            </w:pPr>
            <w:r w:rsidRPr="00B01850">
              <w:rPr>
                <w:rFonts w:ascii="Arial" w:hAnsi="Arial" w:cs="Arial"/>
                <w:i/>
                <w:iCs/>
              </w:rPr>
              <w:t>Performance</w:t>
            </w:r>
          </w:p>
        </w:tc>
        <w:tc>
          <w:tcPr>
            <w:tcW w:w="4675" w:type="dxa"/>
            <w:shd w:val="clear" w:color="auto" w:fill="FDE9D9" w:themeFill="accent6" w:themeFillTint="33"/>
            <w:vAlign w:val="center"/>
          </w:tcPr>
          <w:p w14:paraId="75C01AF4" w14:textId="03126348" w:rsidR="006E25F0" w:rsidRPr="00B01850" w:rsidRDefault="006E25F0" w:rsidP="006E25F0">
            <w:pPr>
              <w:jc w:val="center"/>
              <w:rPr>
                <w:rFonts w:ascii="Arial" w:hAnsi="Arial" w:cs="Arial"/>
                <w:i/>
                <w:iCs/>
              </w:rPr>
            </w:pPr>
            <w:r w:rsidRPr="00B01850">
              <w:rPr>
                <w:rFonts w:ascii="Arial" w:hAnsi="Arial" w:cs="Arial"/>
                <w:i/>
                <w:iCs/>
              </w:rPr>
              <w:t>Cibles</w:t>
            </w:r>
          </w:p>
        </w:tc>
      </w:tr>
      <w:tr w:rsidR="006E25F0" w:rsidRPr="00B01850" w14:paraId="32D6A748" w14:textId="77777777" w:rsidTr="006E25F0">
        <w:trPr>
          <w:jc w:val="center"/>
        </w:trPr>
        <w:tc>
          <w:tcPr>
            <w:tcW w:w="4675" w:type="dxa"/>
          </w:tcPr>
          <w:p w14:paraId="0275A2BD" w14:textId="404F511B" w:rsidR="006E25F0" w:rsidRPr="00B01850" w:rsidRDefault="006E25F0" w:rsidP="008F3027">
            <w:pPr>
              <w:jc w:val="both"/>
              <w:rPr>
                <w:rFonts w:ascii="Arial" w:hAnsi="Arial" w:cs="Arial"/>
              </w:rPr>
            </w:pPr>
            <w:r w:rsidRPr="00B01850">
              <w:rPr>
                <w:rFonts w:ascii="Arial" w:hAnsi="Arial" w:cs="Arial"/>
              </w:rPr>
              <w:t>Explosion</w:t>
            </w:r>
          </w:p>
        </w:tc>
        <w:tc>
          <w:tcPr>
            <w:tcW w:w="4675" w:type="dxa"/>
          </w:tcPr>
          <w:p w14:paraId="75F0D2DF" w14:textId="0AC40B79" w:rsidR="006E25F0" w:rsidRPr="00B01850" w:rsidRDefault="006E25F0" w:rsidP="006E25F0">
            <w:pPr>
              <w:jc w:val="center"/>
              <w:rPr>
                <w:rFonts w:ascii="Arial" w:hAnsi="Arial" w:cs="Arial"/>
              </w:rPr>
            </w:pPr>
            <w:r w:rsidRPr="00B01850">
              <w:rPr>
                <w:rFonts w:ascii="Arial" w:hAnsi="Arial" w:cs="Arial"/>
              </w:rPr>
              <w:t>Zéro</w:t>
            </w:r>
          </w:p>
        </w:tc>
      </w:tr>
      <w:tr w:rsidR="006E25F0" w:rsidRPr="00B01850" w14:paraId="5B45748B" w14:textId="77777777" w:rsidTr="006E25F0">
        <w:trPr>
          <w:jc w:val="center"/>
        </w:trPr>
        <w:tc>
          <w:tcPr>
            <w:tcW w:w="4675" w:type="dxa"/>
          </w:tcPr>
          <w:p w14:paraId="6FDC3FB5" w14:textId="403513AF" w:rsidR="006E25F0" w:rsidRPr="00B01850" w:rsidRDefault="006E25F0" w:rsidP="008F3027">
            <w:pPr>
              <w:jc w:val="both"/>
              <w:rPr>
                <w:rFonts w:ascii="Arial" w:hAnsi="Arial" w:cs="Arial"/>
              </w:rPr>
            </w:pPr>
            <w:r w:rsidRPr="00B01850">
              <w:rPr>
                <w:rFonts w:ascii="Arial" w:hAnsi="Arial" w:cs="Arial"/>
              </w:rPr>
              <w:t>Fatalité</w:t>
            </w:r>
          </w:p>
        </w:tc>
        <w:tc>
          <w:tcPr>
            <w:tcW w:w="4675" w:type="dxa"/>
          </w:tcPr>
          <w:p w14:paraId="6F84F8B0" w14:textId="1DF8D688" w:rsidR="006E25F0" w:rsidRPr="00B01850" w:rsidRDefault="006E25F0" w:rsidP="006E25F0">
            <w:pPr>
              <w:jc w:val="center"/>
              <w:rPr>
                <w:rFonts w:ascii="Arial" w:hAnsi="Arial" w:cs="Arial"/>
              </w:rPr>
            </w:pPr>
            <w:r w:rsidRPr="00B01850">
              <w:rPr>
                <w:rFonts w:ascii="Arial" w:hAnsi="Arial" w:cs="Arial"/>
              </w:rPr>
              <w:t>Zéro</w:t>
            </w:r>
          </w:p>
        </w:tc>
      </w:tr>
      <w:tr w:rsidR="006E25F0" w:rsidRPr="00B01850" w14:paraId="6A081475" w14:textId="77777777" w:rsidTr="006E25F0">
        <w:trPr>
          <w:jc w:val="center"/>
        </w:trPr>
        <w:tc>
          <w:tcPr>
            <w:tcW w:w="4675" w:type="dxa"/>
          </w:tcPr>
          <w:p w14:paraId="1294D509" w14:textId="4CF30AD7" w:rsidR="006E25F0" w:rsidRPr="00B01850" w:rsidRDefault="006E25F0" w:rsidP="008F3027">
            <w:pPr>
              <w:jc w:val="both"/>
              <w:rPr>
                <w:rFonts w:ascii="Arial" w:hAnsi="Arial" w:cs="Arial"/>
              </w:rPr>
            </w:pPr>
            <w:r w:rsidRPr="00B01850">
              <w:rPr>
                <w:rFonts w:ascii="Arial" w:hAnsi="Arial" w:cs="Arial"/>
              </w:rPr>
              <w:t>Accident avec arrêt de travail</w:t>
            </w:r>
          </w:p>
        </w:tc>
        <w:tc>
          <w:tcPr>
            <w:tcW w:w="4675" w:type="dxa"/>
          </w:tcPr>
          <w:p w14:paraId="72BD7A41" w14:textId="6E4AF45F" w:rsidR="006E25F0" w:rsidRPr="00B01850" w:rsidRDefault="006E25F0" w:rsidP="006E25F0">
            <w:pPr>
              <w:jc w:val="center"/>
              <w:rPr>
                <w:rFonts w:ascii="Arial" w:hAnsi="Arial" w:cs="Arial"/>
              </w:rPr>
            </w:pPr>
            <w:r w:rsidRPr="00B01850">
              <w:rPr>
                <w:rFonts w:ascii="Arial" w:hAnsi="Arial" w:cs="Arial"/>
              </w:rPr>
              <w:t>Zéro</w:t>
            </w:r>
          </w:p>
        </w:tc>
      </w:tr>
      <w:tr w:rsidR="006E25F0" w:rsidRPr="00B01850" w14:paraId="44B5A925" w14:textId="77777777" w:rsidTr="006E25F0">
        <w:trPr>
          <w:jc w:val="center"/>
        </w:trPr>
        <w:tc>
          <w:tcPr>
            <w:tcW w:w="4675" w:type="dxa"/>
          </w:tcPr>
          <w:p w14:paraId="5305CEA7" w14:textId="6CC98A1A" w:rsidR="006E25F0" w:rsidRPr="00B01850" w:rsidRDefault="006E25F0" w:rsidP="008F3027">
            <w:pPr>
              <w:jc w:val="both"/>
              <w:rPr>
                <w:rFonts w:ascii="Arial" w:hAnsi="Arial" w:cs="Arial"/>
              </w:rPr>
            </w:pPr>
            <w:r w:rsidRPr="00B01850">
              <w:rPr>
                <w:rFonts w:ascii="Arial" w:hAnsi="Arial" w:cs="Arial"/>
              </w:rPr>
              <w:t>Incident d'incendie</w:t>
            </w:r>
          </w:p>
        </w:tc>
        <w:tc>
          <w:tcPr>
            <w:tcW w:w="4675" w:type="dxa"/>
          </w:tcPr>
          <w:p w14:paraId="20D5CA11" w14:textId="5AEBCE54" w:rsidR="006E25F0" w:rsidRPr="00B01850" w:rsidRDefault="006E25F0" w:rsidP="006E25F0">
            <w:pPr>
              <w:jc w:val="center"/>
              <w:rPr>
                <w:rFonts w:ascii="Arial" w:hAnsi="Arial" w:cs="Arial"/>
              </w:rPr>
            </w:pPr>
            <w:r w:rsidRPr="00B01850">
              <w:rPr>
                <w:rFonts w:ascii="Arial" w:hAnsi="Arial" w:cs="Arial"/>
              </w:rPr>
              <w:t>Aucun</w:t>
            </w:r>
          </w:p>
        </w:tc>
      </w:tr>
      <w:tr w:rsidR="006E25F0" w:rsidRPr="00B01850" w14:paraId="6E783023" w14:textId="77777777" w:rsidTr="006E25F0">
        <w:trPr>
          <w:jc w:val="center"/>
        </w:trPr>
        <w:tc>
          <w:tcPr>
            <w:tcW w:w="4675" w:type="dxa"/>
          </w:tcPr>
          <w:p w14:paraId="0826C869" w14:textId="5AD22CBB" w:rsidR="006E25F0" w:rsidRPr="00B01850" w:rsidRDefault="006E25F0" w:rsidP="008F3027">
            <w:pPr>
              <w:jc w:val="both"/>
              <w:rPr>
                <w:rFonts w:ascii="Arial" w:hAnsi="Arial" w:cs="Arial"/>
              </w:rPr>
            </w:pPr>
            <w:r w:rsidRPr="00B01850">
              <w:rPr>
                <w:rFonts w:ascii="Arial" w:hAnsi="Arial" w:cs="Arial"/>
              </w:rPr>
              <w:t>Accidents de véhicules</w:t>
            </w:r>
          </w:p>
        </w:tc>
        <w:tc>
          <w:tcPr>
            <w:tcW w:w="4675" w:type="dxa"/>
          </w:tcPr>
          <w:p w14:paraId="52E3210F" w14:textId="3882D49C" w:rsidR="006E25F0" w:rsidRPr="00B01850" w:rsidRDefault="006E25F0" w:rsidP="006E25F0">
            <w:pPr>
              <w:jc w:val="center"/>
              <w:rPr>
                <w:rFonts w:ascii="Arial" w:hAnsi="Arial" w:cs="Arial"/>
              </w:rPr>
            </w:pPr>
            <w:r w:rsidRPr="00B01850">
              <w:rPr>
                <w:rFonts w:ascii="Arial" w:hAnsi="Arial" w:cs="Arial"/>
              </w:rPr>
              <w:t>Zéro</w:t>
            </w:r>
          </w:p>
        </w:tc>
      </w:tr>
    </w:tbl>
    <w:p w14:paraId="06A9643A" w14:textId="77777777" w:rsidR="008F3027" w:rsidRPr="00B01850" w:rsidRDefault="008F3027" w:rsidP="008F3027">
      <w:pPr>
        <w:spacing w:after="0" w:line="240" w:lineRule="auto"/>
        <w:jc w:val="both"/>
        <w:rPr>
          <w:rFonts w:ascii="Arial" w:hAnsi="Arial" w:cs="Arial"/>
        </w:rPr>
      </w:pPr>
    </w:p>
    <w:p w14:paraId="2B76B494" w14:textId="6D7C9275" w:rsidR="008F3027" w:rsidRPr="00B01850" w:rsidRDefault="00263798" w:rsidP="00214DCC">
      <w:pPr>
        <w:pStyle w:val="ListParagraph"/>
        <w:numPr>
          <w:ilvl w:val="0"/>
          <w:numId w:val="105"/>
        </w:numPr>
        <w:spacing w:after="0" w:line="240" w:lineRule="auto"/>
        <w:jc w:val="both"/>
        <w:rPr>
          <w:rFonts w:ascii="Arial" w:hAnsi="Arial" w:cs="Arial"/>
          <w:b/>
          <w:bCs/>
        </w:rPr>
      </w:pPr>
      <w:r w:rsidRPr="00B01850">
        <w:rPr>
          <w:rFonts w:ascii="Arial" w:hAnsi="Arial" w:cs="Arial"/>
          <w:b/>
          <w:bCs/>
        </w:rPr>
        <w:t>Termes et définitions</w:t>
      </w:r>
    </w:p>
    <w:p w14:paraId="2759269E" w14:textId="77777777" w:rsidR="008F3027" w:rsidRPr="00B01850" w:rsidRDefault="008F3027" w:rsidP="008F3027">
      <w:pPr>
        <w:spacing w:after="0" w:line="240" w:lineRule="auto"/>
        <w:jc w:val="both"/>
        <w:rPr>
          <w:rFonts w:ascii="Arial" w:hAnsi="Arial" w:cs="Arial"/>
          <w:b/>
          <w:bCs/>
        </w:rPr>
      </w:pPr>
    </w:p>
    <w:p w14:paraId="03FA4B64" w14:textId="66D22819" w:rsidR="008F3027" w:rsidRPr="00B01850" w:rsidRDefault="008F3027" w:rsidP="00214DCC">
      <w:pPr>
        <w:pStyle w:val="ListParagraph"/>
        <w:numPr>
          <w:ilvl w:val="0"/>
          <w:numId w:val="106"/>
        </w:numPr>
        <w:spacing w:after="0" w:line="240" w:lineRule="auto"/>
        <w:jc w:val="both"/>
        <w:rPr>
          <w:rFonts w:ascii="Arial" w:hAnsi="Arial" w:cs="Arial"/>
          <w:bCs/>
          <w:i/>
          <w:iCs/>
        </w:rPr>
      </w:pPr>
      <w:r w:rsidRPr="00B01850">
        <w:rPr>
          <w:rFonts w:ascii="Arial" w:hAnsi="Arial" w:cs="Arial"/>
          <w:bCs/>
          <w:i/>
          <w:iCs/>
        </w:rPr>
        <w:t>Définitions</w:t>
      </w:r>
    </w:p>
    <w:p w14:paraId="20100AEC" w14:textId="77777777" w:rsidR="008F3027" w:rsidRPr="00B01850" w:rsidRDefault="008F3027" w:rsidP="008F3027">
      <w:pPr>
        <w:spacing w:after="0" w:line="240" w:lineRule="auto"/>
        <w:jc w:val="both"/>
        <w:rPr>
          <w:rFonts w:ascii="Arial" w:hAnsi="Arial" w:cs="Arial"/>
          <w:b/>
          <w:bCs/>
        </w:rPr>
      </w:pPr>
    </w:p>
    <w:p w14:paraId="6C439B96" w14:textId="7DD03C19" w:rsidR="008F3027" w:rsidRPr="00B01850" w:rsidRDefault="008F3027" w:rsidP="008F3027">
      <w:pPr>
        <w:spacing w:after="0" w:line="240" w:lineRule="auto"/>
        <w:jc w:val="both"/>
        <w:rPr>
          <w:rFonts w:ascii="Arial" w:hAnsi="Arial" w:cs="Arial"/>
          <w:b/>
          <w:bCs/>
        </w:rPr>
      </w:pPr>
      <w:r w:rsidRPr="00B01850">
        <w:rPr>
          <w:rFonts w:ascii="Arial" w:hAnsi="Arial" w:cs="Arial"/>
          <w:i/>
          <w:iCs/>
        </w:rPr>
        <w:t>Incident</w:t>
      </w:r>
      <w:r w:rsidRPr="00B01850">
        <w:rPr>
          <w:rFonts w:ascii="Arial" w:hAnsi="Arial" w:cs="Arial"/>
        </w:rPr>
        <w:t xml:space="preserve"> : Événement(s) naturel(s) lié au travail au cours duquel une blessure, un problème de santé (quelle qu'en soit la gravité), des dommages matériels ou un décès se sont produits, ou auraient pu survenir.</w:t>
      </w:r>
    </w:p>
    <w:p w14:paraId="55D2C58C" w14:textId="283EB055" w:rsidR="008F3027" w:rsidRPr="00B01850" w:rsidRDefault="008F3027" w:rsidP="008F3027">
      <w:pPr>
        <w:spacing w:after="0" w:line="240" w:lineRule="auto"/>
        <w:jc w:val="both"/>
        <w:rPr>
          <w:rFonts w:ascii="Arial" w:hAnsi="Arial" w:cs="Arial"/>
          <w:b/>
          <w:bCs/>
        </w:rPr>
      </w:pPr>
      <w:r w:rsidRPr="00B01850">
        <w:rPr>
          <w:rFonts w:ascii="Arial" w:hAnsi="Arial" w:cs="Arial"/>
          <w:i/>
          <w:iCs/>
        </w:rPr>
        <w:t>Quasi-accident</w:t>
      </w:r>
      <w:r w:rsidRPr="00B01850">
        <w:rPr>
          <w:rFonts w:ascii="Arial" w:hAnsi="Arial" w:cs="Arial"/>
        </w:rPr>
        <w:t xml:space="preserve"> :</w:t>
      </w:r>
      <w:r w:rsidRPr="00B01850">
        <w:rPr>
          <w:rFonts w:ascii="Arial" w:hAnsi="Arial" w:cs="Arial"/>
          <w:b/>
          <w:bCs/>
        </w:rPr>
        <w:t xml:space="preserve"> </w:t>
      </w:r>
      <w:r w:rsidRPr="00B01850">
        <w:rPr>
          <w:rFonts w:ascii="Arial" w:hAnsi="Arial" w:cs="Arial"/>
        </w:rPr>
        <w:t>Un incident où il n'y a pas eu de problèmes de santé, de blessures, de dommages ou d'autres pertes, mais qu'il pouvait causer, est appelé « accident évité de justesse ».</w:t>
      </w:r>
    </w:p>
    <w:p w14:paraId="2ABF3555" w14:textId="2F27D7F2" w:rsidR="008F3027" w:rsidRPr="00B01850" w:rsidRDefault="008F3027" w:rsidP="008F3027">
      <w:pPr>
        <w:spacing w:after="0" w:line="240" w:lineRule="auto"/>
        <w:jc w:val="both"/>
        <w:rPr>
          <w:rFonts w:ascii="Arial" w:hAnsi="Arial" w:cs="Arial"/>
          <w:b/>
          <w:bCs/>
        </w:rPr>
      </w:pPr>
      <w:r w:rsidRPr="00B01850">
        <w:rPr>
          <w:rFonts w:ascii="Arial" w:hAnsi="Arial" w:cs="Arial"/>
          <w:i/>
          <w:iCs/>
        </w:rPr>
        <w:t>Cas de premiers soins</w:t>
      </w:r>
      <w:r w:rsidRPr="00B01850">
        <w:rPr>
          <w:rFonts w:ascii="Arial" w:hAnsi="Arial" w:cs="Arial"/>
        </w:rPr>
        <w:t xml:space="preserve"> :</w:t>
      </w:r>
      <w:r w:rsidRPr="00B01850">
        <w:rPr>
          <w:rFonts w:ascii="Arial" w:hAnsi="Arial" w:cs="Arial"/>
          <w:b/>
          <w:bCs/>
        </w:rPr>
        <w:t xml:space="preserve"> </w:t>
      </w:r>
      <w:r w:rsidRPr="00B01850">
        <w:rPr>
          <w:rFonts w:ascii="Arial" w:hAnsi="Arial" w:cs="Arial"/>
        </w:rPr>
        <w:t>Les premiers soins ne sont pas essentiellement tous des cas à signaler, où la personne blessée reçoit un traitement médical et rentre immédiatement de l'hôpital pour se présenter au travail, sans compter le temps perdu.</w:t>
      </w:r>
    </w:p>
    <w:p w14:paraId="3001A876" w14:textId="4E7E2189" w:rsidR="008F3027" w:rsidRPr="00B01850" w:rsidRDefault="008F3027" w:rsidP="008F3027">
      <w:pPr>
        <w:spacing w:after="0" w:line="240" w:lineRule="auto"/>
        <w:jc w:val="both"/>
        <w:rPr>
          <w:rFonts w:ascii="Arial" w:hAnsi="Arial" w:cs="Arial"/>
          <w:b/>
          <w:bCs/>
        </w:rPr>
      </w:pPr>
      <w:r w:rsidRPr="00B01850">
        <w:rPr>
          <w:rFonts w:ascii="Arial" w:hAnsi="Arial" w:cs="Arial"/>
          <w:i/>
          <w:iCs/>
        </w:rPr>
        <w:t>Accident de travail avec arrêt de travail</w:t>
      </w:r>
      <w:r w:rsidRPr="00B01850">
        <w:rPr>
          <w:rFonts w:ascii="Arial" w:hAnsi="Arial" w:cs="Arial"/>
        </w:rPr>
        <w:t xml:space="preserve"> : Toute lésion professionnelle qui rend la personne blessée incapable d'effectuer son travail habituel ou une autre affectation de travail restreinte le jour de travail prévu à l'horaire suivant le jour où la lésion s'est produite.</w:t>
      </w:r>
    </w:p>
    <w:p w14:paraId="727A2BDC" w14:textId="4FEB4587" w:rsidR="008F3027" w:rsidRPr="00B01850" w:rsidRDefault="008F3027" w:rsidP="008F3027">
      <w:pPr>
        <w:spacing w:after="0" w:line="240" w:lineRule="auto"/>
        <w:jc w:val="both"/>
        <w:rPr>
          <w:rFonts w:ascii="Arial" w:hAnsi="Arial" w:cs="Arial"/>
          <w:b/>
          <w:bCs/>
        </w:rPr>
      </w:pPr>
      <w:r w:rsidRPr="00B01850">
        <w:rPr>
          <w:rFonts w:ascii="Arial" w:hAnsi="Arial" w:cs="Arial"/>
          <w:i/>
          <w:iCs/>
        </w:rPr>
        <w:t>Cas médicaux</w:t>
      </w:r>
      <w:r w:rsidRPr="00B01850">
        <w:rPr>
          <w:rFonts w:ascii="Arial" w:hAnsi="Arial" w:cs="Arial"/>
        </w:rPr>
        <w:t xml:space="preserve"> :</w:t>
      </w:r>
      <w:r w:rsidRPr="00B01850">
        <w:rPr>
          <w:rFonts w:ascii="Arial" w:hAnsi="Arial" w:cs="Arial"/>
          <w:b/>
          <w:bCs/>
        </w:rPr>
        <w:t xml:space="preserve"> </w:t>
      </w:r>
      <w:r w:rsidRPr="00B01850">
        <w:rPr>
          <w:rFonts w:ascii="Arial" w:hAnsi="Arial" w:cs="Arial"/>
        </w:rPr>
        <w:t>Les cas médicaux sont des cas à déclaration obligatoire, dans lesquels l'employé s'est absenté du travail pour cause de maladie ou pour une autre raison et a besoin d'un traitement médical.</w:t>
      </w:r>
    </w:p>
    <w:p w14:paraId="3602503F" w14:textId="0E7EE2BD" w:rsidR="008F3027" w:rsidRPr="00B01850" w:rsidRDefault="008D0E62" w:rsidP="00214DCC">
      <w:pPr>
        <w:pStyle w:val="ListParagraph"/>
        <w:numPr>
          <w:ilvl w:val="0"/>
          <w:numId w:val="107"/>
        </w:numPr>
        <w:spacing w:before="240" w:after="240" w:line="240" w:lineRule="auto"/>
        <w:contextualSpacing w:val="0"/>
        <w:jc w:val="both"/>
        <w:rPr>
          <w:rFonts w:ascii="Arial" w:hAnsi="Arial" w:cs="Arial"/>
          <w:b/>
          <w:bCs/>
        </w:rPr>
      </w:pPr>
      <w:bookmarkStart w:id="190" w:name="_Hlk132797863"/>
      <w:r w:rsidRPr="00B01850">
        <w:rPr>
          <w:rFonts w:ascii="Arial" w:hAnsi="Arial" w:cs="Arial"/>
          <w:b/>
          <w:bCs/>
        </w:rPr>
        <w:t>Organisation SSE</w:t>
      </w:r>
      <w:bookmarkEnd w:id="190"/>
    </w:p>
    <w:p w14:paraId="0ECDBB5B" w14:textId="46EDB47D" w:rsidR="008F3027" w:rsidRPr="00B01850" w:rsidRDefault="008F3027" w:rsidP="008F3027">
      <w:pPr>
        <w:spacing w:after="0" w:line="240" w:lineRule="auto"/>
        <w:jc w:val="both"/>
        <w:rPr>
          <w:rFonts w:ascii="Arial" w:hAnsi="Arial" w:cs="Arial"/>
          <w:b/>
          <w:bCs/>
        </w:rPr>
      </w:pPr>
      <w:r w:rsidRPr="00B01850">
        <w:rPr>
          <w:rFonts w:ascii="Arial" w:hAnsi="Arial" w:cs="Arial"/>
          <w:i/>
          <w:iCs/>
        </w:rPr>
        <w:t>Nombre d'agents de sécurité</w:t>
      </w:r>
      <w:r w:rsidRPr="00B01850">
        <w:rPr>
          <w:rFonts w:ascii="Arial" w:hAnsi="Arial" w:cs="Arial"/>
        </w:rPr>
        <w:t xml:space="preserve"> :</w:t>
      </w:r>
      <w:r w:rsidRPr="00B01850">
        <w:rPr>
          <w:rFonts w:ascii="Arial" w:hAnsi="Arial" w:cs="Arial"/>
          <w:b/>
          <w:bCs/>
        </w:rPr>
        <w:t xml:space="preserve"> </w:t>
      </w:r>
      <w:r w:rsidRPr="00B01850">
        <w:rPr>
          <w:rFonts w:ascii="Arial" w:hAnsi="Arial" w:cs="Arial"/>
        </w:rPr>
        <w:t>L'organisme d'exécution doit déployer un agent de sécurité pour 500 travailleurs ou une partie de ceux-ci dans chaque groupe. De plus, il doit y avoir un responsable de la sécurité/superviseur de la sécurité pour 100 travailleurs.</w:t>
      </w:r>
    </w:p>
    <w:p w14:paraId="1DB5BAA2" w14:textId="77777777" w:rsidR="008F3027" w:rsidRPr="00B01850" w:rsidRDefault="008F3027" w:rsidP="008F3027">
      <w:pPr>
        <w:spacing w:after="0" w:line="240" w:lineRule="auto"/>
        <w:jc w:val="both"/>
        <w:rPr>
          <w:rFonts w:ascii="Arial" w:hAnsi="Arial" w:cs="Arial"/>
          <w:b/>
          <w:bCs/>
        </w:rPr>
      </w:pPr>
    </w:p>
    <w:p w14:paraId="0599563F" w14:textId="48E65FC3" w:rsidR="008F3027" w:rsidRPr="00B01850" w:rsidRDefault="008F3027" w:rsidP="008F3027">
      <w:pPr>
        <w:spacing w:after="0" w:line="240" w:lineRule="auto"/>
        <w:jc w:val="both"/>
        <w:rPr>
          <w:rFonts w:ascii="Arial" w:hAnsi="Arial" w:cs="Arial"/>
        </w:rPr>
      </w:pPr>
      <w:r w:rsidRPr="00B01850">
        <w:rPr>
          <w:rFonts w:ascii="Arial" w:hAnsi="Arial" w:cs="Arial"/>
          <w:i/>
          <w:iCs/>
        </w:rPr>
        <w:t>Déploiement</w:t>
      </w:r>
      <w:r w:rsidRPr="00B01850">
        <w:rPr>
          <w:rFonts w:ascii="Arial" w:hAnsi="Arial" w:cs="Arial"/>
        </w:rPr>
        <w:t xml:space="preserve"> : L'Entrepreneur doit déployer un nombre suffisant d'agents de sécurité et de délégués/superviseurs de la sécurité, conformément aux exigences énoncées ci-dessus, depuis la phase initiale, et en affecter davantage en proportion de l'effectif supplémentaire. Tout retard </w:t>
      </w:r>
      <w:r w:rsidRPr="00B01850">
        <w:rPr>
          <w:rFonts w:ascii="Arial" w:hAnsi="Arial" w:cs="Arial"/>
        </w:rPr>
        <w:lastRenderedPageBreak/>
        <w:t>dans le déploiement incitera le CERP à ordonner la suspension temporaire des travaux jusqu'à ce que le problème soit résolu.</w:t>
      </w:r>
    </w:p>
    <w:p w14:paraId="689257BA" w14:textId="2C58BEDA" w:rsidR="007F6674" w:rsidRPr="00B01850" w:rsidRDefault="007F6674" w:rsidP="00C52E29">
      <w:pPr>
        <w:pBdr>
          <w:top w:val="single" w:sz="4" w:space="1" w:color="auto"/>
          <w:left w:val="single" w:sz="4" w:space="4" w:color="auto"/>
          <w:bottom w:val="single" w:sz="4" w:space="1" w:color="auto"/>
          <w:right w:val="single" w:sz="4" w:space="4" w:color="auto"/>
        </w:pBdr>
        <w:shd w:val="clear" w:color="auto" w:fill="FDE9D9" w:themeFill="accent6" w:themeFillTint="33"/>
        <w:spacing w:before="120" w:after="0" w:line="240" w:lineRule="auto"/>
        <w:jc w:val="both"/>
        <w:rPr>
          <w:rFonts w:ascii="Arial" w:hAnsi="Arial" w:cs="Arial"/>
        </w:rPr>
      </w:pPr>
      <w:r w:rsidRPr="00B01850">
        <w:rPr>
          <w:rFonts w:ascii="Arial" w:hAnsi="Arial" w:cs="Arial"/>
        </w:rPr>
        <w:t>Dans la mesure où la mobilisation du personnel de sécurité s’avère nécessaire, un plan de gestion du personnel de sécurité sera envisagé dans le cadre de la mise en œuvre du projet.</w:t>
      </w:r>
    </w:p>
    <w:p w14:paraId="668E6D9A" w14:textId="4AC581A0" w:rsidR="008F3027" w:rsidRPr="00B01850" w:rsidRDefault="00582C99" w:rsidP="00214DCC">
      <w:pPr>
        <w:pStyle w:val="Caption"/>
        <w:numPr>
          <w:ilvl w:val="0"/>
          <w:numId w:val="123"/>
        </w:numPr>
        <w:spacing w:before="120" w:after="0"/>
        <w:rPr>
          <w:rFonts w:ascii="Arial" w:hAnsi="Arial" w:cs="Arial"/>
          <w:b/>
          <w:bCs/>
          <w:i w:val="0"/>
          <w:iCs w:val="0"/>
          <w:color w:val="auto"/>
          <w:sz w:val="22"/>
          <w:szCs w:val="22"/>
        </w:rPr>
      </w:pPr>
      <w:bookmarkStart w:id="191" w:name="_Toc178919543"/>
      <w:bookmarkStart w:id="192" w:name="_Toc178919705"/>
      <w:r w:rsidRPr="00B01850">
        <w:rPr>
          <w:rFonts w:ascii="Arial" w:hAnsi="Arial" w:cs="Arial"/>
          <w:i w:val="0"/>
          <w:iCs w:val="0"/>
          <w:color w:val="auto"/>
          <w:sz w:val="22"/>
          <w:szCs w:val="22"/>
        </w:rPr>
        <w:t>Table…</w:t>
      </w:r>
      <w:r w:rsidR="008D0E62" w:rsidRPr="00B01850">
        <w:rPr>
          <w:rFonts w:ascii="Arial" w:hAnsi="Arial" w:cs="Arial"/>
          <w:i w:val="0"/>
          <w:iCs w:val="0"/>
          <w:color w:val="auto"/>
          <w:sz w:val="22"/>
          <w:szCs w:val="22"/>
        </w:rPr>
        <w:t> :</w:t>
      </w:r>
      <w:r w:rsidR="008F3027" w:rsidRPr="00B01850">
        <w:rPr>
          <w:rFonts w:ascii="Arial" w:hAnsi="Arial" w:cs="Arial"/>
          <w:i w:val="0"/>
          <w:iCs w:val="0"/>
          <w:color w:val="auto"/>
          <w:sz w:val="22"/>
          <w:szCs w:val="22"/>
        </w:rPr>
        <w:t xml:space="preserve"> Qualification du personnel SST</w:t>
      </w:r>
      <w:bookmarkEnd w:id="191"/>
      <w:bookmarkEnd w:id="192"/>
    </w:p>
    <w:tbl>
      <w:tblPr>
        <w:tblStyle w:val="TableGrid"/>
        <w:tblW w:w="0" w:type="auto"/>
        <w:tblLook w:val="04A0" w:firstRow="1" w:lastRow="0" w:firstColumn="1" w:lastColumn="0" w:noHBand="0" w:noVBand="1"/>
      </w:tblPr>
      <w:tblGrid>
        <w:gridCol w:w="558"/>
        <w:gridCol w:w="3330"/>
        <w:gridCol w:w="2877"/>
        <w:gridCol w:w="2338"/>
      </w:tblGrid>
      <w:tr w:rsidR="008F3027" w:rsidRPr="00B01850" w14:paraId="4542516E" w14:textId="77777777" w:rsidTr="00201ADD">
        <w:trPr>
          <w:trHeight w:val="432"/>
        </w:trPr>
        <w:tc>
          <w:tcPr>
            <w:tcW w:w="432" w:type="dxa"/>
            <w:shd w:val="clear" w:color="auto" w:fill="FDE9D9" w:themeFill="accent6" w:themeFillTint="33"/>
            <w:vAlign w:val="center"/>
          </w:tcPr>
          <w:p w14:paraId="010F8810" w14:textId="485C9C31" w:rsidR="008F3027" w:rsidRPr="00B01850" w:rsidRDefault="008F3027" w:rsidP="00371831">
            <w:pPr>
              <w:jc w:val="center"/>
              <w:rPr>
                <w:rFonts w:ascii="Arial" w:hAnsi="Arial" w:cs="Arial"/>
                <w:i/>
                <w:iCs/>
                <w:sz w:val="18"/>
                <w:szCs w:val="18"/>
              </w:rPr>
            </w:pPr>
            <w:r w:rsidRPr="00B01850">
              <w:rPr>
                <w:rFonts w:ascii="Arial" w:hAnsi="Arial" w:cs="Arial"/>
                <w:i/>
                <w:iCs/>
                <w:sz w:val="18"/>
                <w:szCs w:val="18"/>
              </w:rPr>
              <w:t>N</w:t>
            </w:r>
            <w:r w:rsidR="00201ADD" w:rsidRPr="00B01850">
              <w:rPr>
                <w:rFonts w:ascii="Arial" w:hAnsi="Arial" w:cs="Arial"/>
                <w:i/>
                <w:iCs/>
                <w:sz w:val="18"/>
                <w:szCs w:val="18"/>
              </w:rPr>
              <w:t>°O</w:t>
            </w:r>
          </w:p>
        </w:tc>
        <w:tc>
          <w:tcPr>
            <w:tcW w:w="3330" w:type="dxa"/>
            <w:shd w:val="clear" w:color="auto" w:fill="FDE9D9" w:themeFill="accent6" w:themeFillTint="33"/>
            <w:vAlign w:val="center"/>
          </w:tcPr>
          <w:p w14:paraId="4BE37C7E" w14:textId="77777777" w:rsidR="008F3027" w:rsidRPr="00B01850" w:rsidRDefault="008F3027" w:rsidP="00E51E26">
            <w:pPr>
              <w:jc w:val="center"/>
              <w:rPr>
                <w:rFonts w:ascii="Arial" w:hAnsi="Arial" w:cs="Arial"/>
                <w:i/>
                <w:iCs/>
                <w:sz w:val="18"/>
                <w:szCs w:val="18"/>
              </w:rPr>
            </w:pPr>
            <w:r w:rsidRPr="00B01850">
              <w:rPr>
                <w:rFonts w:ascii="Arial" w:hAnsi="Arial" w:cs="Arial"/>
                <w:i/>
                <w:iCs/>
                <w:sz w:val="18"/>
                <w:szCs w:val="18"/>
              </w:rPr>
              <w:t>Désignation</w:t>
            </w:r>
          </w:p>
        </w:tc>
        <w:tc>
          <w:tcPr>
            <w:tcW w:w="2877" w:type="dxa"/>
            <w:shd w:val="clear" w:color="auto" w:fill="FDE9D9" w:themeFill="accent6" w:themeFillTint="33"/>
            <w:vAlign w:val="center"/>
          </w:tcPr>
          <w:p w14:paraId="712BCDD4" w14:textId="77777777" w:rsidR="008F3027" w:rsidRPr="00B01850" w:rsidRDefault="008F3027" w:rsidP="00E51E26">
            <w:pPr>
              <w:jc w:val="center"/>
              <w:rPr>
                <w:rFonts w:ascii="Arial" w:hAnsi="Arial" w:cs="Arial"/>
                <w:i/>
                <w:iCs/>
                <w:sz w:val="18"/>
                <w:szCs w:val="18"/>
              </w:rPr>
            </w:pPr>
            <w:r w:rsidRPr="00B01850">
              <w:rPr>
                <w:rFonts w:ascii="Arial" w:hAnsi="Arial" w:cs="Arial"/>
                <w:i/>
                <w:iCs/>
                <w:sz w:val="18"/>
                <w:szCs w:val="18"/>
              </w:rPr>
              <w:t>Qualification</w:t>
            </w:r>
          </w:p>
        </w:tc>
        <w:tc>
          <w:tcPr>
            <w:tcW w:w="2338" w:type="dxa"/>
            <w:shd w:val="clear" w:color="auto" w:fill="FDE9D9" w:themeFill="accent6" w:themeFillTint="33"/>
            <w:vAlign w:val="center"/>
          </w:tcPr>
          <w:p w14:paraId="38844470" w14:textId="77777777" w:rsidR="008F3027" w:rsidRPr="00B01850" w:rsidRDefault="008F3027" w:rsidP="00E51E26">
            <w:pPr>
              <w:jc w:val="center"/>
              <w:rPr>
                <w:rFonts w:ascii="Arial" w:hAnsi="Arial" w:cs="Arial"/>
                <w:i/>
                <w:iCs/>
                <w:sz w:val="18"/>
                <w:szCs w:val="18"/>
              </w:rPr>
            </w:pPr>
            <w:r w:rsidRPr="00B01850">
              <w:rPr>
                <w:rFonts w:ascii="Arial" w:hAnsi="Arial" w:cs="Arial"/>
                <w:i/>
                <w:iCs/>
                <w:sz w:val="18"/>
                <w:szCs w:val="18"/>
              </w:rPr>
              <w:t>Expérience</w:t>
            </w:r>
          </w:p>
        </w:tc>
      </w:tr>
      <w:tr w:rsidR="008F3027" w:rsidRPr="00B01850" w14:paraId="0EE96E5A" w14:textId="77777777" w:rsidTr="00201ADD">
        <w:tc>
          <w:tcPr>
            <w:tcW w:w="432" w:type="dxa"/>
            <w:vAlign w:val="center"/>
          </w:tcPr>
          <w:p w14:paraId="1C3AD383" w14:textId="77777777" w:rsidR="008F3027" w:rsidRPr="00B01850" w:rsidRDefault="008F3027" w:rsidP="00371831">
            <w:pPr>
              <w:jc w:val="center"/>
              <w:rPr>
                <w:rFonts w:ascii="Arial" w:hAnsi="Arial" w:cs="Arial"/>
                <w:sz w:val="18"/>
                <w:szCs w:val="18"/>
              </w:rPr>
            </w:pPr>
            <w:r w:rsidRPr="00B01850">
              <w:rPr>
                <w:rFonts w:ascii="Arial" w:hAnsi="Arial" w:cs="Arial"/>
                <w:sz w:val="18"/>
                <w:szCs w:val="18"/>
              </w:rPr>
              <w:t>1.</w:t>
            </w:r>
          </w:p>
        </w:tc>
        <w:tc>
          <w:tcPr>
            <w:tcW w:w="3330" w:type="dxa"/>
            <w:vAlign w:val="center"/>
          </w:tcPr>
          <w:p w14:paraId="17D1074F" w14:textId="77777777" w:rsidR="008F3027" w:rsidRPr="00B01850" w:rsidRDefault="008F3027" w:rsidP="008F3027">
            <w:pPr>
              <w:jc w:val="both"/>
              <w:rPr>
                <w:rFonts w:ascii="Arial" w:hAnsi="Arial" w:cs="Arial"/>
                <w:sz w:val="18"/>
                <w:szCs w:val="18"/>
              </w:rPr>
            </w:pPr>
            <w:r w:rsidRPr="00B01850">
              <w:rPr>
                <w:rFonts w:ascii="Arial" w:hAnsi="Arial" w:cs="Arial"/>
                <w:sz w:val="18"/>
                <w:szCs w:val="18"/>
              </w:rPr>
              <w:t>Responsable de la santé et de la sécurité</w:t>
            </w:r>
          </w:p>
        </w:tc>
        <w:tc>
          <w:tcPr>
            <w:tcW w:w="2877" w:type="dxa"/>
            <w:vAlign w:val="center"/>
          </w:tcPr>
          <w:p w14:paraId="49121673" w14:textId="77777777" w:rsidR="008F3027" w:rsidRPr="00B01850" w:rsidRDefault="008F3027" w:rsidP="008F3027">
            <w:pPr>
              <w:jc w:val="both"/>
              <w:rPr>
                <w:rFonts w:ascii="Arial" w:hAnsi="Arial" w:cs="Arial"/>
                <w:sz w:val="18"/>
                <w:szCs w:val="18"/>
              </w:rPr>
            </w:pPr>
            <w:r w:rsidRPr="00B01850">
              <w:rPr>
                <w:rFonts w:ascii="Arial" w:hAnsi="Arial" w:cs="Arial"/>
                <w:sz w:val="18"/>
                <w:szCs w:val="18"/>
              </w:rPr>
              <w:t>Diplôme d'ingénieur ou en santé publique/santé environnementale</w:t>
            </w:r>
          </w:p>
        </w:tc>
        <w:tc>
          <w:tcPr>
            <w:tcW w:w="2338" w:type="dxa"/>
            <w:vAlign w:val="center"/>
          </w:tcPr>
          <w:p w14:paraId="55F40ED2" w14:textId="77777777" w:rsidR="008F3027" w:rsidRPr="00B01850" w:rsidRDefault="008F3027" w:rsidP="008F3027">
            <w:pPr>
              <w:jc w:val="both"/>
              <w:rPr>
                <w:rFonts w:ascii="Arial" w:hAnsi="Arial" w:cs="Arial"/>
                <w:sz w:val="18"/>
                <w:szCs w:val="18"/>
              </w:rPr>
            </w:pPr>
            <w:r w:rsidRPr="00B01850">
              <w:rPr>
                <w:rFonts w:ascii="Arial" w:hAnsi="Arial" w:cs="Arial"/>
                <w:sz w:val="18"/>
                <w:szCs w:val="18"/>
              </w:rPr>
              <w:t>Au moins deux ans d'expérience dans le domaine de la construction ou de la santé et la sécurité au travail.</w:t>
            </w:r>
          </w:p>
        </w:tc>
      </w:tr>
      <w:tr w:rsidR="008F3027" w:rsidRPr="00B01850" w14:paraId="348228BD" w14:textId="77777777" w:rsidTr="00201ADD">
        <w:tc>
          <w:tcPr>
            <w:tcW w:w="432" w:type="dxa"/>
            <w:vAlign w:val="center"/>
          </w:tcPr>
          <w:p w14:paraId="2C3B20ED" w14:textId="77777777" w:rsidR="008F3027" w:rsidRPr="00B01850" w:rsidRDefault="008F3027" w:rsidP="00371831">
            <w:pPr>
              <w:jc w:val="center"/>
              <w:rPr>
                <w:rFonts w:ascii="Arial" w:hAnsi="Arial" w:cs="Arial"/>
                <w:sz w:val="18"/>
                <w:szCs w:val="18"/>
              </w:rPr>
            </w:pPr>
            <w:r w:rsidRPr="00B01850">
              <w:rPr>
                <w:rFonts w:ascii="Arial" w:hAnsi="Arial" w:cs="Arial"/>
                <w:sz w:val="18"/>
                <w:szCs w:val="18"/>
              </w:rPr>
              <w:t>2</w:t>
            </w:r>
          </w:p>
        </w:tc>
        <w:tc>
          <w:tcPr>
            <w:tcW w:w="3330" w:type="dxa"/>
            <w:vAlign w:val="center"/>
          </w:tcPr>
          <w:p w14:paraId="736B00B5" w14:textId="77777777" w:rsidR="008F3027" w:rsidRPr="00B01850" w:rsidRDefault="008F3027" w:rsidP="008F3027">
            <w:pPr>
              <w:jc w:val="both"/>
              <w:rPr>
                <w:rFonts w:ascii="Arial" w:hAnsi="Arial" w:cs="Arial"/>
                <w:sz w:val="18"/>
                <w:szCs w:val="18"/>
              </w:rPr>
            </w:pPr>
            <w:r w:rsidRPr="00B01850">
              <w:rPr>
                <w:rFonts w:ascii="Arial" w:hAnsi="Arial" w:cs="Arial"/>
                <w:sz w:val="18"/>
                <w:szCs w:val="18"/>
              </w:rPr>
              <w:t>Superviseur de la santé et de la sécurité</w:t>
            </w:r>
          </w:p>
        </w:tc>
        <w:tc>
          <w:tcPr>
            <w:tcW w:w="2877" w:type="dxa"/>
            <w:vAlign w:val="center"/>
          </w:tcPr>
          <w:p w14:paraId="6B070D12" w14:textId="77777777" w:rsidR="008F3027" w:rsidRPr="00B01850" w:rsidRDefault="008F3027" w:rsidP="008F3027">
            <w:pPr>
              <w:jc w:val="both"/>
              <w:rPr>
                <w:rFonts w:ascii="Arial" w:hAnsi="Arial" w:cs="Arial"/>
                <w:sz w:val="18"/>
                <w:szCs w:val="18"/>
              </w:rPr>
            </w:pPr>
            <w:r w:rsidRPr="00B01850">
              <w:rPr>
                <w:rFonts w:ascii="Arial" w:hAnsi="Arial" w:cs="Arial"/>
                <w:sz w:val="18"/>
                <w:szCs w:val="18"/>
              </w:rPr>
              <w:t>Diplôme ou diplôme dans n'importe quelle discipline, avec un diplôme à temps plein en sécurité industrielle avec la sécurité de la construction comme l'une des matières</w:t>
            </w:r>
          </w:p>
        </w:tc>
        <w:tc>
          <w:tcPr>
            <w:tcW w:w="2338" w:type="dxa"/>
            <w:vAlign w:val="center"/>
          </w:tcPr>
          <w:p w14:paraId="088D6C58" w14:textId="77777777" w:rsidR="008F3027" w:rsidRPr="00B01850" w:rsidRDefault="008F3027" w:rsidP="00FC194F">
            <w:pPr>
              <w:jc w:val="center"/>
              <w:rPr>
                <w:rFonts w:ascii="Arial" w:hAnsi="Arial" w:cs="Arial"/>
                <w:sz w:val="18"/>
                <w:szCs w:val="18"/>
              </w:rPr>
            </w:pPr>
            <w:r w:rsidRPr="00B01850">
              <w:rPr>
                <w:rFonts w:ascii="Arial" w:hAnsi="Arial" w:cs="Arial"/>
                <w:sz w:val="18"/>
                <w:szCs w:val="18"/>
              </w:rPr>
              <w:t>Au moins deux ans</w:t>
            </w:r>
          </w:p>
        </w:tc>
      </w:tr>
    </w:tbl>
    <w:p w14:paraId="54D92025" w14:textId="77777777" w:rsidR="008F3027" w:rsidRPr="00B01850" w:rsidRDefault="008F3027" w:rsidP="00214DCC">
      <w:pPr>
        <w:pStyle w:val="ListParagraph"/>
        <w:numPr>
          <w:ilvl w:val="0"/>
          <w:numId w:val="108"/>
        </w:numPr>
        <w:spacing w:before="240" w:after="240" w:line="240" w:lineRule="auto"/>
        <w:contextualSpacing w:val="0"/>
        <w:jc w:val="both"/>
        <w:rPr>
          <w:rFonts w:ascii="Arial" w:hAnsi="Arial" w:cs="Arial"/>
          <w:b/>
          <w:bCs/>
        </w:rPr>
      </w:pPr>
      <w:r w:rsidRPr="00B01850">
        <w:rPr>
          <w:rFonts w:ascii="Arial" w:hAnsi="Arial" w:cs="Arial"/>
          <w:b/>
          <w:bCs/>
        </w:rPr>
        <w:t>Responsabilités</w:t>
      </w:r>
      <w:bookmarkStart w:id="193" w:name="_Hlk132798018"/>
    </w:p>
    <w:p w14:paraId="6135C1F8" w14:textId="5F112E15" w:rsidR="008F3027" w:rsidRPr="00B01850" w:rsidRDefault="00C65E38" w:rsidP="00E5463F">
      <w:pPr>
        <w:spacing w:after="120" w:line="240" w:lineRule="auto"/>
        <w:jc w:val="both"/>
        <w:rPr>
          <w:rFonts w:ascii="Arial" w:hAnsi="Arial" w:cs="Arial"/>
        </w:rPr>
      </w:pPr>
      <w:r w:rsidRPr="00B01850">
        <w:rPr>
          <w:rFonts w:ascii="Arial" w:hAnsi="Arial" w:cs="Arial"/>
        </w:rPr>
        <w:t xml:space="preserve">Dans la mesure où les entrepreneurs doivent </w:t>
      </w:r>
      <w:r w:rsidR="005A6A5E" w:rsidRPr="00B01850">
        <w:rPr>
          <w:rFonts w:ascii="Arial" w:hAnsi="Arial" w:cs="Arial"/>
        </w:rPr>
        <w:t xml:space="preserve">assurer la sécurité de certains </w:t>
      </w:r>
      <w:r w:rsidR="00551D86" w:rsidRPr="00B01850">
        <w:rPr>
          <w:rFonts w:ascii="Arial" w:hAnsi="Arial" w:cs="Arial"/>
        </w:rPr>
        <w:t xml:space="preserve">sites ou zones d’intervention du </w:t>
      </w:r>
      <w:r w:rsidR="005A6A5E" w:rsidRPr="00B01850">
        <w:rPr>
          <w:rFonts w:ascii="Arial" w:hAnsi="Arial" w:cs="Arial"/>
        </w:rPr>
        <w:t>projet</w:t>
      </w:r>
      <w:r w:rsidR="00551D86" w:rsidRPr="00B01850">
        <w:rPr>
          <w:rFonts w:ascii="Arial" w:hAnsi="Arial" w:cs="Arial"/>
        </w:rPr>
        <w:t xml:space="preserve"> à travers du </w:t>
      </w:r>
      <w:r w:rsidR="005A6A5E" w:rsidRPr="00B01850">
        <w:rPr>
          <w:rFonts w:ascii="Arial" w:hAnsi="Arial" w:cs="Arial"/>
        </w:rPr>
        <w:t>personnel de sécurité</w:t>
      </w:r>
      <w:r w:rsidRPr="00B01850">
        <w:rPr>
          <w:rFonts w:ascii="Arial" w:hAnsi="Arial" w:cs="Arial"/>
        </w:rPr>
        <w:t xml:space="preserve">, </w:t>
      </w:r>
      <w:r w:rsidR="00551D86" w:rsidRPr="00B01850">
        <w:rPr>
          <w:rFonts w:ascii="Arial" w:hAnsi="Arial" w:cs="Arial"/>
        </w:rPr>
        <w:t>ses responsabilités seront les suivantes :</w:t>
      </w:r>
      <w:bookmarkEnd w:id="193"/>
    </w:p>
    <w:p w14:paraId="665F38E8" w14:textId="32CC4A0F"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Engager un ou plusieurs responsables de la sécurité conformément à la clause ;  </w:t>
      </w:r>
    </w:p>
    <w:p w14:paraId="6E17191C" w14:textId="2DE26E18"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Se conformer aux règles et règlements mentionnés dans le présent </w:t>
      </w:r>
      <w:r w:rsidR="00582C99" w:rsidRPr="00B01850">
        <w:rPr>
          <w:rFonts w:ascii="Arial" w:hAnsi="Arial" w:cs="Arial"/>
        </w:rPr>
        <w:t>PGES</w:t>
      </w:r>
      <w:r w:rsidRPr="00B01850">
        <w:rPr>
          <w:rFonts w:ascii="Arial" w:hAnsi="Arial" w:cs="Arial"/>
        </w:rPr>
        <w:t xml:space="preserve">, pratiquer très strictement dans son domaine de travail en consultation avec son ingénieur concerné et le coordonnateur de la sécurité ; </w:t>
      </w:r>
    </w:p>
    <w:p w14:paraId="072B388B" w14:textId="1D3230B0"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Vérifier l'état de santé de tous les ouvriers avant de les engager et périodiquement par la suite, selon les besoins ; </w:t>
      </w:r>
    </w:p>
    <w:p w14:paraId="2024D93B" w14:textId="6B124419" w:rsidR="008F3027" w:rsidRPr="00B01850" w:rsidRDefault="008554BA"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Age minimum de travail : </w:t>
      </w:r>
      <w:r w:rsidR="008F3027" w:rsidRPr="00B01850">
        <w:rPr>
          <w:rFonts w:ascii="Arial" w:hAnsi="Arial" w:cs="Arial"/>
        </w:rPr>
        <w:t>ne doit engager aucun employé âgé de moins de 1</w:t>
      </w:r>
      <w:r w:rsidRPr="00B01850">
        <w:rPr>
          <w:rFonts w:ascii="Arial" w:hAnsi="Arial" w:cs="Arial"/>
        </w:rPr>
        <w:t>6</w:t>
      </w:r>
      <w:r w:rsidR="008F3027" w:rsidRPr="00B01850">
        <w:rPr>
          <w:rFonts w:ascii="Arial" w:hAnsi="Arial" w:cs="Arial"/>
        </w:rPr>
        <w:t xml:space="preserve"> ans ; </w:t>
      </w:r>
    </w:p>
    <w:p w14:paraId="40AE70C5" w14:textId="01B5F360"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Prévoir tous les EP</w:t>
      </w:r>
      <w:r w:rsidR="00F00811" w:rsidRPr="00B01850">
        <w:rPr>
          <w:rFonts w:ascii="Arial" w:hAnsi="Arial" w:cs="Arial"/>
        </w:rPr>
        <w:t xml:space="preserve">I </w:t>
      </w:r>
      <w:r w:rsidR="00621DCC" w:rsidRPr="00B01850">
        <w:rPr>
          <w:rFonts w:ascii="Arial" w:hAnsi="Arial" w:cs="Arial"/>
        </w:rPr>
        <w:t>tels que casques de sécurité, ceintures, harnais intégraux, chaussures, écran facial, gants, etc. pour tous les travailleurs</w:t>
      </w:r>
      <w:r w:rsidRPr="00B01850">
        <w:rPr>
          <w:rFonts w:ascii="Arial" w:hAnsi="Arial" w:cs="Arial"/>
        </w:rPr>
        <w:t xml:space="preserve"> avant de commencer le travail ; </w:t>
      </w:r>
    </w:p>
    <w:p w14:paraId="7F290237" w14:textId="7A062673"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Veiller à ce qu'aucune personne ne soulève, ne porte ou ne déplace aucune charge qui, en raison de son poids, est susceptible de porter atteinte à sa santé ou de compromettre sa sécurité, conformément à la loi sur la sécurité, la santé et le bien-être au travail de la République du </w:t>
      </w:r>
      <w:r w:rsidR="00083181" w:rsidRPr="00B01850">
        <w:rPr>
          <w:rFonts w:ascii="Arial" w:hAnsi="Arial" w:cs="Arial"/>
        </w:rPr>
        <w:t>Guinée</w:t>
      </w:r>
      <w:r w:rsidRPr="00B01850">
        <w:rPr>
          <w:rFonts w:ascii="Arial" w:hAnsi="Arial" w:cs="Arial"/>
        </w:rPr>
        <w:t xml:space="preserve"> ;</w:t>
      </w:r>
    </w:p>
    <w:p w14:paraId="6346F136" w14:textId="77777777"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Doit s'assurer que tous les outils et installations (T&amp;P) engagés sont testés pour l'aptitude physique et ont des certificats valides délivrés par une personne compétente ; </w:t>
      </w:r>
    </w:p>
    <w:p w14:paraId="33A0A0ED" w14:textId="77777777"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Veillera à ce que des dispositions pour le bien-être des employés, telles que cantine, salles de repos/installations de lavage, soient prévues sur le chantier ; </w:t>
      </w:r>
    </w:p>
    <w:p w14:paraId="344A64B0" w14:textId="77777777"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Respecter les instructions édictées dans les procédures de contrôle d'exploitation (OCP) disponibles auprès de la direction du site ; </w:t>
      </w:r>
    </w:p>
    <w:p w14:paraId="25057D72" w14:textId="77777777"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Veillera à ce que toute personne travaillant au-dessus de 2 mètres utilise un harnais de sécurité attaché à une ligne de vie ou à une structure stable ;</w:t>
      </w:r>
    </w:p>
    <w:p w14:paraId="5EAA3928" w14:textId="77777777"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Veillera à ce que les matériaux ne soient pas projetés en hauteur. Précautions à prendre pour éviter la chute de matériaux en hauteur ; </w:t>
      </w:r>
    </w:p>
    <w:p w14:paraId="435F9CF5" w14:textId="6DC1A9C1"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Doit signaler tous les incidents (mortels/majeurs/mineurs/quasi-accidents) à l'ingénieur du site/à l'agent HSE ; </w:t>
      </w:r>
    </w:p>
    <w:p w14:paraId="3550B8B9" w14:textId="5F6BDD36" w:rsidR="008F3027" w:rsidRPr="00B01850" w:rsidRDefault="00507618" w:rsidP="008466C1">
      <w:pPr>
        <w:pStyle w:val="ListParagraph"/>
        <w:numPr>
          <w:ilvl w:val="0"/>
          <w:numId w:val="176"/>
        </w:numPr>
        <w:spacing w:after="0" w:line="240" w:lineRule="auto"/>
        <w:jc w:val="both"/>
        <w:rPr>
          <w:rFonts w:ascii="Arial" w:hAnsi="Arial" w:cs="Arial"/>
        </w:rPr>
      </w:pPr>
      <w:r w:rsidRPr="00B01850">
        <w:rPr>
          <w:rFonts w:ascii="Arial" w:hAnsi="Arial" w:cs="Arial"/>
        </w:rPr>
        <w:lastRenderedPageBreak/>
        <w:t xml:space="preserve">Le travail de nuit est interdit ; </w:t>
      </w:r>
    </w:p>
    <w:p w14:paraId="74CB60A1" w14:textId="77777777"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Veillera à ce que tout le personnel travaillant sous la direction de l'Entrepreneur travaille en toute sécurité et ne crée aucun danger pour lui-même ou pour autrui ; </w:t>
      </w:r>
    </w:p>
    <w:p w14:paraId="3946EF02" w14:textId="2173BE54"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Veillera à l'installation d'une signalisation/d'affiches adéquates sur la santé et la sécurité au travail ; </w:t>
      </w:r>
    </w:p>
    <w:p w14:paraId="714BF691" w14:textId="2EFC8253"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Assurer la réalisation d'audits sur la santé et la sécurité au travail, d'exercices simulés, de camps médicaux, de formations d'initiation et de formation sur la santé et la sécurité au travail sur le site ; </w:t>
      </w:r>
    </w:p>
    <w:p w14:paraId="0A3F0686" w14:textId="72D2F0FB"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S'assure de la pleine coopération lors des audits de SST ;</w:t>
      </w:r>
    </w:p>
    <w:p w14:paraId="2EEA013F" w14:textId="77777777"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Devra veiller à la soumission d'un plan d'anticipation pour l'achat d'équipements HSE et d'EPI conformément au calendrier de travail ; </w:t>
      </w:r>
    </w:p>
    <w:p w14:paraId="623E9B10" w14:textId="77777777"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Doit assurer une bonne tenue administrative ; </w:t>
      </w:r>
    </w:p>
    <w:p w14:paraId="16CF921A" w14:textId="77777777"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S'assurer que des extincteurs adéquats et valides sont fournis sur le lieu de travail ; </w:t>
      </w:r>
    </w:p>
    <w:p w14:paraId="3424A864" w14:textId="77777777"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Assurer la disponibilité d'un nombre suffisant de toilettes/toilettes et d'eau potable adéquate sur le lieu de travail et dans la colonie de travail ; </w:t>
      </w:r>
    </w:p>
    <w:p w14:paraId="7D5CDFF6" w14:textId="77777777"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Doit assurer une préparation adéquate aux situations d'urgence ; </w:t>
      </w:r>
    </w:p>
    <w:p w14:paraId="6F08E630" w14:textId="282071B6"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 xml:space="preserve">Doit être membre du comité de SST du site et assister à toutes les réunions du comité ;  </w:t>
      </w:r>
    </w:p>
    <w:p w14:paraId="4373A929" w14:textId="77777777" w:rsidR="008F3027" w:rsidRPr="00B01850" w:rsidRDefault="008F3027" w:rsidP="008466C1">
      <w:pPr>
        <w:pStyle w:val="ListParagraph"/>
        <w:numPr>
          <w:ilvl w:val="0"/>
          <w:numId w:val="176"/>
        </w:numPr>
        <w:spacing w:after="0" w:line="240" w:lineRule="auto"/>
        <w:jc w:val="both"/>
        <w:rPr>
          <w:rFonts w:ascii="Arial" w:hAnsi="Arial" w:cs="Arial"/>
        </w:rPr>
      </w:pPr>
      <w:r w:rsidRPr="00B01850">
        <w:rPr>
          <w:rFonts w:ascii="Arial" w:hAnsi="Arial" w:cs="Arial"/>
        </w:rPr>
        <w:t>Une clôture temporaire doit être faite pour les bords ouverts si les mains courantes et les protège-pieds ne sont pas disponibles.</w:t>
      </w:r>
    </w:p>
    <w:p w14:paraId="350CE150" w14:textId="2827170E" w:rsidR="008F3027" w:rsidRPr="00B01850" w:rsidRDefault="008F3027" w:rsidP="001564C3">
      <w:pPr>
        <w:spacing w:before="120" w:after="120" w:line="240" w:lineRule="auto"/>
        <w:jc w:val="both"/>
        <w:rPr>
          <w:rFonts w:ascii="Arial" w:hAnsi="Arial" w:cs="Arial"/>
        </w:rPr>
      </w:pPr>
      <w:bookmarkStart w:id="194" w:name="_Hlk132798057"/>
      <w:r w:rsidRPr="00B01850">
        <w:rPr>
          <w:rFonts w:ascii="Arial" w:hAnsi="Arial" w:cs="Arial"/>
        </w:rPr>
        <w:t>Responsable de la santé, de la sécurité et de l'environnement de l'entrepreneur</w:t>
      </w:r>
      <w:bookmarkEnd w:id="194"/>
    </w:p>
    <w:p w14:paraId="4A2C86DD" w14:textId="4DFC824A" w:rsidR="008F3027" w:rsidRPr="00B01850" w:rsidRDefault="008F3027" w:rsidP="00DE536D">
      <w:pPr>
        <w:pStyle w:val="ListParagraph"/>
        <w:numPr>
          <w:ilvl w:val="0"/>
          <w:numId w:val="177"/>
        </w:numPr>
        <w:spacing w:after="0" w:line="240" w:lineRule="auto"/>
        <w:contextualSpacing w:val="0"/>
        <w:jc w:val="both"/>
        <w:rPr>
          <w:rFonts w:ascii="Arial" w:hAnsi="Arial" w:cs="Arial"/>
        </w:rPr>
      </w:pPr>
      <w:r w:rsidRPr="00B01850">
        <w:rPr>
          <w:rFonts w:ascii="Arial" w:hAnsi="Arial" w:cs="Arial"/>
        </w:rPr>
        <w:t xml:space="preserve">Effectuer l'inspection de sécurité de la zone de travail, de la méthode de travail, des hommes, de la machine et du matériel, des processus et des matériaux et autres outils ; </w:t>
      </w:r>
    </w:p>
    <w:p w14:paraId="293EAD18"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 xml:space="preserve">Faciliter l'inclusion d'éléments de sécurité dans l'énoncé des méthodes de travail ; </w:t>
      </w:r>
    </w:p>
    <w:p w14:paraId="64833F45"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Mettre en évidence les exigences de sécurité dans le cadre de discussions sur la boîte à outils et d'autres réunions ;</w:t>
      </w:r>
    </w:p>
    <w:p w14:paraId="1A1F13D5"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 xml:space="preserve">Aider les chefs de section concernés à préparer des instructions spécifiques pour les tâches critiques ; </w:t>
      </w:r>
    </w:p>
    <w:p w14:paraId="35489D15"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 xml:space="preserve">Mener une enquête sur tous les incidents/événements dangereux et recommander des mesures de sécurité appropriées ; </w:t>
      </w:r>
    </w:p>
    <w:p w14:paraId="3DBF0C24"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 xml:space="preserve">Conseiller et coordonner la mise en œuvre des systèmes de permis SSE ; </w:t>
      </w:r>
    </w:p>
    <w:p w14:paraId="65418EED" w14:textId="300C9378"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 xml:space="preserve">Convoquer la réunion du </w:t>
      </w:r>
      <w:r w:rsidR="00C72388" w:rsidRPr="00B01850">
        <w:rPr>
          <w:rFonts w:ascii="Arial" w:hAnsi="Arial" w:cs="Arial"/>
        </w:rPr>
        <w:t>SST</w:t>
      </w:r>
      <w:r w:rsidRPr="00B01850">
        <w:rPr>
          <w:rFonts w:ascii="Arial" w:hAnsi="Arial" w:cs="Arial"/>
        </w:rPr>
        <w:t xml:space="preserve"> et établir le procès-verbal de la procédure pour diffusion et suivi ;</w:t>
      </w:r>
    </w:p>
    <w:p w14:paraId="1F150FBD"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 xml:space="preserve">Planifier l'achat d'EPI et de dispositifs de sécurité et inspecter leur hygiène ; </w:t>
      </w:r>
    </w:p>
    <w:p w14:paraId="06097FE2" w14:textId="27848A02"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Faire rapport au spécialiste de la santé et de la sécurité au travail sur toutes les questions relatives à l'état de sécurité et au programme de promotion au niveau du site ;</w:t>
      </w:r>
    </w:p>
    <w:p w14:paraId="357BB9C0"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 xml:space="preserve">Faciliter l'administration des premiers soins ; </w:t>
      </w:r>
    </w:p>
    <w:p w14:paraId="6691BA83"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 xml:space="preserve">Faciliter le contrôle des ouvriers et l'induction de sécurité ; </w:t>
      </w:r>
    </w:p>
    <w:p w14:paraId="7FAD2387"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 xml:space="preserve">Effectuer des exercices d'incendie et faciliter la préparation aux situations d'urgence ; </w:t>
      </w:r>
    </w:p>
    <w:p w14:paraId="3039007C"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 xml:space="preserve">Concevoir des campagnes, des concours et d'autres programmes spéciaux visant à promouvoir la sécurité sur le lieu de travail ;  </w:t>
      </w:r>
    </w:p>
    <w:p w14:paraId="15D45411"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 xml:space="preserve">Notifier au personnel du site le non-respect des normes de sécurité observées lors des visites de chantier/inspections de chantier ; </w:t>
      </w:r>
    </w:p>
    <w:p w14:paraId="0DA9BA70"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Recommander au Responsable du Chantier, l'arrêt immédiat des travaux jusqu'à la rectification de telles situations nécessitant une action immédiate au vu d'un danger imminent pour la vie, les biens ou l'environnement ;</w:t>
      </w:r>
    </w:p>
    <w:p w14:paraId="43621F3F" w14:textId="77777777" w:rsidR="008F3027" w:rsidRPr="00B01850" w:rsidRDefault="008F3027" w:rsidP="00DE536D">
      <w:pPr>
        <w:pStyle w:val="ListParagraph"/>
        <w:numPr>
          <w:ilvl w:val="0"/>
          <w:numId w:val="177"/>
        </w:numPr>
        <w:spacing w:after="0" w:line="240" w:lineRule="auto"/>
        <w:jc w:val="both"/>
        <w:rPr>
          <w:rFonts w:ascii="Arial" w:hAnsi="Arial" w:cs="Arial"/>
        </w:rPr>
      </w:pPr>
      <w:proofErr w:type="gramStart"/>
      <w:r w:rsidRPr="00B01850">
        <w:rPr>
          <w:rFonts w:ascii="Arial" w:hAnsi="Arial" w:cs="Arial"/>
        </w:rPr>
        <w:t>de</w:t>
      </w:r>
      <w:proofErr w:type="gramEnd"/>
      <w:r w:rsidRPr="00B01850">
        <w:rPr>
          <w:rFonts w:ascii="Arial" w:hAnsi="Arial" w:cs="Arial"/>
        </w:rPr>
        <w:t xml:space="preserve"> refuser l'acceptation de tels EPI / équipements de sécurité qui ne sont pas conformes aux exigences spécifiées ; </w:t>
      </w:r>
    </w:p>
    <w:p w14:paraId="26559572" w14:textId="77777777" w:rsidR="008F3027" w:rsidRPr="00B01850" w:rsidRDefault="008F3027" w:rsidP="00DE536D">
      <w:pPr>
        <w:pStyle w:val="ListParagraph"/>
        <w:numPr>
          <w:ilvl w:val="0"/>
          <w:numId w:val="177"/>
        </w:numPr>
        <w:spacing w:after="0" w:line="240" w:lineRule="auto"/>
        <w:jc w:val="both"/>
        <w:rPr>
          <w:rFonts w:ascii="Arial" w:hAnsi="Arial" w:cs="Arial"/>
        </w:rPr>
      </w:pPr>
      <w:r w:rsidRPr="00B01850">
        <w:rPr>
          <w:rFonts w:ascii="Arial" w:hAnsi="Arial" w:cs="Arial"/>
        </w:rPr>
        <w:t xml:space="preserve">Encouragez la production d'un rapport sur les accidents évités de justesse sur la sécurité ainsi que des initiatives d'amélioration de la sécurité. </w:t>
      </w:r>
    </w:p>
    <w:p w14:paraId="3C52FCEC" w14:textId="77777777" w:rsidR="008F3027" w:rsidRPr="00B01850" w:rsidRDefault="008F3027" w:rsidP="008F3027">
      <w:pPr>
        <w:spacing w:after="0" w:line="240" w:lineRule="auto"/>
        <w:jc w:val="both"/>
        <w:rPr>
          <w:rFonts w:ascii="Arial" w:hAnsi="Arial" w:cs="Arial"/>
        </w:rPr>
      </w:pPr>
    </w:p>
    <w:p w14:paraId="56BDC0A6" w14:textId="460FE620" w:rsidR="008F3027" w:rsidRPr="00B01850" w:rsidRDefault="001564C3" w:rsidP="00214DCC">
      <w:pPr>
        <w:pStyle w:val="ListParagraph"/>
        <w:numPr>
          <w:ilvl w:val="0"/>
          <w:numId w:val="109"/>
        </w:numPr>
        <w:spacing w:before="240" w:after="240" w:line="240" w:lineRule="auto"/>
        <w:contextualSpacing w:val="0"/>
        <w:jc w:val="both"/>
        <w:rPr>
          <w:rFonts w:ascii="Arial" w:hAnsi="Arial" w:cs="Arial"/>
          <w:b/>
          <w:bCs/>
        </w:rPr>
      </w:pPr>
      <w:bookmarkStart w:id="195" w:name="_Hlk132798117"/>
      <w:r w:rsidRPr="00B01850">
        <w:rPr>
          <w:rFonts w:ascii="Arial" w:hAnsi="Arial" w:cs="Arial"/>
          <w:b/>
          <w:bCs/>
        </w:rPr>
        <w:lastRenderedPageBreak/>
        <w:t>Planification par l'entrepreneur</w:t>
      </w:r>
    </w:p>
    <w:bookmarkEnd w:id="195"/>
    <w:p w14:paraId="4894951E" w14:textId="0DBC17A3" w:rsidR="008F3027" w:rsidRPr="00B01850" w:rsidRDefault="008F3027" w:rsidP="008F3027">
      <w:pPr>
        <w:spacing w:after="0" w:line="240" w:lineRule="auto"/>
        <w:jc w:val="both"/>
        <w:rPr>
          <w:rFonts w:ascii="Arial" w:hAnsi="Arial" w:cs="Arial"/>
        </w:rPr>
      </w:pPr>
      <w:r w:rsidRPr="00B01850">
        <w:rPr>
          <w:rFonts w:ascii="Arial" w:hAnsi="Arial" w:cs="Arial"/>
        </w:rPr>
        <w:t>La planification et l'examen mensuels des activités SSE sont effectués conjointement par l'entrepreneur et l'exécutant.</w:t>
      </w:r>
    </w:p>
    <w:p w14:paraId="0729808F" w14:textId="6C7D8ED1" w:rsidR="008F3027" w:rsidRPr="00B01850" w:rsidRDefault="008F3027" w:rsidP="00214DCC">
      <w:pPr>
        <w:pStyle w:val="ListParagraph"/>
        <w:numPr>
          <w:ilvl w:val="0"/>
          <w:numId w:val="121"/>
        </w:numPr>
        <w:spacing w:before="120" w:after="120" w:line="240" w:lineRule="auto"/>
        <w:contextualSpacing w:val="0"/>
        <w:jc w:val="both"/>
        <w:rPr>
          <w:rFonts w:ascii="Arial" w:hAnsi="Arial" w:cs="Arial"/>
        </w:rPr>
      </w:pPr>
      <w:bookmarkStart w:id="196" w:name="_Hlk132798214"/>
      <w:r w:rsidRPr="00B01850">
        <w:rPr>
          <w:rFonts w:ascii="Arial" w:hAnsi="Arial" w:cs="Arial"/>
        </w:rPr>
        <w:t>Mobilisation des machines/équipements/outils par l'entrepreneur</w:t>
      </w:r>
      <w:bookmarkEnd w:id="196"/>
    </w:p>
    <w:p w14:paraId="5E35AD90" w14:textId="48620AA1" w:rsidR="008F3027" w:rsidRPr="00B01850" w:rsidRDefault="008F3027" w:rsidP="008F3027">
      <w:pPr>
        <w:spacing w:after="0" w:line="240" w:lineRule="auto"/>
        <w:jc w:val="both"/>
        <w:rPr>
          <w:rFonts w:ascii="Arial" w:hAnsi="Arial" w:cs="Arial"/>
        </w:rPr>
      </w:pPr>
      <w:r w:rsidRPr="00B01850">
        <w:rPr>
          <w:rFonts w:ascii="Arial" w:hAnsi="Arial" w:cs="Arial"/>
        </w:rPr>
        <w:t xml:space="preserve">Afin de s'assurer que les machines, équipements et outils fournis au fournisseur ou au consultant sont adaptés à l'usage prévu, qu'ils sont maintenus en bon état de fonctionnement et qu'ils sont conformes aux dispositions législatives et aux exigences du propriétaire, l'autorité compétente interne organise la réception, le cas échéant. </w:t>
      </w:r>
    </w:p>
    <w:p w14:paraId="1063D387" w14:textId="6F4C1887" w:rsidR="008F3027" w:rsidRPr="00B01850" w:rsidRDefault="008F3027" w:rsidP="00214DCC">
      <w:pPr>
        <w:pStyle w:val="ListParagraph"/>
        <w:numPr>
          <w:ilvl w:val="0"/>
          <w:numId w:val="121"/>
        </w:numPr>
        <w:spacing w:before="120" w:after="120" w:line="240" w:lineRule="auto"/>
        <w:contextualSpacing w:val="0"/>
        <w:jc w:val="both"/>
        <w:rPr>
          <w:rFonts w:ascii="Arial" w:hAnsi="Arial" w:cs="Arial"/>
        </w:rPr>
      </w:pPr>
      <w:r w:rsidRPr="00B01850">
        <w:rPr>
          <w:rFonts w:ascii="Arial" w:hAnsi="Arial" w:cs="Arial"/>
        </w:rPr>
        <w:t>Mobilisation des ressources humaines par l'Entrepreneur</w:t>
      </w:r>
    </w:p>
    <w:p w14:paraId="60B68D80" w14:textId="7444B45F" w:rsidR="008F3027" w:rsidRPr="00B01850" w:rsidRDefault="008F3027" w:rsidP="00214DCC">
      <w:pPr>
        <w:pStyle w:val="ListParagraph"/>
        <w:numPr>
          <w:ilvl w:val="0"/>
          <w:numId w:val="18"/>
        </w:numPr>
        <w:spacing w:after="0" w:line="240" w:lineRule="auto"/>
        <w:jc w:val="both"/>
        <w:rPr>
          <w:rFonts w:ascii="Arial" w:hAnsi="Arial" w:cs="Arial"/>
        </w:rPr>
      </w:pPr>
      <w:r w:rsidRPr="00B01850">
        <w:rPr>
          <w:rFonts w:ascii="Arial" w:hAnsi="Arial" w:cs="Arial"/>
        </w:rPr>
        <w:t xml:space="preserve">L'Entrepreneur organisera l'initiation et le contrôle de santé régulier de ses employés conformément à l'exigence de la Loi sur la santé et la sécurité au travail.  </w:t>
      </w:r>
    </w:p>
    <w:p w14:paraId="565F4ED3" w14:textId="77777777" w:rsidR="008F3027" w:rsidRPr="00B01850" w:rsidRDefault="008F3027" w:rsidP="00214DCC">
      <w:pPr>
        <w:pStyle w:val="ListParagraph"/>
        <w:numPr>
          <w:ilvl w:val="0"/>
          <w:numId w:val="18"/>
        </w:numPr>
        <w:spacing w:after="0" w:line="240" w:lineRule="auto"/>
        <w:jc w:val="both"/>
        <w:rPr>
          <w:rFonts w:ascii="Arial" w:hAnsi="Arial" w:cs="Arial"/>
        </w:rPr>
      </w:pPr>
      <w:r w:rsidRPr="00B01850">
        <w:rPr>
          <w:rFonts w:ascii="Arial" w:hAnsi="Arial" w:cs="Arial"/>
        </w:rPr>
        <w:t xml:space="preserve">L'Entrepreneur s'occupe tout particulièrement des employés atteints de maladies professionnelles. Les employés qui ne satisfont pas à l'exigence d'aptitude physique ne devraient pas être engagés pour un tel travail. </w:t>
      </w:r>
    </w:p>
    <w:p w14:paraId="215FE100" w14:textId="77777777" w:rsidR="008F3027" w:rsidRPr="00B01850" w:rsidRDefault="008F3027" w:rsidP="00214DCC">
      <w:pPr>
        <w:pStyle w:val="ListParagraph"/>
        <w:numPr>
          <w:ilvl w:val="0"/>
          <w:numId w:val="18"/>
        </w:numPr>
        <w:spacing w:after="0" w:line="240" w:lineRule="auto"/>
        <w:jc w:val="both"/>
        <w:rPr>
          <w:rFonts w:ascii="Arial" w:hAnsi="Arial" w:cs="Arial"/>
        </w:rPr>
      </w:pPr>
      <w:r w:rsidRPr="00B01850">
        <w:rPr>
          <w:rFonts w:ascii="Arial" w:hAnsi="Arial" w:cs="Arial"/>
        </w:rPr>
        <w:t xml:space="preserve">Veiller à ce que les exigences réglementaires relatives à la limite de poids excessif (transporter/soulever/déplacer des poids au-delà des limites prescrites) pour les travailleurs masculins et féminins soient respectées. </w:t>
      </w:r>
    </w:p>
    <w:p w14:paraId="76478980" w14:textId="77777777" w:rsidR="008F3027" w:rsidRPr="00B01850" w:rsidRDefault="008F3027" w:rsidP="00214DCC">
      <w:pPr>
        <w:pStyle w:val="ListParagraph"/>
        <w:numPr>
          <w:ilvl w:val="0"/>
          <w:numId w:val="18"/>
        </w:numPr>
        <w:spacing w:after="0" w:line="240" w:lineRule="auto"/>
        <w:jc w:val="both"/>
        <w:rPr>
          <w:rFonts w:ascii="Arial" w:hAnsi="Arial" w:cs="Arial"/>
        </w:rPr>
      </w:pPr>
      <w:r w:rsidRPr="00B01850">
        <w:rPr>
          <w:rFonts w:ascii="Arial" w:hAnsi="Arial" w:cs="Arial"/>
        </w:rPr>
        <w:t>Des aménagements appropriés doivent être organisés pour tous les ouvriers en état d'hygiène.</w:t>
      </w:r>
    </w:p>
    <w:p w14:paraId="3172DECC" w14:textId="00D4B815" w:rsidR="008F3027" w:rsidRPr="00B01850" w:rsidRDefault="00320FE2" w:rsidP="00214DCC">
      <w:pPr>
        <w:pStyle w:val="ListParagraph"/>
        <w:numPr>
          <w:ilvl w:val="0"/>
          <w:numId w:val="110"/>
        </w:numPr>
        <w:spacing w:before="240" w:after="240" w:line="240" w:lineRule="auto"/>
        <w:contextualSpacing w:val="0"/>
        <w:jc w:val="both"/>
        <w:rPr>
          <w:rFonts w:ascii="Arial" w:hAnsi="Arial" w:cs="Arial"/>
          <w:b/>
          <w:bCs/>
        </w:rPr>
      </w:pPr>
      <w:r w:rsidRPr="00B01850">
        <w:rPr>
          <w:rFonts w:ascii="Arial" w:hAnsi="Arial" w:cs="Arial"/>
          <w:b/>
          <w:bCs/>
        </w:rPr>
        <w:t>Fourniture d'EPI</w:t>
      </w:r>
    </w:p>
    <w:p w14:paraId="08394CA7" w14:textId="05E66462" w:rsidR="008F3027" w:rsidRPr="00B01850" w:rsidRDefault="008F3027" w:rsidP="008F3027">
      <w:pPr>
        <w:spacing w:after="0" w:line="240" w:lineRule="auto"/>
        <w:jc w:val="both"/>
        <w:rPr>
          <w:rFonts w:ascii="Arial" w:hAnsi="Arial" w:cs="Arial"/>
        </w:rPr>
      </w:pPr>
      <w:r w:rsidRPr="00B01850">
        <w:rPr>
          <w:rFonts w:ascii="Arial" w:hAnsi="Arial" w:cs="Arial"/>
        </w:rPr>
        <w:t xml:space="preserve">Des équipements de protection individuelle (EPI), en nombre suffisant, seront mis à disposition sur le site et leur utilisation régulière par toutes les personnes concernées sera assurée. </w:t>
      </w:r>
    </w:p>
    <w:p w14:paraId="22EC5290" w14:textId="6BCAB408" w:rsidR="008F3027" w:rsidRPr="00B01850" w:rsidRDefault="008F3027" w:rsidP="002436F9">
      <w:pPr>
        <w:pStyle w:val="ListParagraph"/>
        <w:numPr>
          <w:ilvl w:val="0"/>
          <w:numId w:val="178"/>
        </w:numPr>
        <w:spacing w:after="0" w:line="240" w:lineRule="auto"/>
        <w:jc w:val="both"/>
        <w:rPr>
          <w:rFonts w:ascii="Arial" w:hAnsi="Arial" w:cs="Arial"/>
        </w:rPr>
      </w:pPr>
      <w:r w:rsidRPr="00B01850">
        <w:rPr>
          <w:rFonts w:ascii="Arial" w:hAnsi="Arial" w:cs="Arial"/>
        </w:rPr>
        <w:t xml:space="preserve">La qualité de tous les EPI </w:t>
      </w:r>
      <w:proofErr w:type="gramStart"/>
      <w:r w:rsidRPr="00B01850">
        <w:rPr>
          <w:rFonts w:ascii="Arial" w:hAnsi="Arial" w:cs="Arial"/>
        </w:rPr>
        <w:t>devra</w:t>
      </w:r>
      <w:proofErr w:type="gramEnd"/>
      <w:r w:rsidRPr="00B01850">
        <w:rPr>
          <w:rFonts w:ascii="Arial" w:hAnsi="Arial" w:cs="Arial"/>
        </w:rPr>
        <w:t xml:space="preserve"> être vérifiée avant d'être distribuée et périodiquement. Il est conseillé aux utilisateurs de vérifier eux-mêmes les EPI pour détecter tout défaut avant de les enfiler. Les défectueuses doivent être réparées/remplacées. </w:t>
      </w:r>
    </w:p>
    <w:p w14:paraId="5F28306F" w14:textId="77777777" w:rsidR="008F3027" w:rsidRPr="00B01850" w:rsidRDefault="008F3027" w:rsidP="002436F9">
      <w:pPr>
        <w:pStyle w:val="ListParagraph"/>
        <w:numPr>
          <w:ilvl w:val="0"/>
          <w:numId w:val="178"/>
        </w:numPr>
        <w:spacing w:after="0" w:line="240" w:lineRule="auto"/>
        <w:jc w:val="both"/>
        <w:rPr>
          <w:rFonts w:ascii="Arial" w:hAnsi="Arial" w:cs="Arial"/>
        </w:rPr>
      </w:pPr>
      <w:r w:rsidRPr="00B01850">
        <w:rPr>
          <w:rFonts w:ascii="Arial" w:hAnsi="Arial" w:cs="Arial"/>
        </w:rPr>
        <w:t>L'organisme émetteur tient un registre pour la délivrance et la réception des EPI.</w:t>
      </w:r>
    </w:p>
    <w:p w14:paraId="23D6EF2A" w14:textId="77777777" w:rsidR="008F3027" w:rsidRPr="00B01850" w:rsidRDefault="008F3027" w:rsidP="002436F9">
      <w:pPr>
        <w:pStyle w:val="ListParagraph"/>
        <w:numPr>
          <w:ilvl w:val="0"/>
          <w:numId w:val="178"/>
        </w:numPr>
        <w:spacing w:after="0" w:line="240" w:lineRule="auto"/>
        <w:jc w:val="both"/>
        <w:rPr>
          <w:rFonts w:ascii="Arial" w:hAnsi="Arial" w:cs="Arial"/>
        </w:rPr>
      </w:pPr>
      <w:r w:rsidRPr="00B01850">
        <w:rPr>
          <w:rFonts w:ascii="Arial" w:hAnsi="Arial" w:cs="Arial"/>
        </w:rPr>
        <w:t xml:space="preserve">Le logo ou le nom des casques (abréviation du nom de l'agence autorisée) doit être apposé ou imprimé sur le devant. </w:t>
      </w:r>
    </w:p>
    <w:p w14:paraId="6645877A" w14:textId="7FCF9754" w:rsidR="008F3027" w:rsidRPr="00B01850" w:rsidRDefault="008F3027" w:rsidP="00214DCC">
      <w:pPr>
        <w:pStyle w:val="ListParagraph"/>
        <w:numPr>
          <w:ilvl w:val="0"/>
          <w:numId w:val="112"/>
        </w:numPr>
        <w:spacing w:before="240" w:after="240" w:line="240" w:lineRule="auto"/>
        <w:contextualSpacing w:val="0"/>
        <w:jc w:val="both"/>
        <w:rPr>
          <w:rFonts w:ascii="Arial" w:hAnsi="Arial" w:cs="Arial"/>
          <w:b/>
          <w:bCs/>
        </w:rPr>
      </w:pPr>
      <w:r w:rsidRPr="00B01850">
        <w:rPr>
          <w:rFonts w:ascii="Arial" w:hAnsi="Arial" w:cs="Arial"/>
          <w:b/>
          <w:bCs/>
        </w:rPr>
        <w:t>Aménagement des infrastructures</w:t>
      </w:r>
    </w:p>
    <w:p w14:paraId="3B53DBB2" w14:textId="397EF69C" w:rsidR="00C92188" w:rsidRPr="00B01850" w:rsidRDefault="00C92188" w:rsidP="00C92188">
      <w:pPr>
        <w:spacing w:after="0" w:line="240" w:lineRule="auto"/>
        <w:jc w:val="both"/>
        <w:rPr>
          <w:rFonts w:ascii="Arial" w:hAnsi="Arial" w:cs="Arial"/>
        </w:rPr>
      </w:pPr>
      <w:r w:rsidRPr="00B01850">
        <w:rPr>
          <w:rFonts w:ascii="Arial" w:hAnsi="Arial" w:cs="Arial"/>
        </w:rPr>
        <w:t xml:space="preserve">Pour une sécurité adéquate des travailleurs durant la mise en œuvre des activités du CERP, les aménagements et infrastructures suivantes doivent être disponibles :   </w:t>
      </w:r>
    </w:p>
    <w:p w14:paraId="146B3089" w14:textId="0B9FDDA1" w:rsidR="008F3027" w:rsidRPr="00B01850" w:rsidRDefault="008F3027" w:rsidP="00214DCC">
      <w:pPr>
        <w:pStyle w:val="ListParagraph"/>
        <w:numPr>
          <w:ilvl w:val="0"/>
          <w:numId w:val="111"/>
        </w:numPr>
        <w:spacing w:after="0" w:line="240" w:lineRule="auto"/>
        <w:contextualSpacing w:val="0"/>
        <w:jc w:val="both"/>
        <w:rPr>
          <w:rFonts w:ascii="Arial" w:hAnsi="Arial" w:cs="Arial"/>
        </w:rPr>
      </w:pPr>
      <w:bookmarkStart w:id="197" w:name="_Hlk132798404"/>
      <w:r w:rsidRPr="00B01850">
        <w:rPr>
          <w:rFonts w:ascii="Arial" w:hAnsi="Arial" w:cs="Arial"/>
        </w:rPr>
        <w:t>Eau potable</w:t>
      </w:r>
      <w:r w:rsidR="00C92188" w:rsidRPr="00B01850">
        <w:rPr>
          <w:rFonts w:ascii="Arial" w:hAnsi="Arial" w:cs="Arial"/>
        </w:rPr>
        <w:t> ;</w:t>
      </w:r>
    </w:p>
    <w:p w14:paraId="30C23EAD" w14:textId="7AB148F5" w:rsidR="008F3027" w:rsidRPr="00B01850" w:rsidRDefault="008F3027" w:rsidP="00214DCC">
      <w:pPr>
        <w:pStyle w:val="ListParagraph"/>
        <w:numPr>
          <w:ilvl w:val="0"/>
          <w:numId w:val="111"/>
        </w:numPr>
        <w:spacing w:after="0" w:line="240" w:lineRule="auto"/>
        <w:contextualSpacing w:val="0"/>
        <w:jc w:val="both"/>
        <w:rPr>
          <w:rFonts w:ascii="Arial" w:hAnsi="Arial" w:cs="Arial"/>
        </w:rPr>
      </w:pPr>
      <w:bookmarkStart w:id="198" w:name="_Hlk132798443"/>
      <w:bookmarkEnd w:id="197"/>
      <w:r w:rsidRPr="00B01850">
        <w:rPr>
          <w:rFonts w:ascii="Arial" w:hAnsi="Arial" w:cs="Arial"/>
        </w:rPr>
        <w:t>Installations sanitaires</w:t>
      </w:r>
      <w:bookmarkEnd w:id="198"/>
      <w:r w:rsidR="00C92188" w:rsidRPr="00B01850">
        <w:rPr>
          <w:rFonts w:ascii="Arial" w:hAnsi="Arial" w:cs="Arial"/>
        </w:rPr>
        <w:t> ;</w:t>
      </w:r>
    </w:p>
    <w:p w14:paraId="7E2D9D0B" w14:textId="4AD8FAE6" w:rsidR="008F3027" w:rsidRPr="00B01850" w:rsidRDefault="008F3027" w:rsidP="00214DCC">
      <w:pPr>
        <w:pStyle w:val="ListParagraph"/>
        <w:numPr>
          <w:ilvl w:val="0"/>
          <w:numId w:val="111"/>
        </w:numPr>
        <w:spacing w:after="0" w:line="240" w:lineRule="auto"/>
        <w:contextualSpacing w:val="0"/>
        <w:jc w:val="both"/>
        <w:rPr>
          <w:rFonts w:ascii="Arial" w:hAnsi="Arial" w:cs="Arial"/>
        </w:rPr>
      </w:pPr>
      <w:r w:rsidRPr="00B01850">
        <w:rPr>
          <w:rFonts w:ascii="Arial" w:hAnsi="Arial" w:cs="Arial"/>
        </w:rPr>
        <w:t>Latrines et urinoirs</w:t>
      </w:r>
      <w:r w:rsidR="00C92188" w:rsidRPr="00B01850">
        <w:rPr>
          <w:rFonts w:ascii="Arial" w:hAnsi="Arial" w:cs="Arial"/>
        </w:rPr>
        <w:t> ;</w:t>
      </w:r>
    </w:p>
    <w:p w14:paraId="513B0014" w14:textId="7A3B42A4" w:rsidR="008F3027" w:rsidRPr="00B01850" w:rsidRDefault="00320FE2" w:rsidP="00214DCC">
      <w:pPr>
        <w:pStyle w:val="ListParagraph"/>
        <w:numPr>
          <w:ilvl w:val="0"/>
          <w:numId w:val="111"/>
        </w:numPr>
        <w:spacing w:after="0" w:line="240" w:lineRule="auto"/>
        <w:contextualSpacing w:val="0"/>
        <w:jc w:val="both"/>
        <w:rPr>
          <w:rFonts w:ascii="Arial" w:hAnsi="Arial" w:cs="Arial"/>
        </w:rPr>
      </w:pPr>
      <w:r w:rsidRPr="00B01850">
        <w:rPr>
          <w:rFonts w:ascii="Arial" w:hAnsi="Arial" w:cs="Arial"/>
        </w:rPr>
        <w:t>Fourniture d'un abri pendant le repos</w:t>
      </w:r>
      <w:r w:rsidR="00C92188" w:rsidRPr="00B01850">
        <w:rPr>
          <w:rFonts w:ascii="Arial" w:hAnsi="Arial" w:cs="Arial"/>
        </w:rPr>
        <w:t> ;</w:t>
      </w:r>
    </w:p>
    <w:p w14:paraId="6C9BFFA9" w14:textId="32287765" w:rsidR="00320FE2" w:rsidRPr="00B01850" w:rsidRDefault="008F3027" w:rsidP="00214DCC">
      <w:pPr>
        <w:pStyle w:val="ListParagraph"/>
        <w:numPr>
          <w:ilvl w:val="0"/>
          <w:numId w:val="114"/>
        </w:numPr>
        <w:spacing w:after="0" w:line="240" w:lineRule="auto"/>
        <w:contextualSpacing w:val="0"/>
        <w:jc w:val="both"/>
        <w:rPr>
          <w:rFonts w:ascii="Arial" w:hAnsi="Arial" w:cs="Arial"/>
        </w:rPr>
      </w:pPr>
      <w:r w:rsidRPr="00B01850">
        <w:rPr>
          <w:rFonts w:ascii="Arial" w:hAnsi="Arial" w:cs="Arial"/>
        </w:rPr>
        <w:t>Formations médicales</w:t>
      </w:r>
      <w:r w:rsidR="00C92188" w:rsidRPr="00B01850">
        <w:rPr>
          <w:rFonts w:ascii="Arial" w:hAnsi="Arial" w:cs="Arial"/>
        </w:rPr>
        <w:t xml:space="preserve"> et t</w:t>
      </w:r>
      <w:r w:rsidRPr="00B01850">
        <w:rPr>
          <w:rFonts w:ascii="Arial" w:hAnsi="Arial" w:cs="Arial"/>
        </w:rPr>
        <w:t>rousse de premiers soins</w:t>
      </w:r>
      <w:r w:rsidR="00C92188" w:rsidRPr="00B01850">
        <w:rPr>
          <w:rFonts w:ascii="Arial" w:hAnsi="Arial" w:cs="Arial"/>
        </w:rPr>
        <w:t> ;</w:t>
      </w:r>
    </w:p>
    <w:p w14:paraId="64491E27" w14:textId="0C8D142A" w:rsidR="008F3027" w:rsidRPr="00B01850" w:rsidRDefault="008F3027" w:rsidP="00214DCC">
      <w:pPr>
        <w:pStyle w:val="ListParagraph"/>
        <w:numPr>
          <w:ilvl w:val="0"/>
          <w:numId w:val="114"/>
        </w:numPr>
        <w:spacing w:after="0" w:line="240" w:lineRule="auto"/>
        <w:contextualSpacing w:val="0"/>
        <w:jc w:val="both"/>
        <w:rPr>
          <w:rFonts w:ascii="Arial" w:hAnsi="Arial" w:cs="Arial"/>
        </w:rPr>
      </w:pPr>
      <w:r w:rsidRPr="00B01850">
        <w:rPr>
          <w:rFonts w:ascii="Arial" w:hAnsi="Arial" w:cs="Arial"/>
        </w:rPr>
        <w:t>Bilan de santé</w:t>
      </w:r>
      <w:r w:rsidR="00C92188" w:rsidRPr="00B01850">
        <w:rPr>
          <w:rFonts w:ascii="Arial" w:hAnsi="Arial" w:cs="Arial"/>
        </w:rPr>
        <w:t xml:space="preserve"> (avant l’induction) ;</w:t>
      </w:r>
      <w:r w:rsidRPr="00B01850">
        <w:rPr>
          <w:rFonts w:ascii="Arial" w:hAnsi="Arial" w:cs="Arial"/>
        </w:rPr>
        <w:t xml:space="preserve"> </w:t>
      </w:r>
    </w:p>
    <w:p w14:paraId="3DDD01C7" w14:textId="7E017BAF" w:rsidR="008F3027" w:rsidRPr="00B01850" w:rsidRDefault="008F3027" w:rsidP="00214DCC">
      <w:pPr>
        <w:pStyle w:val="ListParagraph"/>
        <w:numPr>
          <w:ilvl w:val="0"/>
          <w:numId w:val="114"/>
        </w:numPr>
        <w:spacing w:after="0" w:line="240" w:lineRule="auto"/>
        <w:contextualSpacing w:val="0"/>
        <w:jc w:val="both"/>
        <w:rPr>
          <w:rFonts w:ascii="Arial" w:hAnsi="Arial" w:cs="Arial"/>
        </w:rPr>
      </w:pPr>
      <w:r w:rsidRPr="00B01850">
        <w:rPr>
          <w:rFonts w:ascii="Arial" w:hAnsi="Arial" w:cs="Arial"/>
        </w:rPr>
        <w:t>Fourniture d'une cantine</w:t>
      </w:r>
      <w:r w:rsidR="00C92188" w:rsidRPr="00B01850">
        <w:rPr>
          <w:rFonts w:ascii="Arial" w:hAnsi="Arial" w:cs="Arial"/>
        </w:rPr>
        <w:t> ;</w:t>
      </w:r>
    </w:p>
    <w:p w14:paraId="78081D31" w14:textId="18A1F78E" w:rsidR="00C92188" w:rsidRPr="00B01850" w:rsidRDefault="008F3027" w:rsidP="00214DCC">
      <w:pPr>
        <w:pStyle w:val="ListParagraph"/>
        <w:numPr>
          <w:ilvl w:val="0"/>
          <w:numId w:val="114"/>
        </w:numPr>
        <w:spacing w:after="0" w:line="240" w:lineRule="auto"/>
        <w:contextualSpacing w:val="0"/>
        <w:jc w:val="both"/>
        <w:rPr>
          <w:rFonts w:ascii="Arial" w:hAnsi="Arial" w:cs="Arial"/>
        </w:rPr>
      </w:pPr>
      <w:r w:rsidRPr="00B01850">
        <w:rPr>
          <w:rFonts w:ascii="Arial" w:hAnsi="Arial" w:cs="Arial"/>
        </w:rPr>
        <w:t>Fourniture d'un véhicule d'urgence</w:t>
      </w:r>
      <w:r w:rsidR="00C92188" w:rsidRPr="00B01850">
        <w:rPr>
          <w:rFonts w:ascii="Arial" w:hAnsi="Arial" w:cs="Arial"/>
        </w:rPr>
        <w:t> ;</w:t>
      </w:r>
    </w:p>
    <w:p w14:paraId="75FA308F" w14:textId="36BEE382" w:rsidR="008F3027" w:rsidRPr="00B01850" w:rsidRDefault="008F3027" w:rsidP="00214DCC">
      <w:pPr>
        <w:pStyle w:val="ListParagraph"/>
        <w:numPr>
          <w:ilvl w:val="0"/>
          <w:numId w:val="114"/>
        </w:numPr>
        <w:spacing w:after="0" w:line="240" w:lineRule="auto"/>
        <w:contextualSpacing w:val="0"/>
        <w:jc w:val="both"/>
        <w:rPr>
          <w:rFonts w:ascii="Arial" w:hAnsi="Arial" w:cs="Arial"/>
        </w:rPr>
      </w:pPr>
      <w:r w:rsidRPr="00B01850">
        <w:rPr>
          <w:rFonts w:ascii="Arial" w:hAnsi="Arial" w:cs="Arial"/>
        </w:rPr>
        <w:t>Antiparasitaire</w:t>
      </w:r>
      <w:r w:rsidR="00C92188" w:rsidRPr="00B01850">
        <w:rPr>
          <w:rFonts w:ascii="Arial" w:hAnsi="Arial" w:cs="Arial"/>
        </w:rPr>
        <w:t> ;</w:t>
      </w:r>
    </w:p>
    <w:p w14:paraId="39A011BA" w14:textId="0936D61A" w:rsidR="008F3027" w:rsidRPr="00B01850" w:rsidRDefault="008F3027" w:rsidP="00214DCC">
      <w:pPr>
        <w:pStyle w:val="ListParagraph"/>
        <w:numPr>
          <w:ilvl w:val="0"/>
          <w:numId w:val="114"/>
        </w:numPr>
        <w:spacing w:after="0" w:line="240" w:lineRule="auto"/>
        <w:contextualSpacing w:val="0"/>
        <w:jc w:val="both"/>
        <w:rPr>
          <w:rFonts w:ascii="Arial" w:hAnsi="Arial" w:cs="Arial"/>
        </w:rPr>
      </w:pPr>
      <w:bookmarkStart w:id="199" w:name="_Hlk132799108"/>
      <w:r w:rsidRPr="00B01850">
        <w:rPr>
          <w:rFonts w:ascii="Arial" w:hAnsi="Arial" w:cs="Arial"/>
        </w:rPr>
        <w:t>Casse</w:t>
      </w:r>
      <w:r w:rsidR="00C92188" w:rsidRPr="00B01850">
        <w:rPr>
          <w:rFonts w:ascii="Arial" w:hAnsi="Arial" w:cs="Arial"/>
        </w:rPr>
        <w:t> ;</w:t>
      </w:r>
    </w:p>
    <w:p w14:paraId="5C80E693" w14:textId="78ECF172" w:rsidR="008F3027" w:rsidRPr="00B01850" w:rsidRDefault="008F3027" w:rsidP="00214DCC">
      <w:pPr>
        <w:pStyle w:val="ListParagraph"/>
        <w:numPr>
          <w:ilvl w:val="0"/>
          <w:numId w:val="114"/>
        </w:numPr>
        <w:spacing w:after="0" w:line="240" w:lineRule="auto"/>
        <w:contextualSpacing w:val="0"/>
        <w:jc w:val="both"/>
        <w:rPr>
          <w:rFonts w:ascii="Arial" w:hAnsi="Arial" w:cs="Arial"/>
        </w:rPr>
      </w:pPr>
      <w:bookmarkStart w:id="200" w:name="_Hlk132799139"/>
      <w:bookmarkEnd w:id="199"/>
      <w:r w:rsidRPr="00B01850">
        <w:rPr>
          <w:rFonts w:ascii="Arial" w:hAnsi="Arial" w:cs="Arial"/>
        </w:rPr>
        <w:t>Illumination</w:t>
      </w:r>
      <w:r w:rsidR="00C92188" w:rsidRPr="00B01850">
        <w:rPr>
          <w:rFonts w:ascii="Arial" w:hAnsi="Arial" w:cs="Arial"/>
        </w:rPr>
        <w:t xml:space="preserve"> des sites d’intervention.</w:t>
      </w:r>
    </w:p>
    <w:bookmarkEnd w:id="200"/>
    <w:p w14:paraId="39701AB3" w14:textId="77777777" w:rsidR="003F4586" w:rsidRDefault="003F4586">
      <w:pPr>
        <w:rPr>
          <w:rFonts w:ascii="Arial" w:hAnsi="Arial" w:cs="Arial"/>
          <w:b/>
          <w:bCs/>
        </w:rPr>
      </w:pPr>
      <w:r>
        <w:rPr>
          <w:rFonts w:ascii="Arial" w:hAnsi="Arial" w:cs="Arial"/>
          <w:b/>
          <w:bCs/>
        </w:rPr>
        <w:br w:type="page"/>
      </w:r>
    </w:p>
    <w:p w14:paraId="28866D5B" w14:textId="6671DE75" w:rsidR="00185E1A" w:rsidRPr="00B01850" w:rsidRDefault="00183A78" w:rsidP="00214DCC">
      <w:pPr>
        <w:pStyle w:val="ListParagraph"/>
        <w:numPr>
          <w:ilvl w:val="0"/>
          <w:numId w:val="113"/>
        </w:numPr>
        <w:spacing w:before="120" w:after="120" w:line="240" w:lineRule="auto"/>
        <w:contextualSpacing w:val="0"/>
        <w:jc w:val="both"/>
        <w:rPr>
          <w:rFonts w:ascii="Arial" w:hAnsi="Arial" w:cs="Arial"/>
          <w:b/>
          <w:bCs/>
        </w:rPr>
      </w:pPr>
      <w:r w:rsidRPr="00B01850">
        <w:rPr>
          <w:rFonts w:ascii="Arial" w:hAnsi="Arial" w:cs="Arial"/>
          <w:b/>
          <w:bCs/>
        </w:rPr>
        <w:t>Sensibilisation</w:t>
      </w:r>
      <w:r w:rsidR="00551864" w:rsidRPr="00B01850">
        <w:rPr>
          <w:rFonts w:ascii="Arial" w:hAnsi="Arial" w:cs="Arial"/>
          <w:b/>
          <w:bCs/>
        </w:rPr>
        <w:t xml:space="preserve">, </w:t>
      </w:r>
      <w:r w:rsidRPr="00B01850">
        <w:rPr>
          <w:rFonts w:ascii="Arial" w:hAnsi="Arial" w:cs="Arial"/>
          <w:b/>
          <w:bCs/>
        </w:rPr>
        <w:t xml:space="preserve">formation </w:t>
      </w:r>
      <w:r w:rsidR="00551864" w:rsidRPr="00B01850">
        <w:rPr>
          <w:rFonts w:ascii="Arial" w:hAnsi="Arial" w:cs="Arial"/>
          <w:b/>
          <w:bCs/>
        </w:rPr>
        <w:t>et renforcement de capacités SST</w:t>
      </w:r>
    </w:p>
    <w:p w14:paraId="418466E1" w14:textId="5EA50323" w:rsidR="008F3027" w:rsidRPr="00B01850" w:rsidRDefault="00185E1A" w:rsidP="00185E1A">
      <w:pPr>
        <w:spacing w:before="120" w:after="120" w:line="240" w:lineRule="auto"/>
        <w:jc w:val="both"/>
        <w:rPr>
          <w:rFonts w:ascii="Arial" w:hAnsi="Arial" w:cs="Arial"/>
          <w:b/>
          <w:bCs/>
        </w:rPr>
      </w:pPr>
      <w:r w:rsidRPr="00B01850">
        <w:rPr>
          <w:rFonts w:ascii="Arial" w:hAnsi="Arial" w:cs="Arial"/>
        </w:rPr>
        <w:lastRenderedPageBreak/>
        <w:t>Des spécialistes en santé sécurité au travail doivent intervenir aussi auprès de l’UGP que des entreprises partenaires du projet.</w:t>
      </w:r>
    </w:p>
    <w:p w14:paraId="7C403603" w14:textId="5D91E9B5" w:rsidR="008F3027" w:rsidRPr="00B01850" w:rsidRDefault="00185E1A" w:rsidP="00185E1A">
      <w:pPr>
        <w:spacing w:after="0" w:line="240" w:lineRule="auto"/>
        <w:jc w:val="both"/>
        <w:rPr>
          <w:rFonts w:ascii="Arial" w:hAnsi="Arial" w:cs="Arial"/>
          <w:b/>
          <w:bCs/>
        </w:rPr>
      </w:pPr>
      <w:r w:rsidRPr="00B01850">
        <w:rPr>
          <w:rFonts w:ascii="Arial" w:hAnsi="Arial" w:cs="Arial"/>
        </w:rPr>
        <w:t>Ces derniers soutiendront le dispositif de formations et de renforcement de capacités en matière de SST des organismes de mise en œuvre du CERP et de l’UGP du NAFA PRU-APN (</w:t>
      </w:r>
      <w:r w:rsidRPr="009A48E2">
        <w:rPr>
          <w:rFonts w:ascii="Arial" w:hAnsi="Arial" w:cs="Arial"/>
        </w:rPr>
        <w:t>P168777)</w:t>
      </w:r>
      <w:r w:rsidRPr="00B01850">
        <w:rPr>
          <w:rFonts w:ascii="Arial" w:hAnsi="Arial" w:cs="Arial"/>
        </w:rPr>
        <w:t>. Ces formations pourraient être des formations initiales mais aussi des renforcements de capacités pour les employés disposant des bases des questions de SST. Ces formations permettront également de présenter la boite à outils SST du projet ou de l’entreprise partenaire ou sous-traitant.</w:t>
      </w:r>
    </w:p>
    <w:p w14:paraId="033D9DD1" w14:textId="6D9CBF70" w:rsidR="008F3027" w:rsidRPr="00B01850" w:rsidRDefault="008F3027" w:rsidP="00214DCC">
      <w:pPr>
        <w:pStyle w:val="ListParagraph"/>
        <w:numPr>
          <w:ilvl w:val="0"/>
          <w:numId w:val="115"/>
        </w:numPr>
        <w:spacing w:before="240" w:after="240" w:line="240" w:lineRule="auto"/>
        <w:contextualSpacing w:val="0"/>
        <w:jc w:val="both"/>
        <w:rPr>
          <w:rFonts w:ascii="Arial" w:hAnsi="Arial" w:cs="Arial"/>
        </w:rPr>
      </w:pPr>
      <w:r w:rsidRPr="00B01850">
        <w:rPr>
          <w:rFonts w:ascii="Arial" w:hAnsi="Arial" w:cs="Arial"/>
          <w:b/>
          <w:bCs/>
        </w:rPr>
        <w:t xml:space="preserve">Signalisation de promotion </w:t>
      </w:r>
      <w:r w:rsidR="00551864" w:rsidRPr="00B01850">
        <w:rPr>
          <w:rFonts w:ascii="Arial" w:hAnsi="Arial" w:cs="Arial"/>
          <w:b/>
          <w:bCs/>
        </w:rPr>
        <w:t>SST</w:t>
      </w:r>
      <w:r w:rsidRPr="00B01850">
        <w:rPr>
          <w:rFonts w:ascii="Arial" w:hAnsi="Arial" w:cs="Arial"/>
          <w:b/>
          <w:bCs/>
        </w:rPr>
        <w:t>, affiches, concours, récompenses, etc.</w:t>
      </w:r>
    </w:p>
    <w:p w14:paraId="6DDC0EEC" w14:textId="53C928A0" w:rsidR="008F3027" w:rsidRPr="00B01850" w:rsidRDefault="008F3027" w:rsidP="00214DCC">
      <w:pPr>
        <w:pStyle w:val="ListParagraph"/>
        <w:numPr>
          <w:ilvl w:val="0"/>
          <w:numId w:val="116"/>
        </w:numPr>
        <w:spacing w:before="120" w:after="120" w:line="240" w:lineRule="auto"/>
        <w:contextualSpacing w:val="0"/>
        <w:jc w:val="both"/>
        <w:rPr>
          <w:rFonts w:ascii="Arial" w:hAnsi="Arial" w:cs="Arial"/>
        </w:rPr>
      </w:pPr>
      <w:r w:rsidRPr="00B01850">
        <w:rPr>
          <w:rFonts w:ascii="Arial" w:hAnsi="Arial" w:cs="Arial"/>
        </w:rPr>
        <w:t>Affichage d'affiches et de bannières HSE</w:t>
      </w:r>
    </w:p>
    <w:p w14:paraId="2E357630" w14:textId="77777777" w:rsidR="008F3027" w:rsidRPr="00B01850" w:rsidRDefault="008F3027" w:rsidP="008F3027">
      <w:pPr>
        <w:spacing w:after="0" w:line="240" w:lineRule="auto"/>
        <w:jc w:val="both"/>
        <w:rPr>
          <w:rFonts w:ascii="Arial" w:hAnsi="Arial" w:cs="Arial"/>
        </w:rPr>
      </w:pPr>
      <w:r w:rsidRPr="00B01850">
        <w:rPr>
          <w:rFonts w:ascii="Arial" w:hAnsi="Arial" w:cs="Arial"/>
        </w:rPr>
        <w:t>Le site devra installer sur le lieu de travail des affiches, banderoles et slogans appropriés dans les langues locales</w:t>
      </w:r>
    </w:p>
    <w:p w14:paraId="3427A554" w14:textId="77777777" w:rsidR="008F3027" w:rsidRPr="00B01850" w:rsidRDefault="008F3027" w:rsidP="00214DCC">
      <w:pPr>
        <w:pStyle w:val="ListParagraph"/>
        <w:numPr>
          <w:ilvl w:val="0"/>
          <w:numId w:val="116"/>
        </w:numPr>
        <w:spacing w:before="120" w:after="120" w:line="240" w:lineRule="auto"/>
        <w:contextualSpacing w:val="0"/>
        <w:jc w:val="both"/>
        <w:rPr>
          <w:rFonts w:ascii="Arial" w:hAnsi="Arial" w:cs="Arial"/>
        </w:rPr>
      </w:pPr>
      <w:bookmarkStart w:id="201" w:name="_Hlk132799984"/>
      <w:r w:rsidRPr="00B01850">
        <w:rPr>
          <w:rFonts w:ascii="Arial" w:hAnsi="Arial" w:cs="Arial"/>
        </w:rPr>
        <w:t>Affichage de la signalisation SSE</w:t>
      </w:r>
    </w:p>
    <w:bookmarkEnd w:id="201"/>
    <w:p w14:paraId="6FFE61CD" w14:textId="77777777" w:rsidR="008F3027" w:rsidRPr="00B01850" w:rsidRDefault="008F3027" w:rsidP="008F3027">
      <w:pPr>
        <w:spacing w:after="0" w:line="240" w:lineRule="auto"/>
        <w:jc w:val="both"/>
        <w:rPr>
          <w:rFonts w:ascii="Arial" w:hAnsi="Arial" w:cs="Arial"/>
        </w:rPr>
      </w:pPr>
      <w:r w:rsidRPr="00B01850">
        <w:rPr>
          <w:rFonts w:ascii="Arial" w:hAnsi="Arial" w:cs="Arial"/>
        </w:rPr>
        <w:t>Une signalisation SSE appropriée doit être installée dans la zone de travail pour informer les travailleurs et les passants des travaux en cours et des choses à faire et à ne pas faire</w:t>
      </w:r>
    </w:p>
    <w:p w14:paraId="11FAA7AC" w14:textId="77777777" w:rsidR="008F3027" w:rsidRPr="00B01850" w:rsidRDefault="008F3027" w:rsidP="00214DCC">
      <w:pPr>
        <w:pStyle w:val="ListParagraph"/>
        <w:numPr>
          <w:ilvl w:val="0"/>
          <w:numId w:val="116"/>
        </w:numPr>
        <w:spacing w:before="120" w:after="120" w:line="240" w:lineRule="auto"/>
        <w:contextualSpacing w:val="0"/>
        <w:jc w:val="both"/>
        <w:rPr>
          <w:rFonts w:ascii="Arial" w:hAnsi="Arial" w:cs="Arial"/>
        </w:rPr>
      </w:pPr>
      <w:r w:rsidRPr="00B01850">
        <w:rPr>
          <w:rFonts w:ascii="Arial" w:hAnsi="Arial" w:cs="Arial"/>
        </w:rPr>
        <w:t>Concours sur le HSE et attribution du prix</w:t>
      </w:r>
    </w:p>
    <w:p w14:paraId="57FF1B98" w14:textId="77777777" w:rsidR="008F3027" w:rsidRPr="00B01850" w:rsidRDefault="008F3027" w:rsidP="008F3027">
      <w:pPr>
        <w:spacing w:after="0" w:line="240" w:lineRule="auto"/>
        <w:jc w:val="both"/>
        <w:rPr>
          <w:rFonts w:ascii="Arial" w:hAnsi="Arial" w:cs="Arial"/>
        </w:rPr>
      </w:pPr>
      <w:r w:rsidRPr="00B01850">
        <w:rPr>
          <w:rFonts w:ascii="Arial" w:hAnsi="Arial" w:cs="Arial"/>
        </w:rPr>
        <w:t>L'Entrepreneur organisera périodiquement un programme de sensibilisation HSE sur différents sujets, y compris la sensibilisation médicale de tout le personnel travaillant sur le chantier</w:t>
      </w:r>
    </w:p>
    <w:p w14:paraId="70D27334" w14:textId="7B3A4B32" w:rsidR="008F3027" w:rsidRPr="00B01850" w:rsidRDefault="00183A78" w:rsidP="00214DCC">
      <w:pPr>
        <w:pStyle w:val="ListParagraph"/>
        <w:numPr>
          <w:ilvl w:val="0"/>
          <w:numId w:val="115"/>
        </w:numPr>
        <w:spacing w:before="240" w:after="240" w:line="240" w:lineRule="auto"/>
        <w:contextualSpacing w:val="0"/>
        <w:jc w:val="both"/>
        <w:rPr>
          <w:rFonts w:ascii="Arial" w:hAnsi="Arial" w:cs="Arial"/>
          <w:b/>
          <w:bCs/>
        </w:rPr>
      </w:pPr>
      <w:bookmarkStart w:id="202" w:name="_Hlk132805041"/>
      <w:r w:rsidRPr="00B01850">
        <w:rPr>
          <w:rFonts w:ascii="Arial" w:hAnsi="Arial" w:cs="Arial"/>
          <w:b/>
          <w:bCs/>
        </w:rPr>
        <w:t>HSE communication</w:t>
      </w:r>
      <w:bookmarkEnd w:id="202"/>
    </w:p>
    <w:p w14:paraId="549A7BB0" w14:textId="3DF9B622" w:rsidR="008F3027" w:rsidRPr="00B01850" w:rsidRDefault="00320FE2" w:rsidP="00214DCC">
      <w:pPr>
        <w:pStyle w:val="ListParagraph"/>
        <w:numPr>
          <w:ilvl w:val="0"/>
          <w:numId w:val="116"/>
        </w:numPr>
        <w:spacing w:before="120" w:after="120" w:line="240" w:lineRule="auto"/>
        <w:contextualSpacing w:val="0"/>
        <w:jc w:val="both"/>
        <w:rPr>
          <w:rFonts w:ascii="Arial" w:hAnsi="Arial" w:cs="Arial"/>
        </w:rPr>
      </w:pPr>
      <w:bookmarkStart w:id="203" w:name="_Hlk132805112"/>
      <w:r w:rsidRPr="00B01850">
        <w:rPr>
          <w:rFonts w:ascii="Arial" w:hAnsi="Arial" w:cs="Arial"/>
        </w:rPr>
        <w:t>Déclaration d’incident</w:t>
      </w:r>
      <w:bookmarkEnd w:id="203"/>
    </w:p>
    <w:p w14:paraId="4587FB0F" w14:textId="2A104C64" w:rsidR="008F3027" w:rsidRPr="00B01850" w:rsidRDefault="008F3027" w:rsidP="008F3027">
      <w:pPr>
        <w:spacing w:after="0" w:line="240" w:lineRule="auto"/>
        <w:jc w:val="both"/>
        <w:rPr>
          <w:rFonts w:ascii="Arial" w:hAnsi="Arial" w:cs="Arial"/>
        </w:rPr>
      </w:pPr>
      <w:r w:rsidRPr="00B01850">
        <w:rPr>
          <w:rFonts w:ascii="Arial" w:hAnsi="Arial" w:cs="Arial"/>
        </w:rPr>
        <w:t>L'Entrepreneur soumet un rapport sur tous les incidents, incendies, dégâts matériels, etc., au plus tard 24 heures après l'événement. L'Ingénieur en informera immédiatement le spécialiste SST. Lesdits rapports sont communiqués de la manière prescrite par l'organisme d'exécution.</w:t>
      </w:r>
    </w:p>
    <w:p w14:paraId="0CB74C6A" w14:textId="170C6A17" w:rsidR="008F3027" w:rsidRPr="00B01850" w:rsidRDefault="000A5328" w:rsidP="000A5328">
      <w:pPr>
        <w:spacing w:after="0" w:line="240" w:lineRule="auto"/>
        <w:jc w:val="both"/>
        <w:rPr>
          <w:rFonts w:ascii="Arial" w:hAnsi="Arial" w:cs="Arial"/>
        </w:rPr>
      </w:pPr>
      <w:r w:rsidRPr="00B01850">
        <w:rPr>
          <w:rFonts w:ascii="Arial" w:hAnsi="Arial" w:cs="Arial"/>
        </w:rPr>
        <w:t xml:space="preserve">A cet effet, </w:t>
      </w:r>
      <w:r w:rsidR="008F3027" w:rsidRPr="00B01850">
        <w:rPr>
          <w:rFonts w:ascii="Arial" w:hAnsi="Arial" w:cs="Arial"/>
        </w:rPr>
        <w:t xml:space="preserve">des rapports périodiques sur la sécurité doivent également être soumis de temps à autre par l'Entrepreneur à l'Entité d'exécution. Compilation de rapports mensuels sur tous les types d'incidents, d'incendies et de dommages matériels à soumettre au spécialiste selon les formats prescrits. </w:t>
      </w:r>
    </w:p>
    <w:p w14:paraId="4A657FDE" w14:textId="77777777" w:rsidR="00320FE2" w:rsidRPr="00B01850" w:rsidRDefault="00320FE2" w:rsidP="008F3027">
      <w:pPr>
        <w:spacing w:after="0" w:line="240" w:lineRule="auto"/>
        <w:jc w:val="both"/>
        <w:rPr>
          <w:rFonts w:ascii="Arial" w:hAnsi="Arial" w:cs="Arial"/>
        </w:rPr>
      </w:pPr>
    </w:p>
    <w:p w14:paraId="6EFB2970" w14:textId="21230F1F" w:rsidR="008F3027" w:rsidRPr="00B01850" w:rsidRDefault="000A5328" w:rsidP="008F3027">
      <w:pPr>
        <w:spacing w:after="0" w:line="240" w:lineRule="auto"/>
        <w:jc w:val="both"/>
        <w:rPr>
          <w:rFonts w:ascii="Arial" w:hAnsi="Arial" w:cs="Arial"/>
        </w:rPr>
      </w:pPr>
      <w:r w:rsidRPr="00B01850">
        <w:rPr>
          <w:rFonts w:ascii="Arial" w:hAnsi="Arial" w:cs="Arial"/>
        </w:rPr>
        <w:t xml:space="preserve">Toutefois, les </w:t>
      </w:r>
      <w:r w:rsidR="008F3027" w:rsidRPr="00B01850">
        <w:rPr>
          <w:rFonts w:ascii="Arial" w:hAnsi="Arial" w:cs="Arial"/>
        </w:rPr>
        <w:t xml:space="preserve">incidents </w:t>
      </w:r>
      <w:r w:rsidRPr="00B01850">
        <w:rPr>
          <w:rFonts w:ascii="Arial" w:hAnsi="Arial" w:cs="Arial"/>
        </w:rPr>
        <w:t xml:space="preserve">SST </w:t>
      </w:r>
      <w:r w:rsidR="008F3027" w:rsidRPr="00B01850">
        <w:rPr>
          <w:rFonts w:ascii="Arial" w:hAnsi="Arial" w:cs="Arial"/>
        </w:rPr>
        <w:t>survenant sur le site doivent être signalés à la direction du site du maître d'ouvrage conformément à la procédure d'investigation et de notification des incidents. Les mesures correctives doivent être immédiatement mises en œuvre sur le lieu de travail et le respect de ces normes doit être vérifié par le spécialiste SST du maître d'œuvre, et jusque-là, les travaux doivent être suspendus par le directeur de la construction.</w:t>
      </w:r>
    </w:p>
    <w:p w14:paraId="3471B0F7" w14:textId="08D0064E" w:rsidR="008F3027" w:rsidRPr="00B01850" w:rsidRDefault="00320FE2" w:rsidP="00214DCC">
      <w:pPr>
        <w:pStyle w:val="ListParagraph"/>
        <w:numPr>
          <w:ilvl w:val="0"/>
          <w:numId w:val="116"/>
        </w:numPr>
        <w:spacing w:before="120" w:after="120" w:line="240" w:lineRule="auto"/>
        <w:contextualSpacing w:val="0"/>
        <w:jc w:val="both"/>
        <w:rPr>
          <w:rFonts w:ascii="Arial" w:hAnsi="Arial" w:cs="Arial"/>
        </w:rPr>
      </w:pPr>
      <w:bookmarkStart w:id="204" w:name="_Hlk132805161"/>
      <w:r w:rsidRPr="00B01850">
        <w:rPr>
          <w:rFonts w:ascii="Arial" w:hAnsi="Arial" w:cs="Arial"/>
        </w:rPr>
        <w:t>Système de permis de travail</w:t>
      </w:r>
      <w:bookmarkEnd w:id="204"/>
    </w:p>
    <w:p w14:paraId="4B664E87" w14:textId="4D3C80F7" w:rsidR="008F3027" w:rsidRPr="00B01850" w:rsidRDefault="008F3027" w:rsidP="00AC25FC">
      <w:pPr>
        <w:spacing w:after="0" w:line="240" w:lineRule="auto"/>
        <w:jc w:val="both"/>
        <w:rPr>
          <w:rFonts w:ascii="Arial" w:hAnsi="Arial" w:cs="Arial"/>
        </w:rPr>
      </w:pPr>
      <w:r w:rsidRPr="00B01850">
        <w:rPr>
          <w:rFonts w:ascii="Arial" w:hAnsi="Arial" w:cs="Arial"/>
        </w:rPr>
        <w:t xml:space="preserve">La « Procédure </w:t>
      </w:r>
      <w:r w:rsidR="00FC7BF4" w:rsidRPr="00B01850">
        <w:rPr>
          <w:rFonts w:ascii="Arial" w:hAnsi="Arial" w:cs="Arial"/>
        </w:rPr>
        <w:t>SST</w:t>
      </w:r>
      <w:r w:rsidRPr="00B01850">
        <w:rPr>
          <w:rFonts w:ascii="Arial" w:hAnsi="Arial" w:cs="Arial"/>
        </w:rPr>
        <w:t xml:space="preserve"> pour le système de permis de travail » doit être suivie lors de la mise en œuvre d</w:t>
      </w:r>
      <w:r w:rsidR="00F01658" w:rsidRPr="00B01850">
        <w:rPr>
          <w:rFonts w:ascii="Arial" w:hAnsi="Arial" w:cs="Arial"/>
        </w:rPr>
        <w:t>es activités du projet d’urgence contingente. Car la rapide souhaitée par le gouvernement, les bailleurs ainsi que les services techniques intervenant</w:t>
      </w:r>
      <w:r w:rsidR="00FC7BF4" w:rsidRPr="00B01850">
        <w:rPr>
          <w:rFonts w:ascii="Arial" w:hAnsi="Arial" w:cs="Arial"/>
        </w:rPr>
        <w:t xml:space="preserve"> exige la mise en place de dispositions de contrôle pour une meilleure maitrise des risques et effets relatifs à la sécurité au travail.</w:t>
      </w:r>
    </w:p>
    <w:p w14:paraId="740C1990" w14:textId="5C9C525E" w:rsidR="00FC7BF4" w:rsidRPr="00B01850" w:rsidRDefault="00FC7BF4" w:rsidP="00214DCC">
      <w:pPr>
        <w:pStyle w:val="ListParagraph"/>
        <w:numPr>
          <w:ilvl w:val="0"/>
          <w:numId w:val="19"/>
        </w:numPr>
        <w:spacing w:after="0" w:line="240" w:lineRule="auto"/>
        <w:jc w:val="both"/>
        <w:rPr>
          <w:rFonts w:ascii="Arial" w:hAnsi="Arial" w:cs="Arial"/>
        </w:rPr>
      </w:pPr>
      <w:r w:rsidRPr="00B01850">
        <w:rPr>
          <w:rFonts w:ascii="Arial" w:hAnsi="Arial" w:cs="Arial"/>
        </w:rPr>
        <w:t xml:space="preserve">Les activités à haut qui nécessitent des permis de travail doivent être signalées au projet et à la direction de l’entreprise partenaire. </w:t>
      </w:r>
    </w:p>
    <w:p w14:paraId="2EDF5C7F" w14:textId="6D306127" w:rsidR="008F3027" w:rsidRPr="00B01850" w:rsidRDefault="008F3027" w:rsidP="00214DCC">
      <w:pPr>
        <w:pStyle w:val="ListParagraph"/>
        <w:numPr>
          <w:ilvl w:val="0"/>
          <w:numId w:val="19"/>
        </w:numPr>
        <w:spacing w:after="0" w:line="240" w:lineRule="auto"/>
        <w:jc w:val="both"/>
        <w:rPr>
          <w:rFonts w:ascii="Arial" w:hAnsi="Arial" w:cs="Arial"/>
        </w:rPr>
      </w:pPr>
      <w:r w:rsidRPr="00B01850">
        <w:rPr>
          <w:rFonts w:ascii="Arial" w:hAnsi="Arial" w:cs="Arial"/>
        </w:rPr>
        <w:t xml:space="preserve">Le </w:t>
      </w:r>
      <w:r w:rsidR="00FC7BF4" w:rsidRPr="00B01850">
        <w:rPr>
          <w:rFonts w:ascii="Arial" w:hAnsi="Arial" w:cs="Arial"/>
        </w:rPr>
        <w:t>permis de travail est obligatoire pour les activités à haut risque envisagées dans la mise en œuvre du CERP ;</w:t>
      </w:r>
    </w:p>
    <w:p w14:paraId="49EC4A9B" w14:textId="05533815" w:rsidR="008F3027" w:rsidRPr="00B01850" w:rsidRDefault="008F3027" w:rsidP="00214DCC">
      <w:pPr>
        <w:pStyle w:val="ListParagraph"/>
        <w:numPr>
          <w:ilvl w:val="0"/>
          <w:numId w:val="19"/>
        </w:numPr>
        <w:spacing w:after="0" w:line="240" w:lineRule="auto"/>
        <w:jc w:val="both"/>
        <w:rPr>
          <w:rFonts w:ascii="Arial" w:hAnsi="Arial" w:cs="Arial"/>
        </w:rPr>
      </w:pPr>
      <w:r w:rsidRPr="00B01850">
        <w:rPr>
          <w:rFonts w:ascii="Arial" w:hAnsi="Arial" w:cs="Arial"/>
        </w:rPr>
        <w:lastRenderedPageBreak/>
        <w:t xml:space="preserve">Le </w:t>
      </w:r>
      <w:r w:rsidR="00FC7BF4" w:rsidRPr="00B01850">
        <w:rPr>
          <w:rFonts w:ascii="Arial" w:hAnsi="Arial" w:cs="Arial"/>
        </w:rPr>
        <w:t>permis de travail est signé par les responsables qui ont déjà signé le Code de Bonne Conduite du projet NAFA PRU-APN (</w:t>
      </w:r>
      <w:r w:rsidR="00FC7BF4" w:rsidRPr="009A48E2">
        <w:rPr>
          <w:rFonts w:ascii="Arial" w:hAnsi="Arial" w:cs="Arial"/>
        </w:rPr>
        <w:t>P168777)</w:t>
      </w:r>
      <w:r w:rsidR="00FC7BF4" w:rsidRPr="00B01850">
        <w:rPr>
          <w:rFonts w:ascii="Arial" w:hAnsi="Arial" w:cs="Arial"/>
        </w:rPr>
        <w:t xml:space="preserve"> dans le cadre de la mise en œuvre du projet ;</w:t>
      </w:r>
    </w:p>
    <w:p w14:paraId="08F6E751" w14:textId="77777777" w:rsidR="008F3027" w:rsidRPr="00B01850" w:rsidRDefault="008F3027" w:rsidP="00214DCC">
      <w:pPr>
        <w:pStyle w:val="ListParagraph"/>
        <w:numPr>
          <w:ilvl w:val="0"/>
          <w:numId w:val="19"/>
        </w:numPr>
        <w:spacing w:after="0" w:line="240" w:lineRule="auto"/>
        <w:jc w:val="both"/>
        <w:rPr>
          <w:rFonts w:ascii="Arial" w:hAnsi="Arial" w:cs="Arial"/>
        </w:rPr>
      </w:pPr>
      <w:r w:rsidRPr="00B01850">
        <w:rPr>
          <w:rFonts w:ascii="Arial" w:hAnsi="Arial" w:cs="Arial"/>
        </w:rPr>
        <w:t xml:space="preserve">Le titulaire du permis doit mettre en œuvre et maintenir toutes les mesures de contrôle pendant la durée du permis. Il clôturera le permis une fois les travaux terminés. </w:t>
      </w:r>
    </w:p>
    <w:p w14:paraId="0314BB16" w14:textId="2120B026" w:rsidR="008F3027" w:rsidRPr="00B01850" w:rsidRDefault="008F3027" w:rsidP="00214DCC">
      <w:pPr>
        <w:pStyle w:val="ListParagraph"/>
        <w:numPr>
          <w:ilvl w:val="0"/>
          <w:numId w:val="19"/>
        </w:numPr>
        <w:spacing w:after="0" w:line="240" w:lineRule="auto"/>
        <w:jc w:val="both"/>
        <w:rPr>
          <w:rFonts w:ascii="Arial" w:hAnsi="Arial" w:cs="Arial"/>
        </w:rPr>
      </w:pPr>
      <w:r w:rsidRPr="00B01850">
        <w:rPr>
          <w:rFonts w:ascii="Arial" w:hAnsi="Arial" w:cs="Arial"/>
        </w:rPr>
        <w:t>Le permis clôturé doit être archivé au</w:t>
      </w:r>
      <w:r w:rsidR="00FC7BF4" w:rsidRPr="00B01850">
        <w:rPr>
          <w:rFonts w:ascii="Arial" w:hAnsi="Arial" w:cs="Arial"/>
        </w:rPr>
        <w:t>près des spécialistes en sauvegarde du projet ou des entreprises partenaires.</w:t>
      </w:r>
    </w:p>
    <w:p w14:paraId="47CF3284" w14:textId="75C6020B" w:rsidR="008F3027" w:rsidRPr="00B01850" w:rsidRDefault="00F01658" w:rsidP="00F01658">
      <w:pPr>
        <w:spacing w:before="120" w:after="120" w:line="240" w:lineRule="auto"/>
        <w:jc w:val="both"/>
        <w:rPr>
          <w:rFonts w:ascii="Arial" w:hAnsi="Arial" w:cs="Arial"/>
        </w:rPr>
      </w:pPr>
      <w:r w:rsidRPr="00B01850">
        <w:rPr>
          <w:rFonts w:ascii="Arial" w:hAnsi="Arial" w:cs="Arial"/>
        </w:rPr>
        <w:t xml:space="preserve">En plus des deux types de communication cités plus haut, le projet et ses partenaires d’exécution pourraient communiquer sur les éléments ci-après : (i) </w:t>
      </w:r>
      <w:r w:rsidR="008F3027" w:rsidRPr="00B01850">
        <w:rPr>
          <w:rFonts w:ascii="Arial" w:hAnsi="Arial" w:cs="Arial"/>
        </w:rPr>
        <w:t>Sécurité pendant l'exécution des travaux</w:t>
      </w:r>
      <w:r w:rsidRPr="00B01850">
        <w:rPr>
          <w:rFonts w:ascii="Arial" w:hAnsi="Arial" w:cs="Arial"/>
        </w:rPr>
        <w:t xml:space="preserve"> ; (ii) </w:t>
      </w:r>
      <w:bookmarkStart w:id="205" w:name="_Hlk132805490"/>
      <w:r w:rsidR="008F3027" w:rsidRPr="00B01850">
        <w:rPr>
          <w:rFonts w:ascii="Arial" w:hAnsi="Arial" w:cs="Arial"/>
        </w:rPr>
        <w:t>Stockage et mouvement des bouteilles</w:t>
      </w:r>
      <w:bookmarkStart w:id="206" w:name="_Hlk132805571"/>
      <w:bookmarkEnd w:id="205"/>
      <w:r w:rsidRPr="00B01850">
        <w:rPr>
          <w:rFonts w:ascii="Arial" w:hAnsi="Arial" w:cs="Arial"/>
        </w:rPr>
        <w:t xml:space="preserve"> ; (iii) </w:t>
      </w:r>
      <w:r w:rsidR="008F3027" w:rsidRPr="00B01850">
        <w:rPr>
          <w:rFonts w:ascii="Arial" w:hAnsi="Arial" w:cs="Arial"/>
        </w:rPr>
        <w:t>Manipulation de produits chimiques</w:t>
      </w:r>
      <w:bookmarkEnd w:id="206"/>
      <w:r w:rsidRPr="00B01850">
        <w:rPr>
          <w:rFonts w:ascii="Arial" w:hAnsi="Arial" w:cs="Arial"/>
        </w:rPr>
        <w:t> ; (iv)</w:t>
      </w:r>
      <w:bookmarkStart w:id="207" w:name="_Hlk132805594"/>
      <w:r w:rsidRPr="00B01850">
        <w:rPr>
          <w:rFonts w:ascii="Arial" w:hAnsi="Arial" w:cs="Arial"/>
        </w:rPr>
        <w:t xml:space="preserve"> </w:t>
      </w:r>
      <w:r w:rsidR="008F3027" w:rsidRPr="00B01850">
        <w:rPr>
          <w:rFonts w:ascii="Arial" w:hAnsi="Arial" w:cs="Arial"/>
        </w:rPr>
        <w:t>Manutention électriqu</w:t>
      </w:r>
      <w:bookmarkEnd w:id="207"/>
      <w:r w:rsidRPr="00B01850">
        <w:rPr>
          <w:rFonts w:ascii="Arial" w:hAnsi="Arial" w:cs="Arial"/>
        </w:rPr>
        <w:t xml:space="preserve">e ; (v) </w:t>
      </w:r>
      <w:r w:rsidR="008F3027" w:rsidRPr="00B01850">
        <w:rPr>
          <w:rFonts w:ascii="Arial" w:hAnsi="Arial" w:cs="Arial"/>
        </w:rPr>
        <w:t>Sécurité incendie</w:t>
      </w:r>
      <w:bookmarkStart w:id="208" w:name="_Hlk132805847"/>
      <w:r w:rsidRPr="00B01850">
        <w:rPr>
          <w:rFonts w:ascii="Arial" w:hAnsi="Arial" w:cs="Arial"/>
        </w:rPr>
        <w:t xml:space="preserve"> ; (vi) </w:t>
      </w:r>
      <w:r w:rsidR="008F3027" w:rsidRPr="00B01850">
        <w:rPr>
          <w:rFonts w:ascii="Arial" w:hAnsi="Arial" w:cs="Arial"/>
        </w:rPr>
        <w:t>Sécurité du levage</w:t>
      </w:r>
      <w:bookmarkEnd w:id="208"/>
      <w:r w:rsidRPr="00B01850">
        <w:rPr>
          <w:rFonts w:ascii="Arial" w:hAnsi="Arial" w:cs="Arial"/>
        </w:rPr>
        <w:t xml:space="preserve"> ; le (vi) </w:t>
      </w:r>
      <w:r w:rsidR="008F3027" w:rsidRPr="00B01850">
        <w:rPr>
          <w:rFonts w:ascii="Arial" w:hAnsi="Arial" w:cs="Arial"/>
        </w:rPr>
        <w:t>Contrôle de l'environnement</w:t>
      </w:r>
      <w:r w:rsidRPr="00B01850">
        <w:rPr>
          <w:rFonts w:ascii="Arial" w:hAnsi="Arial" w:cs="Arial"/>
        </w:rPr>
        <w:t> ; ainsi que sur la (vii) gestion des déchets.</w:t>
      </w:r>
    </w:p>
    <w:p w14:paraId="72D1C6B2" w14:textId="29869B37" w:rsidR="008F3027" w:rsidRPr="00B01850" w:rsidRDefault="008F3027" w:rsidP="00214DCC">
      <w:pPr>
        <w:pStyle w:val="ListParagraph"/>
        <w:numPr>
          <w:ilvl w:val="0"/>
          <w:numId w:val="117"/>
        </w:numPr>
        <w:spacing w:before="240" w:after="240" w:line="240" w:lineRule="auto"/>
        <w:contextualSpacing w:val="0"/>
        <w:jc w:val="both"/>
        <w:rPr>
          <w:rFonts w:ascii="Arial" w:hAnsi="Arial" w:cs="Arial"/>
          <w:b/>
          <w:bCs/>
        </w:rPr>
      </w:pPr>
      <w:r w:rsidRPr="00B01850">
        <w:rPr>
          <w:rFonts w:ascii="Arial" w:hAnsi="Arial" w:cs="Arial"/>
          <w:b/>
          <w:bCs/>
        </w:rPr>
        <w:t>Gestion des déchets</w:t>
      </w:r>
    </w:p>
    <w:p w14:paraId="74C08536" w14:textId="77777777" w:rsidR="008F3027" w:rsidRPr="00B01850" w:rsidRDefault="008F3027" w:rsidP="008F3027">
      <w:pPr>
        <w:spacing w:after="0" w:line="240" w:lineRule="auto"/>
        <w:jc w:val="both"/>
        <w:rPr>
          <w:rFonts w:ascii="Arial" w:hAnsi="Arial" w:cs="Arial"/>
        </w:rPr>
      </w:pPr>
      <w:r w:rsidRPr="00B01850">
        <w:rPr>
          <w:rFonts w:ascii="Arial" w:hAnsi="Arial" w:cs="Arial"/>
        </w:rPr>
        <w:t>Prendre des mesures appropriées pour les lois/législations relatives à la gestion des déchets et à l'environnement dans le cadre des activités normales de construction. Le respect des exigences légales concernant le stockage/l'élimination des fûts de peinture (y compris les fûts vides), des conteneurs de lubrifiants, des conteneurs de produits chimiques, et du transport et de l'entreposage des produits chimiques dangereux sera strictement respecté.</w:t>
      </w:r>
    </w:p>
    <w:p w14:paraId="18C34DD9" w14:textId="79098DE5" w:rsidR="008F3027" w:rsidRPr="00B01850" w:rsidRDefault="008F3027" w:rsidP="00214DCC">
      <w:pPr>
        <w:pStyle w:val="ListParagraph"/>
        <w:numPr>
          <w:ilvl w:val="0"/>
          <w:numId w:val="127"/>
        </w:numPr>
        <w:spacing w:before="120" w:after="0" w:line="240" w:lineRule="auto"/>
        <w:contextualSpacing w:val="0"/>
        <w:jc w:val="both"/>
        <w:rPr>
          <w:rFonts w:ascii="Arial" w:hAnsi="Arial" w:cs="Arial"/>
        </w:rPr>
      </w:pPr>
      <w:bookmarkStart w:id="209" w:name="_Hlk132806078"/>
      <w:r w:rsidRPr="00B01850">
        <w:rPr>
          <w:rFonts w:ascii="Arial" w:hAnsi="Arial" w:cs="Arial"/>
        </w:rPr>
        <w:t>Poubelles sur un lieu de travail</w:t>
      </w:r>
      <w:bookmarkEnd w:id="209"/>
    </w:p>
    <w:p w14:paraId="5F9F413B" w14:textId="66B5785B" w:rsidR="008F3027" w:rsidRPr="00B01850" w:rsidRDefault="008F3027" w:rsidP="00214DCC">
      <w:pPr>
        <w:pStyle w:val="ListParagraph"/>
        <w:numPr>
          <w:ilvl w:val="0"/>
          <w:numId w:val="127"/>
        </w:numPr>
        <w:spacing w:after="0" w:line="240" w:lineRule="auto"/>
        <w:contextualSpacing w:val="0"/>
        <w:jc w:val="both"/>
        <w:rPr>
          <w:rFonts w:ascii="Arial" w:hAnsi="Arial" w:cs="Arial"/>
        </w:rPr>
      </w:pPr>
      <w:r w:rsidRPr="00B01850">
        <w:rPr>
          <w:rFonts w:ascii="Arial" w:hAnsi="Arial" w:cs="Arial"/>
        </w:rPr>
        <w:t>Stockage et collecte</w:t>
      </w:r>
    </w:p>
    <w:p w14:paraId="7B966E7D" w14:textId="77DAF558" w:rsidR="008F3027" w:rsidRPr="00B01850" w:rsidRDefault="008F3027" w:rsidP="00214DCC">
      <w:pPr>
        <w:pStyle w:val="ListParagraph"/>
        <w:numPr>
          <w:ilvl w:val="0"/>
          <w:numId w:val="127"/>
        </w:numPr>
        <w:spacing w:after="0" w:line="240" w:lineRule="auto"/>
        <w:contextualSpacing w:val="0"/>
        <w:jc w:val="both"/>
        <w:rPr>
          <w:rFonts w:ascii="Arial" w:hAnsi="Arial" w:cs="Arial"/>
        </w:rPr>
      </w:pPr>
      <w:r w:rsidRPr="00B01850">
        <w:rPr>
          <w:rFonts w:ascii="Arial" w:hAnsi="Arial" w:cs="Arial"/>
        </w:rPr>
        <w:t>Ségrégation</w:t>
      </w:r>
    </w:p>
    <w:p w14:paraId="3E563595" w14:textId="3BC589C7" w:rsidR="008F3027" w:rsidRPr="00B01850" w:rsidRDefault="00320FE2" w:rsidP="00214DCC">
      <w:pPr>
        <w:pStyle w:val="ListParagraph"/>
        <w:numPr>
          <w:ilvl w:val="0"/>
          <w:numId w:val="127"/>
        </w:numPr>
        <w:spacing w:after="0" w:line="240" w:lineRule="auto"/>
        <w:contextualSpacing w:val="0"/>
        <w:jc w:val="both"/>
        <w:rPr>
          <w:rFonts w:ascii="Arial" w:hAnsi="Arial" w:cs="Arial"/>
        </w:rPr>
      </w:pPr>
      <w:r w:rsidRPr="00B01850">
        <w:rPr>
          <w:rFonts w:ascii="Arial" w:hAnsi="Arial" w:cs="Arial"/>
        </w:rPr>
        <w:t>Disposition</w:t>
      </w:r>
    </w:p>
    <w:p w14:paraId="06E4820D" w14:textId="363E3568" w:rsidR="008F3027" w:rsidRPr="00B01850" w:rsidRDefault="008F3027" w:rsidP="00214DCC">
      <w:pPr>
        <w:pStyle w:val="ListParagraph"/>
        <w:numPr>
          <w:ilvl w:val="0"/>
          <w:numId w:val="127"/>
        </w:numPr>
        <w:spacing w:after="0" w:line="240" w:lineRule="auto"/>
        <w:contextualSpacing w:val="0"/>
        <w:jc w:val="both"/>
        <w:rPr>
          <w:rFonts w:ascii="Arial" w:hAnsi="Arial" w:cs="Arial"/>
        </w:rPr>
      </w:pPr>
      <w:bookmarkStart w:id="210" w:name="_Hlk132806243"/>
      <w:r w:rsidRPr="00B01850">
        <w:rPr>
          <w:rFonts w:ascii="Arial" w:hAnsi="Arial" w:cs="Arial"/>
        </w:rPr>
        <w:t>Avertissement et signalisation</w:t>
      </w:r>
      <w:bookmarkEnd w:id="210"/>
    </w:p>
    <w:p w14:paraId="350D01B5" w14:textId="685E3957" w:rsidR="008F3027" w:rsidRPr="00B01850" w:rsidRDefault="008F3027" w:rsidP="00214DCC">
      <w:pPr>
        <w:pStyle w:val="ListParagraph"/>
        <w:numPr>
          <w:ilvl w:val="0"/>
          <w:numId w:val="118"/>
        </w:numPr>
        <w:spacing w:before="240" w:after="240" w:line="240" w:lineRule="auto"/>
        <w:contextualSpacing w:val="0"/>
        <w:jc w:val="both"/>
        <w:rPr>
          <w:rFonts w:ascii="Arial" w:hAnsi="Arial" w:cs="Arial"/>
        </w:rPr>
      </w:pPr>
      <w:r w:rsidRPr="00B01850">
        <w:rPr>
          <w:rFonts w:ascii="Arial" w:hAnsi="Arial" w:cs="Arial"/>
          <w:b/>
          <w:bCs/>
        </w:rPr>
        <w:t>Activités de préparation et de réaction aux situations d’urgence</w:t>
      </w:r>
    </w:p>
    <w:p w14:paraId="522D207A" w14:textId="59864691" w:rsidR="009A48E2" w:rsidRPr="00B01850" w:rsidRDefault="009A48E2" w:rsidP="009A48E2">
      <w:pPr>
        <w:spacing w:before="120" w:after="120" w:line="240" w:lineRule="auto"/>
        <w:jc w:val="both"/>
        <w:rPr>
          <w:rFonts w:ascii="Arial" w:hAnsi="Arial" w:cs="Arial"/>
        </w:rPr>
      </w:pPr>
      <w:r w:rsidRPr="00B01850">
        <w:rPr>
          <w:rFonts w:ascii="Arial" w:hAnsi="Arial" w:cs="Arial"/>
        </w:rPr>
        <w:t>Conformément à la norme n°4, le Projet de Riposte d’Urgence et d’Appui au Programme NAFA PRU-APN (</w:t>
      </w:r>
      <w:r w:rsidRPr="009A48E2">
        <w:rPr>
          <w:rFonts w:ascii="Arial" w:hAnsi="Arial" w:cs="Arial"/>
        </w:rPr>
        <w:t>P168777)</w:t>
      </w:r>
      <w:r w:rsidRPr="00B01850">
        <w:rPr>
          <w:rFonts w:ascii="Arial" w:hAnsi="Arial" w:cs="Arial"/>
        </w:rPr>
        <w:t xml:space="preserve"> dispose de procédures d’urgence sur lesquelles le CERP pourraient s’appuyer en premier. Ces procédures pourront être améliorées pour les adapter aux réalités et l’ampleur des activités éventuelles du CERP.</w:t>
      </w:r>
    </w:p>
    <w:p w14:paraId="6E3DFEA4" w14:textId="6BE6B0DE" w:rsidR="008F3027" w:rsidRPr="00B01850" w:rsidRDefault="009A48E2" w:rsidP="009A48E2">
      <w:pPr>
        <w:spacing w:before="120" w:after="120" w:line="240" w:lineRule="auto"/>
        <w:jc w:val="both"/>
        <w:rPr>
          <w:rFonts w:ascii="Arial" w:hAnsi="Arial" w:cs="Arial"/>
        </w:rPr>
      </w:pPr>
      <w:r w:rsidRPr="00B01850">
        <w:rPr>
          <w:rFonts w:ascii="Arial" w:hAnsi="Arial" w:cs="Arial"/>
        </w:rPr>
        <w:t xml:space="preserve">En plus, les entreprises partenaires et sous-traitantes qui interviendront dans la mise en </w:t>
      </w:r>
      <w:r w:rsidR="003205AE" w:rsidRPr="00B01850">
        <w:rPr>
          <w:rFonts w:ascii="Arial" w:hAnsi="Arial" w:cs="Arial"/>
        </w:rPr>
        <w:t>œuvre</w:t>
      </w:r>
      <w:r w:rsidRPr="00B01850">
        <w:rPr>
          <w:rFonts w:ascii="Arial" w:hAnsi="Arial" w:cs="Arial"/>
        </w:rPr>
        <w:t xml:space="preserve"> des activités du projet démontrer leurs capacités de </w:t>
      </w:r>
      <w:r w:rsidR="008F3027" w:rsidRPr="00B01850">
        <w:rPr>
          <w:rFonts w:ascii="Arial" w:hAnsi="Arial" w:cs="Arial"/>
        </w:rPr>
        <w:t>préparation et de réponse aux situations d'urgence du site doivent être développées et mises en œuvre en conséquence.</w:t>
      </w:r>
      <w:r w:rsidRPr="00B01850">
        <w:rPr>
          <w:rFonts w:ascii="Arial" w:hAnsi="Arial" w:cs="Arial"/>
        </w:rPr>
        <w:t xml:space="preserve"> L’UGP du NAFA évaluera leurs </w:t>
      </w:r>
      <w:r w:rsidR="003205AE" w:rsidRPr="00B01850">
        <w:rPr>
          <w:rFonts w:ascii="Arial" w:hAnsi="Arial" w:cs="Arial"/>
        </w:rPr>
        <w:t>aptitudes</w:t>
      </w:r>
      <w:r w:rsidRPr="00B01850">
        <w:rPr>
          <w:rFonts w:ascii="Arial" w:hAnsi="Arial" w:cs="Arial"/>
        </w:rPr>
        <w:t xml:space="preserve"> sur les dispositions suivantes :</w:t>
      </w:r>
      <w:r w:rsidR="008F3027" w:rsidRPr="00B01850">
        <w:rPr>
          <w:rFonts w:ascii="Arial" w:hAnsi="Arial" w:cs="Arial"/>
        </w:rPr>
        <w:t xml:space="preserve"> </w:t>
      </w:r>
    </w:p>
    <w:p w14:paraId="5B5ED6C8" w14:textId="00B2A523" w:rsidR="008F3027" w:rsidRPr="00B01850" w:rsidRDefault="008F3027" w:rsidP="00214DCC">
      <w:pPr>
        <w:pStyle w:val="ListParagraph"/>
        <w:numPr>
          <w:ilvl w:val="0"/>
          <w:numId w:val="20"/>
        </w:numPr>
        <w:spacing w:after="0" w:line="240" w:lineRule="auto"/>
        <w:jc w:val="both"/>
        <w:rPr>
          <w:rFonts w:ascii="Arial" w:hAnsi="Arial" w:cs="Arial"/>
        </w:rPr>
      </w:pPr>
      <w:r w:rsidRPr="00B01850">
        <w:rPr>
          <w:rFonts w:ascii="Arial" w:hAnsi="Arial" w:cs="Arial"/>
        </w:rPr>
        <w:t>L</w:t>
      </w:r>
      <w:r w:rsidR="009A48E2" w:rsidRPr="00B01850">
        <w:rPr>
          <w:rFonts w:ascii="Arial" w:hAnsi="Arial" w:cs="Arial"/>
        </w:rPr>
        <w:t xml:space="preserve">’affichage des </w:t>
      </w:r>
      <w:r w:rsidRPr="00B01850">
        <w:rPr>
          <w:rFonts w:ascii="Arial" w:hAnsi="Arial" w:cs="Arial"/>
        </w:rPr>
        <w:t>numéros des personnes à contacter en cas d'urgence</w:t>
      </w:r>
      <w:r w:rsidR="009A48E2" w:rsidRPr="00B01850">
        <w:rPr>
          <w:rFonts w:ascii="Arial" w:hAnsi="Arial" w:cs="Arial"/>
        </w:rPr>
        <w:t> ;</w:t>
      </w:r>
      <w:r w:rsidRPr="00B01850">
        <w:rPr>
          <w:rFonts w:ascii="Arial" w:hAnsi="Arial" w:cs="Arial"/>
        </w:rPr>
        <w:t xml:space="preserve"> </w:t>
      </w:r>
    </w:p>
    <w:p w14:paraId="6062A493" w14:textId="589DC596" w:rsidR="008F3027" w:rsidRPr="00B01850" w:rsidRDefault="009A48E2" w:rsidP="00214DCC">
      <w:pPr>
        <w:pStyle w:val="ListParagraph"/>
        <w:numPr>
          <w:ilvl w:val="0"/>
          <w:numId w:val="20"/>
        </w:numPr>
        <w:spacing w:after="0" w:line="240" w:lineRule="auto"/>
        <w:jc w:val="both"/>
        <w:rPr>
          <w:rFonts w:ascii="Arial" w:hAnsi="Arial" w:cs="Arial"/>
        </w:rPr>
      </w:pPr>
      <w:r w:rsidRPr="00B01850">
        <w:rPr>
          <w:rFonts w:ascii="Arial" w:hAnsi="Arial" w:cs="Arial"/>
        </w:rPr>
        <w:t>Les liens établis avec</w:t>
      </w:r>
      <w:r w:rsidR="008F3027" w:rsidRPr="00B01850">
        <w:rPr>
          <w:rFonts w:ascii="Arial" w:hAnsi="Arial" w:cs="Arial"/>
        </w:rPr>
        <w:t xml:space="preserve"> les pompiers</w:t>
      </w:r>
      <w:r w:rsidR="003205AE" w:rsidRPr="00B01850">
        <w:rPr>
          <w:rFonts w:ascii="Arial" w:hAnsi="Arial" w:cs="Arial"/>
        </w:rPr>
        <w:t> ;</w:t>
      </w:r>
    </w:p>
    <w:p w14:paraId="43508726" w14:textId="293565C0" w:rsidR="008F3027" w:rsidRPr="00B01850" w:rsidRDefault="003205AE" w:rsidP="00214DCC">
      <w:pPr>
        <w:pStyle w:val="ListParagraph"/>
        <w:numPr>
          <w:ilvl w:val="0"/>
          <w:numId w:val="20"/>
        </w:numPr>
        <w:spacing w:after="0" w:line="240" w:lineRule="auto"/>
        <w:jc w:val="both"/>
        <w:rPr>
          <w:rFonts w:ascii="Arial" w:hAnsi="Arial" w:cs="Arial"/>
        </w:rPr>
      </w:pPr>
      <w:r w:rsidRPr="00B01850">
        <w:rPr>
          <w:rFonts w:ascii="Arial" w:hAnsi="Arial" w:cs="Arial"/>
        </w:rPr>
        <w:t>Les liens établis avec les structures sanitaires proches de sa zone d’intervention ;</w:t>
      </w:r>
    </w:p>
    <w:p w14:paraId="035D9E4A" w14:textId="5021643B" w:rsidR="008F3027" w:rsidRPr="00B01850" w:rsidRDefault="003205AE" w:rsidP="00214DCC">
      <w:pPr>
        <w:pStyle w:val="ListParagraph"/>
        <w:numPr>
          <w:ilvl w:val="0"/>
          <w:numId w:val="20"/>
        </w:numPr>
        <w:spacing w:after="0" w:line="240" w:lineRule="auto"/>
        <w:jc w:val="both"/>
        <w:rPr>
          <w:rFonts w:ascii="Arial" w:hAnsi="Arial" w:cs="Arial"/>
        </w:rPr>
      </w:pPr>
      <w:r w:rsidRPr="00B01850">
        <w:rPr>
          <w:rFonts w:ascii="Arial" w:hAnsi="Arial" w:cs="Arial"/>
        </w:rPr>
        <w:t xml:space="preserve">La désignation d’un </w:t>
      </w:r>
      <w:r w:rsidR="008F3027" w:rsidRPr="00B01850">
        <w:rPr>
          <w:rFonts w:ascii="Arial" w:hAnsi="Arial" w:cs="Arial"/>
        </w:rPr>
        <w:t xml:space="preserve">groupe </w:t>
      </w:r>
      <w:r w:rsidRPr="00B01850">
        <w:rPr>
          <w:rFonts w:ascii="Arial" w:hAnsi="Arial" w:cs="Arial"/>
        </w:rPr>
        <w:t xml:space="preserve">permanent </w:t>
      </w:r>
      <w:r w:rsidR="008F3027" w:rsidRPr="00B01850">
        <w:rPr>
          <w:rFonts w:ascii="Arial" w:hAnsi="Arial" w:cs="Arial"/>
        </w:rPr>
        <w:t>de gestion des catastrophes</w:t>
      </w:r>
      <w:r w:rsidRPr="00B01850">
        <w:rPr>
          <w:rFonts w:ascii="Arial" w:hAnsi="Arial" w:cs="Arial"/>
        </w:rPr>
        <w:t> ;</w:t>
      </w:r>
    </w:p>
    <w:p w14:paraId="398E3C6C" w14:textId="0B4D7D0B" w:rsidR="008F3027" w:rsidRPr="00B01850" w:rsidRDefault="003205AE" w:rsidP="00214DCC">
      <w:pPr>
        <w:pStyle w:val="ListParagraph"/>
        <w:numPr>
          <w:ilvl w:val="0"/>
          <w:numId w:val="20"/>
        </w:numPr>
        <w:spacing w:after="0" w:line="240" w:lineRule="auto"/>
        <w:jc w:val="both"/>
        <w:rPr>
          <w:rFonts w:ascii="Arial" w:hAnsi="Arial" w:cs="Arial"/>
        </w:rPr>
      </w:pPr>
      <w:r w:rsidRPr="00B01850">
        <w:rPr>
          <w:rFonts w:ascii="Arial" w:hAnsi="Arial" w:cs="Arial"/>
        </w:rPr>
        <w:t xml:space="preserve">L’organisation des </w:t>
      </w:r>
      <w:r w:rsidR="008F3027" w:rsidRPr="00B01850">
        <w:rPr>
          <w:rFonts w:ascii="Arial" w:hAnsi="Arial" w:cs="Arial"/>
        </w:rPr>
        <w:t>exercices de simulation à intervalles réguliers.</w:t>
      </w:r>
      <w:r w:rsidRPr="00B01850">
        <w:rPr>
          <w:rFonts w:ascii="Arial" w:hAnsi="Arial" w:cs="Arial"/>
        </w:rPr>
        <w:t xml:space="preserve"> </w:t>
      </w:r>
      <w:r w:rsidR="008F3027" w:rsidRPr="00B01850">
        <w:rPr>
          <w:rFonts w:ascii="Arial" w:hAnsi="Arial" w:cs="Arial"/>
        </w:rPr>
        <w:t>Rapport mensuel sur ce qui précède à remettre au spécialiste SST</w:t>
      </w:r>
      <w:r w:rsidRPr="00B01850">
        <w:rPr>
          <w:rFonts w:ascii="Arial" w:hAnsi="Arial" w:cs="Arial"/>
        </w:rPr>
        <w:t> ;</w:t>
      </w:r>
    </w:p>
    <w:p w14:paraId="20B0D646" w14:textId="4B9CF9FB" w:rsidR="008F3027" w:rsidRPr="00B01850" w:rsidRDefault="003205AE" w:rsidP="00214DCC">
      <w:pPr>
        <w:pStyle w:val="ListParagraph"/>
        <w:numPr>
          <w:ilvl w:val="0"/>
          <w:numId w:val="20"/>
        </w:numPr>
        <w:spacing w:after="0" w:line="240" w:lineRule="auto"/>
        <w:jc w:val="both"/>
        <w:rPr>
          <w:rFonts w:ascii="Arial" w:hAnsi="Arial" w:cs="Arial"/>
        </w:rPr>
      </w:pPr>
      <w:r w:rsidRPr="00B01850">
        <w:rPr>
          <w:rFonts w:ascii="Arial" w:hAnsi="Arial" w:cs="Arial"/>
        </w:rPr>
        <w:t xml:space="preserve">L’organisation des </w:t>
      </w:r>
      <w:r w:rsidR="008F3027" w:rsidRPr="00B01850">
        <w:rPr>
          <w:rFonts w:ascii="Arial" w:hAnsi="Arial" w:cs="Arial"/>
        </w:rPr>
        <w:t>exercices de simulation périodique</w:t>
      </w:r>
      <w:r w:rsidRPr="00B01850">
        <w:rPr>
          <w:rFonts w:ascii="Arial" w:hAnsi="Arial" w:cs="Arial"/>
        </w:rPr>
        <w:t>s</w:t>
      </w:r>
      <w:r w:rsidR="008F3027" w:rsidRPr="00B01850">
        <w:rPr>
          <w:rFonts w:ascii="Arial" w:hAnsi="Arial" w:cs="Arial"/>
        </w:rPr>
        <w:t xml:space="preserve"> </w:t>
      </w:r>
      <w:r w:rsidRPr="00B01850">
        <w:rPr>
          <w:rFonts w:ascii="Arial" w:hAnsi="Arial" w:cs="Arial"/>
        </w:rPr>
        <w:t xml:space="preserve">dans </w:t>
      </w:r>
      <w:r w:rsidR="008F3027" w:rsidRPr="00B01850">
        <w:rPr>
          <w:rFonts w:ascii="Arial" w:hAnsi="Arial" w:cs="Arial"/>
        </w:rPr>
        <w:t>différentes situations d'urgence afin de déterminer les lacunes dans la préparation aux situations d'urgence et de prendre les mesures correctives nécessaires</w:t>
      </w:r>
      <w:r w:rsidRPr="00B01850">
        <w:rPr>
          <w:rFonts w:ascii="Arial" w:hAnsi="Arial" w:cs="Arial"/>
        </w:rPr>
        <w:t>.</w:t>
      </w:r>
    </w:p>
    <w:p w14:paraId="1D6608C4" w14:textId="77777777" w:rsidR="0039330E" w:rsidRPr="00B01850" w:rsidRDefault="0039330E">
      <w:pPr>
        <w:rPr>
          <w:rFonts w:ascii="Arial" w:hAnsi="Arial" w:cs="Arial"/>
          <w:b/>
          <w:bCs/>
        </w:rPr>
      </w:pPr>
      <w:r w:rsidRPr="00B01850">
        <w:rPr>
          <w:rFonts w:ascii="Arial" w:hAnsi="Arial" w:cs="Arial"/>
          <w:b/>
          <w:bCs/>
        </w:rPr>
        <w:br w:type="page"/>
      </w:r>
    </w:p>
    <w:p w14:paraId="3B190981" w14:textId="2599EEAC" w:rsidR="008F3027" w:rsidRPr="00B01850" w:rsidRDefault="002241A7" w:rsidP="00214DCC">
      <w:pPr>
        <w:pStyle w:val="ListParagraph"/>
        <w:numPr>
          <w:ilvl w:val="0"/>
          <w:numId w:val="119"/>
        </w:numPr>
        <w:spacing w:before="240" w:after="240" w:line="240" w:lineRule="auto"/>
        <w:contextualSpacing w:val="0"/>
        <w:jc w:val="both"/>
        <w:rPr>
          <w:rFonts w:ascii="Arial" w:hAnsi="Arial" w:cs="Arial"/>
          <w:b/>
          <w:bCs/>
        </w:rPr>
      </w:pPr>
      <w:r w:rsidRPr="00B01850">
        <w:rPr>
          <w:rFonts w:ascii="Arial" w:hAnsi="Arial" w:cs="Arial"/>
          <w:b/>
          <w:bCs/>
        </w:rPr>
        <w:lastRenderedPageBreak/>
        <w:t>Inspection SSE</w:t>
      </w:r>
    </w:p>
    <w:p w14:paraId="4A8E7E0B" w14:textId="330B4AAB" w:rsidR="008F3027" w:rsidRPr="00B01850" w:rsidRDefault="008F3027" w:rsidP="008F3027">
      <w:pPr>
        <w:spacing w:after="0" w:line="240" w:lineRule="auto"/>
        <w:jc w:val="both"/>
        <w:rPr>
          <w:rFonts w:ascii="Arial" w:hAnsi="Arial" w:cs="Arial"/>
        </w:rPr>
      </w:pPr>
      <w:r w:rsidRPr="00B01850">
        <w:rPr>
          <w:rFonts w:ascii="Arial" w:hAnsi="Arial" w:cs="Arial"/>
        </w:rPr>
        <w:t>L'inspection du HSE pour les différentes activités menées sur le site doit être effectuée afin de garantir la conformité aux exigences du HSEMS. L'Entrepreneur maintient et veille à ce que les mesures de sécurité nécessaires pour l'inspection et les essais, le cas échéant, permettent à l'organisme d'inspection d'effectuer l'inspection. S'il s'avère qu'un équipement d'essai n'est pas conforme aux exigences de sécurité appropriées, l'organisme d'inspection peut suspendre l'inspection jusqu'à ce que les exigences de sécurité souhaitées soient satisfaites.</w:t>
      </w:r>
      <w:r w:rsidR="005864B9" w:rsidRPr="00B01850">
        <w:rPr>
          <w:rFonts w:ascii="Arial" w:hAnsi="Arial" w:cs="Arial"/>
        </w:rPr>
        <w:t xml:space="preserve"> Ces inspections pourraient porter sur :</w:t>
      </w:r>
    </w:p>
    <w:p w14:paraId="11C76E90" w14:textId="2060BD75" w:rsidR="008F3027" w:rsidRPr="00B01850" w:rsidRDefault="008F3027" w:rsidP="00214DCC">
      <w:pPr>
        <w:pStyle w:val="ListParagraph"/>
        <w:numPr>
          <w:ilvl w:val="0"/>
          <w:numId w:val="126"/>
        </w:numPr>
        <w:spacing w:after="0" w:line="240" w:lineRule="auto"/>
        <w:contextualSpacing w:val="0"/>
        <w:jc w:val="both"/>
        <w:rPr>
          <w:rFonts w:ascii="Arial" w:hAnsi="Arial" w:cs="Arial"/>
        </w:rPr>
      </w:pPr>
      <w:bookmarkStart w:id="211" w:name="_Hlk132806769"/>
      <w:r w:rsidRPr="00B01850">
        <w:rPr>
          <w:rFonts w:ascii="Arial" w:hAnsi="Arial" w:cs="Arial"/>
        </w:rPr>
        <w:t xml:space="preserve">Contrôles </w:t>
      </w:r>
      <w:r w:rsidR="00551864" w:rsidRPr="00B01850">
        <w:rPr>
          <w:rFonts w:ascii="Arial" w:hAnsi="Arial" w:cs="Arial"/>
        </w:rPr>
        <w:t>SST</w:t>
      </w:r>
      <w:r w:rsidRPr="00B01850">
        <w:rPr>
          <w:rFonts w:ascii="Arial" w:hAnsi="Arial" w:cs="Arial"/>
        </w:rPr>
        <w:t xml:space="preserve"> quotidiens</w:t>
      </w:r>
      <w:bookmarkEnd w:id="211"/>
    </w:p>
    <w:p w14:paraId="2AE948BB" w14:textId="6773C8FA" w:rsidR="008F3027" w:rsidRPr="00B01850" w:rsidRDefault="008F3027" w:rsidP="00214DCC">
      <w:pPr>
        <w:pStyle w:val="ListParagraph"/>
        <w:numPr>
          <w:ilvl w:val="0"/>
          <w:numId w:val="126"/>
        </w:numPr>
        <w:spacing w:after="0" w:line="240" w:lineRule="auto"/>
        <w:contextualSpacing w:val="0"/>
        <w:jc w:val="both"/>
        <w:rPr>
          <w:rFonts w:ascii="Arial" w:hAnsi="Arial" w:cs="Arial"/>
        </w:rPr>
      </w:pPr>
      <w:r w:rsidRPr="00B01850">
        <w:rPr>
          <w:rFonts w:ascii="Arial" w:hAnsi="Arial" w:cs="Arial"/>
        </w:rPr>
        <w:t>Inspection des EPI</w:t>
      </w:r>
    </w:p>
    <w:p w14:paraId="2295C786" w14:textId="11659CDE" w:rsidR="008F3027" w:rsidRPr="00B01850" w:rsidRDefault="008F3027" w:rsidP="00214DCC">
      <w:pPr>
        <w:pStyle w:val="ListParagraph"/>
        <w:numPr>
          <w:ilvl w:val="0"/>
          <w:numId w:val="126"/>
        </w:numPr>
        <w:spacing w:after="0" w:line="240" w:lineRule="auto"/>
        <w:contextualSpacing w:val="0"/>
        <w:jc w:val="both"/>
        <w:rPr>
          <w:rFonts w:ascii="Arial" w:hAnsi="Arial" w:cs="Arial"/>
        </w:rPr>
      </w:pPr>
      <w:r w:rsidRPr="00B01850">
        <w:rPr>
          <w:rFonts w:ascii="Arial" w:hAnsi="Arial" w:cs="Arial"/>
        </w:rPr>
        <w:t>Inspection des outils et des installations</w:t>
      </w:r>
    </w:p>
    <w:p w14:paraId="398D02AE" w14:textId="5BC944EB" w:rsidR="008F3027" w:rsidRPr="00B01850" w:rsidRDefault="000131C4" w:rsidP="00214DCC">
      <w:pPr>
        <w:pStyle w:val="ListParagraph"/>
        <w:numPr>
          <w:ilvl w:val="0"/>
          <w:numId w:val="120"/>
        </w:numPr>
        <w:spacing w:before="240" w:after="240" w:line="240" w:lineRule="auto"/>
        <w:contextualSpacing w:val="0"/>
        <w:jc w:val="both"/>
        <w:rPr>
          <w:rFonts w:ascii="Arial" w:hAnsi="Arial" w:cs="Arial"/>
          <w:b/>
          <w:bCs/>
        </w:rPr>
      </w:pPr>
      <w:r w:rsidRPr="00B01850">
        <w:rPr>
          <w:rFonts w:ascii="Arial" w:hAnsi="Arial" w:cs="Arial"/>
          <w:b/>
          <w:bCs/>
        </w:rPr>
        <w:t>Performance SSE</w:t>
      </w:r>
      <w:r w:rsidR="008F3027" w:rsidRPr="00B01850">
        <w:rPr>
          <w:rFonts w:ascii="Arial" w:hAnsi="Arial" w:cs="Arial"/>
        </w:rPr>
        <w:t xml:space="preserve"> </w:t>
      </w:r>
    </w:p>
    <w:p w14:paraId="19B591F6" w14:textId="617AA46F" w:rsidR="008F3027" w:rsidRPr="00B01850" w:rsidRDefault="008F3027" w:rsidP="00214DCC">
      <w:pPr>
        <w:pStyle w:val="ListParagraph"/>
        <w:numPr>
          <w:ilvl w:val="0"/>
          <w:numId w:val="21"/>
        </w:numPr>
        <w:spacing w:after="0" w:line="240" w:lineRule="auto"/>
        <w:jc w:val="both"/>
        <w:rPr>
          <w:rFonts w:ascii="Arial" w:hAnsi="Arial" w:cs="Arial"/>
        </w:rPr>
      </w:pPr>
      <w:r w:rsidRPr="00B01850">
        <w:rPr>
          <w:rFonts w:ascii="Arial" w:hAnsi="Arial" w:cs="Arial"/>
        </w:rPr>
        <w:t>Si le bilan de sécurité de l'Entrepreneur dans l'exécution du travail attribué est jugé satisfaisant par le service de sécurité de l'Entité d'exécution, l'Entrepreneur pourra envisager la délivrance d'un certificat approprié pour reconnaître la performance de l'Entrepreneur en matière de sécurité après l'achèvement de la tâche.</w:t>
      </w:r>
    </w:p>
    <w:p w14:paraId="1BC1C7A7" w14:textId="7FD77A58" w:rsidR="008F3027" w:rsidRPr="00B01850" w:rsidRDefault="008D1D76" w:rsidP="00214DCC">
      <w:pPr>
        <w:pStyle w:val="ListParagraph"/>
        <w:numPr>
          <w:ilvl w:val="0"/>
          <w:numId w:val="125"/>
        </w:numPr>
        <w:spacing w:before="240" w:after="240" w:line="240" w:lineRule="auto"/>
        <w:contextualSpacing w:val="0"/>
        <w:jc w:val="both"/>
        <w:rPr>
          <w:rFonts w:ascii="Arial" w:hAnsi="Arial" w:cs="Arial"/>
          <w:b/>
          <w:bCs/>
        </w:rPr>
      </w:pPr>
      <w:r w:rsidRPr="00B01850">
        <w:rPr>
          <w:rFonts w:ascii="Arial" w:hAnsi="Arial" w:cs="Arial"/>
          <w:b/>
          <w:bCs/>
        </w:rPr>
        <w:t xml:space="preserve">Audit du Système Santé Sécurité au Travail </w:t>
      </w:r>
    </w:p>
    <w:p w14:paraId="65BDEAC0" w14:textId="3D3E2F16" w:rsidR="008F3027" w:rsidRPr="00B01850" w:rsidRDefault="008B5383" w:rsidP="008F3027">
      <w:pPr>
        <w:spacing w:after="0" w:line="240" w:lineRule="auto"/>
        <w:jc w:val="both"/>
        <w:rPr>
          <w:rFonts w:ascii="Arial" w:hAnsi="Arial" w:cs="Arial"/>
        </w:rPr>
      </w:pPr>
      <w:r w:rsidRPr="00B01850">
        <w:rPr>
          <w:rFonts w:ascii="Arial" w:hAnsi="Arial" w:cs="Arial"/>
        </w:rPr>
        <w:t xml:space="preserve">Annuellement, des </w:t>
      </w:r>
      <w:r w:rsidR="008F3027" w:rsidRPr="00B01850">
        <w:rPr>
          <w:rFonts w:ascii="Arial" w:hAnsi="Arial" w:cs="Arial"/>
        </w:rPr>
        <w:t>audits</w:t>
      </w:r>
      <w:r w:rsidRPr="00B01850">
        <w:rPr>
          <w:rFonts w:ascii="Arial" w:hAnsi="Arial" w:cs="Arial"/>
        </w:rPr>
        <w:t xml:space="preserve"> du Système </w:t>
      </w:r>
      <w:r w:rsidR="008F3027" w:rsidRPr="00B01850">
        <w:rPr>
          <w:rFonts w:ascii="Arial" w:hAnsi="Arial" w:cs="Arial"/>
        </w:rPr>
        <w:t>S</w:t>
      </w:r>
      <w:r w:rsidRPr="00B01850">
        <w:rPr>
          <w:rFonts w:ascii="Arial" w:hAnsi="Arial" w:cs="Arial"/>
        </w:rPr>
        <w:t>ST</w:t>
      </w:r>
      <w:r w:rsidR="008F3027" w:rsidRPr="00B01850">
        <w:rPr>
          <w:rFonts w:ascii="Arial" w:hAnsi="Arial" w:cs="Arial"/>
        </w:rPr>
        <w:t xml:space="preserve"> seront effectués par l'Entrepreneur</w:t>
      </w:r>
      <w:r w:rsidRPr="00B01850">
        <w:rPr>
          <w:rFonts w:ascii="Arial" w:hAnsi="Arial" w:cs="Arial"/>
        </w:rPr>
        <w:t>. A cet effet, u</w:t>
      </w:r>
      <w:r w:rsidR="008F3027" w:rsidRPr="00B01850">
        <w:rPr>
          <w:rFonts w:ascii="Arial" w:hAnsi="Arial" w:cs="Arial"/>
        </w:rPr>
        <w:t xml:space="preserve">ne liste de contrôle SSE </w:t>
      </w:r>
      <w:r w:rsidRPr="00B01850">
        <w:rPr>
          <w:rFonts w:ascii="Arial" w:hAnsi="Arial" w:cs="Arial"/>
        </w:rPr>
        <w:t xml:space="preserve">sera </w:t>
      </w:r>
      <w:r w:rsidR="008F3027" w:rsidRPr="00B01850">
        <w:rPr>
          <w:rFonts w:ascii="Arial" w:hAnsi="Arial" w:cs="Arial"/>
        </w:rPr>
        <w:t>utilisée pour effectuer l'audit, et le rapport doit être soumis à la direction</w:t>
      </w:r>
      <w:r w:rsidRPr="00B01850">
        <w:rPr>
          <w:rFonts w:ascii="Arial" w:hAnsi="Arial" w:cs="Arial"/>
        </w:rPr>
        <w:t xml:space="preserve"> de l’entreprise partenaire ainsi qu’au projet</w:t>
      </w:r>
      <w:r w:rsidR="008F3027" w:rsidRPr="00B01850">
        <w:rPr>
          <w:rFonts w:ascii="Arial" w:hAnsi="Arial" w:cs="Arial"/>
        </w:rPr>
        <w:t>.</w:t>
      </w:r>
    </w:p>
    <w:p w14:paraId="55DA6298" w14:textId="69D0B0ED" w:rsidR="008F3027" w:rsidRPr="00B01850" w:rsidRDefault="008D1D76" w:rsidP="00523781">
      <w:pPr>
        <w:spacing w:before="120" w:after="0" w:line="240" w:lineRule="auto"/>
        <w:jc w:val="both"/>
        <w:rPr>
          <w:rFonts w:ascii="Arial" w:hAnsi="Arial" w:cs="Arial"/>
        </w:rPr>
      </w:pPr>
      <w:r w:rsidRPr="00B01850">
        <w:rPr>
          <w:rFonts w:ascii="Arial" w:hAnsi="Arial" w:cs="Arial"/>
        </w:rPr>
        <w:t xml:space="preserve">Ainsi, les </w:t>
      </w:r>
      <w:r w:rsidR="008F3027" w:rsidRPr="00B01850">
        <w:rPr>
          <w:rFonts w:ascii="Arial" w:hAnsi="Arial" w:cs="Arial"/>
        </w:rPr>
        <w:t>non-conformités observ</w:t>
      </w:r>
      <w:r w:rsidRPr="00B01850">
        <w:rPr>
          <w:rFonts w:ascii="Arial" w:hAnsi="Arial" w:cs="Arial"/>
        </w:rPr>
        <w:t xml:space="preserve">ées </w:t>
      </w:r>
      <w:r w:rsidR="008F3027" w:rsidRPr="00B01850">
        <w:rPr>
          <w:rFonts w:ascii="Arial" w:hAnsi="Arial" w:cs="Arial"/>
        </w:rPr>
        <w:t xml:space="preserve">lors de l'audit interne ou externe du </w:t>
      </w:r>
      <w:r w:rsidRPr="00B01850">
        <w:rPr>
          <w:rFonts w:ascii="Arial" w:hAnsi="Arial" w:cs="Arial"/>
        </w:rPr>
        <w:t xml:space="preserve">SSST </w:t>
      </w:r>
      <w:r w:rsidR="008F3027" w:rsidRPr="00B01850">
        <w:rPr>
          <w:rFonts w:ascii="Arial" w:hAnsi="Arial" w:cs="Arial"/>
        </w:rPr>
        <w:t xml:space="preserve">doivent être éliminées par </w:t>
      </w:r>
      <w:r w:rsidRPr="00B01850">
        <w:rPr>
          <w:rFonts w:ascii="Arial" w:hAnsi="Arial" w:cs="Arial"/>
        </w:rPr>
        <w:t xml:space="preserve">zone </w:t>
      </w:r>
      <w:r w:rsidR="008F3027" w:rsidRPr="00B01850">
        <w:rPr>
          <w:rFonts w:ascii="Arial" w:hAnsi="Arial" w:cs="Arial"/>
        </w:rPr>
        <w:t xml:space="preserve">dans un délai </w:t>
      </w:r>
      <w:r w:rsidRPr="00B01850">
        <w:rPr>
          <w:rFonts w:ascii="Arial" w:hAnsi="Arial" w:cs="Arial"/>
        </w:rPr>
        <w:t xml:space="preserve">clairement indiqué </w:t>
      </w:r>
      <w:r w:rsidR="008F3027" w:rsidRPr="00B01850">
        <w:rPr>
          <w:rFonts w:ascii="Arial" w:hAnsi="Arial" w:cs="Arial"/>
        </w:rPr>
        <w:t>et</w:t>
      </w:r>
      <w:r w:rsidR="00523781" w:rsidRPr="00B01850">
        <w:rPr>
          <w:rFonts w:ascii="Arial" w:hAnsi="Arial" w:cs="Arial"/>
        </w:rPr>
        <w:t xml:space="preserve"> un compte doit être </w:t>
      </w:r>
      <w:r w:rsidR="008F3027" w:rsidRPr="00B01850">
        <w:rPr>
          <w:rFonts w:ascii="Arial" w:hAnsi="Arial" w:cs="Arial"/>
        </w:rPr>
        <w:t xml:space="preserve">rendu </w:t>
      </w:r>
      <w:r w:rsidR="00523781" w:rsidRPr="00B01850">
        <w:rPr>
          <w:rFonts w:ascii="Arial" w:hAnsi="Arial" w:cs="Arial"/>
        </w:rPr>
        <w:t>à l’UGP.</w:t>
      </w:r>
    </w:p>
    <w:p w14:paraId="36054480" w14:textId="63B1BE24" w:rsidR="008F3027" w:rsidRPr="00B01850" w:rsidRDefault="00796985" w:rsidP="00214DCC">
      <w:pPr>
        <w:pStyle w:val="ListParagraph"/>
        <w:numPr>
          <w:ilvl w:val="0"/>
          <w:numId w:val="124"/>
        </w:numPr>
        <w:spacing w:before="120" w:after="120" w:line="240" w:lineRule="auto"/>
        <w:contextualSpacing w:val="0"/>
        <w:jc w:val="both"/>
        <w:rPr>
          <w:rFonts w:ascii="Arial" w:hAnsi="Arial" w:cs="Arial"/>
          <w:b/>
          <w:bCs/>
        </w:rPr>
      </w:pPr>
      <w:bookmarkStart w:id="212" w:name="_Hlk132807631"/>
      <w:r w:rsidRPr="00B01850">
        <w:rPr>
          <w:rFonts w:ascii="Arial" w:hAnsi="Arial" w:cs="Arial"/>
          <w:b/>
          <w:bCs/>
        </w:rPr>
        <w:t>Réunion mensuelle d'examen HSE</w:t>
      </w:r>
      <w:bookmarkEnd w:id="212"/>
    </w:p>
    <w:p w14:paraId="0321AFD4" w14:textId="13E77B24" w:rsidR="008F3027" w:rsidRPr="00B01850" w:rsidRDefault="008F3027" w:rsidP="008F3027">
      <w:pPr>
        <w:spacing w:after="0" w:line="240" w:lineRule="auto"/>
        <w:jc w:val="both"/>
        <w:rPr>
          <w:rFonts w:ascii="Arial" w:hAnsi="Arial" w:cs="Arial"/>
        </w:rPr>
      </w:pPr>
      <w:r w:rsidRPr="00B01850">
        <w:rPr>
          <w:rFonts w:ascii="Arial" w:hAnsi="Arial" w:cs="Arial"/>
        </w:rPr>
        <w:t>L</w:t>
      </w:r>
      <w:r w:rsidR="00C01CB9" w:rsidRPr="00B01850">
        <w:rPr>
          <w:rFonts w:ascii="Arial" w:hAnsi="Arial" w:cs="Arial"/>
        </w:rPr>
        <w:t xml:space="preserve">a zone d’intervention de l’entrepreneur </w:t>
      </w:r>
      <w:r w:rsidRPr="00B01850">
        <w:rPr>
          <w:rFonts w:ascii="Arial" w:hAnsi="Arial" w:cs="Arial"/>
        </w:rPr>
        <w:t xml:space="preserve">tiendra une réunion mensuelle d'examen </w:t>
      </w:r>
      <w:r w:rsidR="00393D5E" w:rsidRPr="00B01850">
        <w:rPr>
          <w:rFonts w:ascii="Arial" w:hAnsi="Arial" w:cs="Arial"/>
        </w:rPr>
        <w:t>SST</w:t>
      </w:r>
      <w:r w:rsidRPr="00B01850">
        <w:rPr>
          <w:rFonts w:ascii="Arial" w:hAnsi="Arial" w:cs="Arial"/>
        </w:rPr>
        <w:t xml:space="preserve"> pour discuter et résoudre les problèmes </w:t>
      </w:r>
      <w:r w:rsidR="00393D5E" w:rsidRPr="00B01850">
        <w:rPr>
          <w:rFonts w:ascii="Arial" w:hAnsi="Arial" w:cs="Arial"/>
        </w:rPr>
        <w:t>S</w:t>
      </w:r>
      <w:r w:rsidRPr="00B01850">
        <w:rPr>
          <w:rFonts w:ascii="Arial" w:hAnsi="Arial" w:cs="Arial"/>
        </w:rPr>
        <w:t>S</w:t>
      </w:r>
      <w:r w:rsidR="00393D5E" w:rsidRPr="00B01850">
        <w:rPr>
          <w:rFonts w:ascii="Arial" w:hAnsi="Arial" w:cs="Arial"/>
        </w:rPr>
        <w:t>T</w:t>
      </w:r>
      <w:r w:rsidRPr="00B01850">
        <w:rPr>
          <w:rFonts w:ascii="Arial" w:hAnsi="Arial" w:cs="Arial"/>
        </w:rPr>
        <w:t xml:space="preserve"> </w:t>
      </w:r>
      <w:r w:rsidR="00C01CB9" w:rsidRPr="00B01850">
        <w:rPr>
          <w:rFonts w:ascii="Arial" w:hAnsi="Arial" w:cs="Arial"/>
        </w:rPr>
        <w:t xml:space="preserve">identifiés durant la période et </w:t>
      </w:r>
      <w:r w:rsidRPr="00B01850">
        <w:rPr>
          <w:rFonts w:ascii="Arial" w:hAnsi="Arial" w:cs="Arial"/>
        </w:rPr>
        <w:t>améliorer la performance HSE. Il examinera également les incidents survenus d</w:t>
      </w:r>
      <w:r w:rsidR="00C01CB9" w:rsidRPr="00B01850">
        <w:rPr>
          <w:rFonts w:ascii="Arial" w:hAnsi="Arial" w:cs="Arial"/>
        </w:rPr>
        <w:t>urant cette période</w:t>
      </w:r>
      <w:r w:rsidRPr="00B01850">
        <w:rPr>
          <w:rFonts w:ascii="Arial" w:hAnsi="Arial" w:cs="Arial"/>
        </w:rPr>
        <w:t>, leur cause profonde</w:t>
      </w:r>
      <w:r w:rsidR="00393D5E" w:rsidRPr="00B01850">
        <w:rPr>
          <w:rFonts w:ascii="Arial" w:hAnsi="Arial" w:cs="Arial"/>
        </w:rPr>
        <w:t>,</w:t>
      </w:r>
      <w:r w:rsidRPr="00B01850">
        <w:rPr>
          <w:rFonts w:ascii="Arial" w:hAnsi="Arial" w:cs="Arial"/>
        </w:rPr>
        <w:t xml:space="preserve"> les mesures correctives et préventives</w:t>
      </w:r>
      <w:r w:rsidR="00393D5E" w:rsidRPr="00B01850">
        <w:rPr>
          <w:rFonts w:ascii="Arial" w:hAnsi="Arial" w:cs="Arial"/>
        </w:rPr>
        <w:t xml:space="preserve"> ainsi que la gestion des documents relatifs à ces incidents</w:t>
      </w:r>
      <w:r w:rsidRPr="00B01850">
        <w:rPr>
          <w:rFonts w:ascii="Arial" w:hAnsi="Arial" w:cs="Arial"/>
        </w:rPr>
        <w:t xml:space="preserve">. </w:t>
      </w:r>
      <w:r w:rsidR="00393D5E" w:rsidRPr="00B01850">
        <w:rPr>
          <w:rFonts w:ascii="Arial" w:hAnsi="Arial" w:cs="Arial"/>
        </w:rPr>
        <w:t>Durant cette réunion, l’</w:t>
      </w:r>
      <w:r w:rsidRPr="00B01850">
        <w:rPr>
          <w:rFonts w:ascii="Arial" w:hAnsi="Arial" w:cs="Arial"/>
        </w:rPr>
        <w:t xml:space="preserve">ordre du jour </w:t>
      </w:r>
      <w:r w:rsidR="00393D5E" w:rsidRPr="00B01850">
        <w:rPr>
          <w:rFonts w:ascii="Arial" w:hAnsi="Arial" w:cs="Arial"/>
        </w:rPr>
        <w:t>indicatifs pourrait le suivant :</w:t>
      </w:r>
    </w:p>
    <w:p w14:paraId="3E631CE0" w14:textId="6CADDA6D" w:rsidR="008F3027" w:rsidRPr="00B01850" w:rsidRDefault="008F3027" w:rsidP="00214DCC">
      <w:pPr>
        <w:pStyle w:val="ListParagraph"/>
        <w:numPr>
          <w:ilvl w:val="0"/>
          <w:numId w:val="22"/>
        </w:numPr>
        <w:spacing w:after="0" w:line="240" w:lineRule="auto"/>
        <w:jc w:val="both"/>
        <w:rPr>
          <w:rFonts w:ascii="Arial" w:hAnsi="Arial" w:cs="Arial"/>
        </w:rPr>
      </w:pPr>
      <w:r w:rsidRPr="00B01850">
        <w:rPr>
          <w:rFonts w:ascii="Arial" w:hAnsi="Arial" w:cs="Arial"/>
        </w:rPr>
        <w:t xml:space="preserve">Performance </w:t>
      </w:r>
      <w:r w:rsidR="00393D5E" w:rsidRPr="00B01850">
        <w:rPr>
          <w:rFonts w:ascii="Arial" w:hAnsi="Arial" w:cs="Arial"/>
        </w:rPr>
        <w:t>SST ;</w:t>
      </w:r>
    </w:p>
    <w:p w14:paraId="7B579471" w14:textId="22E0E0DC" w:rsidR="008F3027" w:rsidRPr="00B01850" w:rsidRDefault="008F3027" w:rsidP="00214DCC">
      <w:pPr>
        <w:pStyle w:val="ListParagraph"/>
        <w:numPr>
          <w:ilvl w:val="0"/>
          <w:numId w:val="22"/>
        </w:numPr>
        <w:spacing w:after="0" w:line="240" w:lineRule="auto"/>
        <w:jc w:val="both"/>
        <w:rPr>
          <w:rFonts w:ascii="Arial" w:hAnsi="Arial" w:cs="Arial"/>
        </w:rPr>
      </w:pPr>
      <w:r w:rsidRPr="00B01850">
        <w:rPr>
          <w:rFonts w:ascii="Arial" w:hAnsi="Arial" w:cs="Arial"/>
        </w:rPr>
        <w:t xml:space="preserve">Inspection </w:t>
      </w:r>
      <w:r w:rsidR="00393D5E" w:rsidRPr="00B01850">
        <w:rPr>
          <w:rFonts w:ascii="Arial" w:hAnsi="Arial" w:cs="Arial"/>
        </w:rPr>
        <w:t>SST ;</w:t>
      </w:r>
    </w:p>
    <w:p w14:paraId="69E6A670" w14:textId="4D11AF3E" w:rsidR="008F3027" w:rsidRPr="00B01850" w:rsidRDefault="008F3027" w:rsidP="00214DCC">
      <w:pPr>
        <w:pStyle w:val="ListParagraph"/>
        <w:numPr>
          <w:ilvl w:val="0"/>
          <w:numId w:val="22"/>
        </w:numPr>
        <w:spacing w:after="0" w:line="240" w:lineRule="auto"/>
        <w:jc w:val="both"/>
        <w:rPr>
          <w:rFonts w:ascii="Arial" w:hAnsi="Arial" w:cs="Arial"/>
        </w:rPr>
      </w:pPr>
      <w:r w:rsidRPr="00B01850">
        <w:rPr>
          <w:rFonts w:ascii="Arial" w:hAnsi="Arial" w:cs="Arial"/>
        </w:rPr>
        <w:t>Audit SS</w:t>
      </w:r>
      <w:r w:rsidR="00393D5E" w:rsidRPr="00B01850">
        <w:rPr>
          <w:rFonts w:ascii="Arial" w:hAnsi="Arial" w:cs="Arial"/>
        </w:rPr>
        <w:t>E ;</w:t>
      </w:r>
    </w:p>
    <w:p w14:paraId="508C0C66" w14:textId="77777777" w:rsidR="008F3027" w:rsidRPr="00B01850" w:rsidRDefault="008F3027" w:rsidP="00214DCC">
      <w:pPr>
        <w:pStyle w:val="ListParagraph"/>
        <w:numPr>
          <w:ilvl w:val="0"/>
          <w:numId w:val="22"/>
        </w:numPr>
        <w:spacing w:after="0" w:line="240" w:lineRule="auto"/>
        <w:jc w:val="both"/>
        <w:rPr>
          <w:rFonts w:ascii="Arial" w:hAnsi="Arial" w:cs="Arial"/>
        </w:rPr>
      </w:pPr>
      <w:r w:rsidRPr="00B01850">
        <w:rPr>
          <w:rFonts w:ascii="Arial" w:hAnsi="Arial" w:cs="Arial"/>
        </w:rPr>
        <w:t xml:space="preserve">Formation SSE </w:t>
      </w:r>
    </w:p>
    <w:p w14:paraId="27C48C9B" w14:textId="77777777" w:rsidR="008F3027" w:rsidRPr="00B01850" w:rsidRDefault="008F3027" w:rsidP="00214DCC">
      <w:pPr>
        <w:pStyle w:val="ListParagraph"/>
        <w:numPr>
          <w:ilvl w:val="0"/>
          <w:numId w:val="22"/>
        </w:numPr>
        <w:spacing w:after="0" w:line="240" w:lineRule="auto"/>
        <w:jc w:val="both"/>
        <w:rPr>
          <w:rFonts w:ascii="Arial" w:hAnsi="Arial" w:cs="Arial"/>
        </w:rPr>
      </w:pPr>
      <w:r w:rsidRPr="00B01850">
        <w:rPr>
          <w:rFonts w:ascii="Arial" w:hAnsi="Arial" w:cs="Arial"/>
        </w:rPr>
        <w:t xml:space="preserve">Camp de bilan de santé </w:t>
      </w:r>
    </w:p>
    <w:p w14:paraId="3A52F133" w14:textId="4ED6423F" w:rsidR="008F3027" w:rsidRPr="00B01850" w:rsidRDefault="008F3027" w:rsidP="00214DCC">
      <w:pPr>
        <w:pStyle w:val="ListParagraph"/>
        <w:numPr>
          <w:ilvl w:val="0"/>
          <w:numId w:val="22"/>
        </w:numPr>
        <w:spacing w:after="0" w:line="240" w:lineRule="auto"/>
        <w:jc w:val="both"/>
        <w:rPr>
          <w:rFonts w:ascii="Arial" w:hAnsi="Arial" w:cs="Arial"/>
        </w:rPr>
      </w:pPr>
      <w:r w:rsidRPr="00B01850">
        <w:rPr>
          <w:rFonts w:ascii="Arial" w:hAnsi="Arial" w:cs="Arial"/>
        </w:rPr>
        <w:t xml:space="preserve">Planification </w:t>
      </w:r>
      <w:r w:rsidR="00393D5E" w:rsidRPr="00B01850">
        <w:rPr>
          <w:rFonts w:ascii="Arial" w:hAnsi="Arial" w:cs="Arial"/>
        </w:rPr>
        <w:t>SST</w:t>
      </w:r>
      <w:r w:rsidRPr="00B01850">
        <w:rPr>
          <w:rFonts w:ascii="Arial" w:hAnsi="Arial" w:cs="Arial"/>
        </w:rPr>
        <w:t xml:space="preserve"> pour les activités de montage, de mise en service et d'installation au cours du mois à venir </w:t>
      </w:r>
    </w:p>
    <w:p w14:paraId="1AFBF1AB" w14:textId="13A48B95" w:rsidR="008F3027" w:rsidRPr="00B01850" w:rsidRDefault="008F3027" w:rsidP="00214DCC">
      <w:pPr>
        <w:pStyle w:val="ListParagraph"/>
        <w:numPr>
          <w:ilvl w:val="0"/>
          <w:numId w:val="22"/>
        </w:numPr>
        <w:spacing w:after="0" w:line="240" w:lineRule="auto"/>
        <w:jc w:val="both"/>
        <w:rPr>
          <w:rFonts w:ascii="Arial" w:hAnsi="Arial" w:cs="Arial"/>
        </w:rPr>
      </w:pPr>
      <w:r w:rsidRPr="00B01850">
        <w:rPr>
          <w:rFonts w:ascii="Arial" w:hAnsi="Arial" w:cs="Arial"/>
        </w:rPr>
        <w:t xml:space="preserve">Activités de récompense et de promotion </w:t>
      </w:r>
      <w:r w:rsidR="00393D5E" w:rsidRPr="00B01850">
        <w:rPr>
          <w:rFonts w:ascii="Arial" w:hAnsi="Arial" w:cs="Arial"/>
        </w:rPr>
        <w:t>SST</w:t>
      </w:r>
    </w:p>
    <w:p w14:paraId="4E72F32E" w14:textId="650C1FAE" w:rsidR="008F3027" w:rsidRPr="00B01850" w:rsidRDefault="008F3027" w:rsidP="00146431">
      <w:pPr>
        <w:spacing w:before="120" w:after="0" w:line="240" w:lineRule="auto"/>
        <w:jc w:val="both"/>
        <w:rPr>
          <w:rFonts w:ascii="Arial" w:hAnsi="Arial" w:cs="Arial"/>
        </w:rPr>
      </w:pPr>
      <w:r w:rsidRPr="00B01850">
        <w:rPr>
          <w:rFonts w:ascii="Arial" w:hAnsi="Arial" w:cs="Arial"/>
        </w:rPr>
        <w:t xml:space="preserve">La réunion sera présidée par le </w:t>
      </w:r>
      <w:r w:rsidR="00750304" w:rsidRPr="00B01850">
        <w:rPr>
          <w:rFonts w:ascii="Arial" w:hAnsi="Arial" w:cs="Arial"/>
        </w:rPr>
        <w:t>Directeur des Opérations</w:t>
      </w:r>
      <w:r w:rsidRPr="00B01850">
        <w:rPr>
          <w:rFonts w:ascii="Arial" w:hAnsi="Arial" w:cs="Arial"/>
        </w:rPr>
        <w:t xml:space="preserve">, convoquée par le coordinateur </w:t>
      </w:r>
      <w:r w:rsidR="00750304" w:rsidRPr="00B01850">
        <w:rPr>
          <w:rFonts w:ascii="Arial" w:hAnsi="Arial" w:cs="Arial"/>
        </w:rPr>
        <w:t>SST</w:t>
      </w:r>
      <w:r w:rsidRPr="00B01850">
        <w:rPr>
          <w:rFonts w:ascii="Arial" w:hAnsi="Arial" w:cs="Arial"/>
        </w:rPr>
        <w:t>, et tou</w:t>
      </w:r>
      <w:r w:rsidR="00750304" w:rsidRPr="00B01850">
        <w:rPr>
          <w:rFonts w:ascii="Arial" w:hAnsi="Arial" w:cs="Arial"/>
        </w:rPr>
        <w:t xml:space="preserve">t le </w:t>
      </w:r>
      <w:r w:rsidRPr="00B01850">
        <w:rPr>
          <w:rFonts w:ascii="Arial" w:hAnsi="Arial" w:cs="Arial"/>
        </w:rPr>
        <w:t>personnel concerné participe, y compris le</w:t>
      </w:r>
      <w:r w:rsidR="00750304" w:rsidRPr="00B01850">
        <w:rPr>
          <w:rFonts w:ascii="Arial" w:hAnsi="Arial" w:cs="Arial"/>
        </w:rPr>
        <w:t>s spécialistes en Santé Sécurité travaillant au compte de l’entrepreneur.</w:t>
      </w:r>
    </w:p>
    <w:p w14:paraId="7692FF7B" w14:textId="394836C4" w:rsidR="00497429" w:rsidRPr="00B01850" w:rsidRDefault="004C3EF7" w:rsidP="0073572E">
      <w:pPr>
        <w:spacing w:before="120" w:after="0" w:line="240" w:lineRule="auto"/>
        <w:jc w:val="both"/>
        <w:rPr>
          <w:rFonts w:ascii="Arial" w:hAnsi="Arial" w:cs="Arial"/>
        </w:rPr>
      </w:pPr>
      <w:r w:rsidRPr="00B01850">
        <w:rPr>
          <w:rFonts w:ascii="Arial" w:hAnsi="Arial" w:cs="Arial"/>
        </w:rPr>
        <w:t>Par ailleurs, l’UGP du NAFA -PRU-APN (P168777), s’assurer</w:t>
      </w:r>
      <w:r w:rsidR="00AE3F63" w:rsidRPr="00B01850">
        <w:rPr>
          <w:rFonts w:ascii="Arial" w:hAnsi="Arial" w:cs="Arial"/>
        </w:rPr>
        <w:t>a</w:t>
      </w:r>
      <w:r w:rsidRPr="00B01850">
        <w:rPr>
          <w:rFonts w:ascii="Arial" w:hAnsi="Arial" w:cs="Arial"/>
        </w:rPr>
        <w:t xml:space="preserve"> de l’existence et de l’opérationnalisation des instruments, outils, liste de contrôle</w:t>
      </w:r>
      <w:r w:rsidR="00796985" w:rsidRPr="00B01850">
        <w:rPr>
          <w:rFonts w:ascii="Arial" w:hAnsi="Arial" w:cs="Arial"/>
        </w:rPr>
        <w:t>, trousses</w:t>
      </w:r>
      <w:r w:rsidRPr="00B01850">
        <w:rPr>
          <w:rFonts w:ascii="Arial" w:hAnsi="Arial" w:cs="Arial"/>
        </w:rPr>
        <w:t xml:space="preserve"> et documents nécessaires au contrôle et à la supervision </w:t>
      </w:r>
      <w:r w:rsidR="00AE3F63" w:rsidRPr="00B01850">
        <w:rPr>
          <w:rFonts w:ascii="Arial" w:hAnsi="Arial" w:cs="Arial"/>
        </w:rPr>
        <w:t>de</w:t>
      </w:r>
      <w:r w:rsidRPr="00B01850">
        <w:rPr>
          <w:rFonts w:ascii="Arial" w:hAnsi="Arial" w:cs="Arial"/>
        </w:rPr>
        <w:t xml:space="preserve"> la mise en œuvre des mesures de santé sécurité au travail respectueuses des activités d’urgence.</w:t>
      </w:r>
    </w:p>
    <w:p w14:paraId="35C07EEB" w14:textId="78286A7E" w:rsidR="008F3027" w:rsidRPr="00B01850" w:rsidRDefault="008F3027" w:rsidP="008F3027">
      <w:pPr>
        <w:spacing w:after="0" w:line="240" w:lineRule="auto"/>
        <w:jc w:val="both"/>
        <w:rPr>
          <w:rFonts w:ascii="Arial" w:hAnsi="Arial" w:cs="Arial"/>
        </w:rPr>
      </w:pPr>
      <w:r w:rsidRPr="00B01850">
        <w:rPr>
          <w:rFonts w:ascii="Arial" w:hAnsi="Arial" w:cs="Arial"/>
        </w:rPr>
        <w:t xml:space="preserve"> </w:t>
      </w:r>
    </w:p>
    <w:p w14:paraId="2F9E847C" w14:textId="47E791E6" w:rsidR="008B6D3D" w:rsidRPr="00B01850" w:rsidRDefault="00FF1DB9" w:rsidP="008B6D3D">
      <w:pPr>
        <w:pStyle w:val="Heading1"/>
        <w:rPr>
          <w:rFonts w:ascii="Arial" w:hAnsi="Arial" w:cs="Arial"/>
          <w:color w:val="auto"/>
          <w:sz w:val="22"/>
          <w:szCs w:val="22"/>
        </w:rPr>
      </w:pPr>
      <w:bookmarkStart w:id="213" w:name="_Toc562412918"/>
      <w:bookmarkStart w:id="214" w:name="_Hlk196718840"/>
      <w:bookmarkStart w:id="215" w:name="_Toc197382162"/>
      <w:r w:rsidRPr="00B01850">
        <w:rPr>
          <w:rFonts w:ascii="Arial" w:hAnsi="Arial" w:cs="Arial"/>
          <w:color w:val="auto"/>
          <w:sz w:val="22"/>
          <w:szCs w:val="22"/>
        </w:rPr>
        <w:lastRenderedPageBreak/>
        <w:t xml:space="preserve">Annexe 4 : Mécanisme de </w:t>
      </w:r>
      <w:r w:rsidR="00201860" w:rsidRPr="00B01850">
        <w:rPr>
          <w:rFonts w:ascii="Arial" w:hAnsi="Arial" w:cs="Arial"/>
          <w:color w:val="auto"/>
          <w:sz w:val="22"/>
          <w:szCs w:val="22"/>
        </w:rPr>
        <w:t>gestion des réclamations</w:t>
      </w:r>
      <w:bookmarkEnd w:id="213"/>
      <w:bookmarkEnd w:id="215"/>
    </w:p>
    <w:bookmarkEnd w:id="214"/>
    <w:p w14:paraId="497E7E81" w14:textId="77777777" w:rsidR="0007560A" w:rsidRPr="00B01850" w:rsidRDefault="0007560A" w:rsidP="00426D89">
      <w:pPr>
        <w:spacing w:after="0"/>
        <w:rPr>
          <w:rFonts w:ascii="Arial" w:hAnsi="Arial" w:cs="Arial"/>
        </w:rPr>
      </w:pPr>
    </w:p>
    <w:p w14:paraId="0A934D21" w14:textId="38492DA7" w:rsidR="00AC47E7" w:rsidRPr="00B01850" w:rsidRDefault="00AC47E7" w:rsidP="00214DCC">
      <w:pPr>
        <w:pStyle w:val="ListParagraph"/>
        <w:numPr>
          <w:ilvl w:val="0"/>
          <w:numId w:val="124"/>
        </w:numPr>
        <w:spacing w:before="120" w:after="120" w:line="240" w:lineRule="auto"/>
        <w:contextualSpacing w:val="0"/>
        <w:jc w:val="both"/>
        <w:rPr>
          <w:rFonts w:ascii="Arial" w:hAnsi="Arial" w:cs="Arial"/>
          <w:b/>
          <w:bCs/>
        </w:rPr>
      </w:pPr>
      <w:r w:rsidRPr="00B01850">
        <w:rPr>
          <w:rFonts w:ascii="Arial" w:hAnsi="Arial" w:cs="Arial"/>
          <w:b/>
          <w:bCs/>
        </w:rPr>
        <w:t>Généralité sur le MGR applicable au CERP</w:t>
      </w:r>
    </w:p>
    <w:p w14:paraId="7DDE33E0" w14:textId="1B724A26" w:rsidR="00867C83" w:rsidRPr="00B01850" w:rsidRDefault="0039330E" w:rsidP="008558A8">
      <w:pPr>
        <w:spacing w:after="0" w:line="240" w:lineRule="auto"/>
        <w:jc w:val="both"/>
        <w:rPr>
          <w:rFonts w:ascii="Arial" w:hAnsi="Arial" w:cs="Arial"/>
        </w:rPr>
      </w:pPr>
      <w:r w:rsidRPr="00B01850">
        <w:rPr>
          <w:rFonts w:ascii="Arial" w:hAnsi="Arial" w:cs="Arial"/>
        </w:rPr>
        <w:t>Pour gérer les réclamations relatives à la mise en œuvre des activités d’urgence, le CERP utilisera le Mécanisme de Gestion des Réclamations du projet NAFA PRU-APN (</w:t>
      </w:r>
      <w:r w:rsidRPr="009A48E2">
        <w:rPr>
          <w:rFonts w:ascii="Arial" w:hAnsi="Arial" w:cs="Arial"/>
        </w:rPr>
        <w:t>P168777)</w:t>
      </w:r>
      <w:r w:rsidRPr="00B01850">
        <w:rPr>
          <w:rFonts w:ascii="Arial" w:hAnsi="Arial" w:cs="Arial"/>
        </w:rPr>
        <w:t xml:space="preserve"> aligné sur le Mécanisme National de Gestion des Réclamations</w:t>
      </w:r>
      <w:r w:rsidR="001341A6" w:rsidRPr="00B01850">
        <w:rPr>
          <w:rFonts w:ascii="Arial" w:hAnsi="Arial" w:cs="Arial"/>
        </w:rPr>
        <w:t xml:space="preserve"> (MNGR)</w:t>
      </w:r>
      <w:r w:rsidRPr="00B01850">
        <w:rPr>
          <w:rFonts w:ascii="Arial" w:hAnsi="Arial" w:cs="Arial"/>
        </w:rPr>
        <w:t xml:space="preserve"> coordonné par l’A</w:t>
      </w:r>
      <w:r w:rsidR="003457C6" w:rsidRPr="00B01850">
        <w:rPr>
          <w:rFonts w:ascii="Arial" w:hAnsi="Arial" w:cs="Arial"/>
        </w:rPr>
        <w:t xml:space="preserve">gence </w:t>
      </w:r>
      <w:r w:rsidRPr="00B01850">
        <w:rPr>
          <w:rFonts w:ascii="Arial" w:hAnsi="Arial" w:cs="Arial"/>
        </w:rPr>
        <w:t>N</w:t>
      </w:r>
      <w:r w:rsidR="003457C6" w:rsidRPr="00B01850">
        <w:rPr>
          <w:rFonts w:ascii="Arial" w:hAnsi="Arial" w:cs="Arial"/>
        </w:rPr>
        <w:t>ationale de Financement des Investissements des Collectivités (AN</w:t>
      </w:r>
      <w:r w:rsidRPr="00B01850">
        <w:rPr>
          <w:rFonts w:ascii="Arial" w:hAnsi="Arial" w:cs="Arial"/>
        </w:rPr>
        <w:t>AFIC</w:t>
      </w:r>
      <w:r w:rsidR="003457C6" w:rsidRPr="00B01850">
        <w:rPr>
          <w:rFonts w:ascii="Arial" w:hAnsi="Arial" w:cs="Arial"/>
        </w:rPr>
        <w:t>)</w:t>
      </w:r>
      <w:r w:rsidRPr="00B01850">
        <w:rPr>
          <w:rFonts w:ascii="Arial" w:hAnsi="Arial" w:cs="Arial"/>
        </w:rPr>
        <w:t>.</w:t>
      </w:r>
      <w:r w:rsidR="00621BFB" w:rsidRPr="00B01850">
        <w:rPr>
          <w:rFonts w:ascii="Arial" w:hAnsi="Arial" w:cs="Arial"/>
        </w:rPr>
        <w:t xml:space="preserve"> Mais ce MGR ne couvre </w:t>
      </w:r>
      <w:r w:rsidR="003457C6" w:rsidRPr="00B01850">
        <w:rPr>
          <w:rFonts w:ascii="Arial" w:hAnsi="Arial" w:cs="Arial"/>
        </w:rPr>
        <w:t xml:space="preserve">quelques préfectures </w:t>
      </w:r>
      <w:r w:rsidR="00621BFB" w:rsidRPr="00B01850">
        <w:rPr>
          <w:rFonts w:ascii="Arial" w:hAnsi="Arial" w:cs="Arial"/>
        </w:rPr>
        <w:t xml:space="preserve">alors </w:t>
      </w:r>
      <w:r w:rsidR="003457C6" w:rsidRPr="00B01850">
        <w:rPr>
          <w:rFonts w:ascii="Arial" w:hAnsi="Arial" w:cs="Arial"/>
        </w:rPr>
        <w:t xml:space="preserve">que </w:t>
      </w:r>
      <w:r w:rsidR="00621BFB" w:rsidRPr="00B01850">
        <w:rPr>
          <w:rFonts w:ascii="Arial" w:hAnsi="Arial" w:cs="Arial"/>
        </w:rPr>
        <w:t>le CERP</w:t>
      </w:r>
      <w:r w:rsidR="003457C6" w:rsidRPr="00B01850">
        <w:rPr>
          <w:rFonts w:ascii="Arial" w:hAnsi="Arial" w:cs="Arial"/>
        </w:rPr>
        <w:t xml:space="preserve"> selon certaines catastrophes, pourrait couvrir tout le territoire national. </w:t>
      </w:r>
      <w:r w:rsidRPr="00B01850">
        <w:rPr>
          <w:rFonts w:ascii="Arial" w:hAnsi="Arial" w:cs="Arial"/>
        </w:rPr>
        <w:t xml:space="preserve">Toutefois, le </w:t>
      </w:r>
      <w:r w:rsidR="001341A6" w:rsidRPr="00B01850">
        <w:rPr>
          <w:rFonts w:ascii="Arial" w:hAnsi="Arial" w:cs="Arial"/>
        </w:rPr>
        <w:t xml:space="preserve">document de </w:t>
      </w:r>
      <w:r w:rsidRPr="00B01850">
        <w:rPr>
          <w:rFonts w:ascii="Arial" w:hAnsi="Arial" w:cs="Arial"/>
        </w:rPr>
        <w:t>MGR du projet NAFA PRU-APN (</w:t>
      </w:r>
      <w:r w:rsidRPr="009A48E2">
        <w:rPr>
          <w:rFonts w:ascii="Arial" w:hAnsi="Arial" w:cs="Arial"/>
        </w:rPr>
        <w:t>P168777)</w:t>
      </w:r>
      <w:r w:rsidRPr="00B01850">
        <w:rPr>
          <w:rFonts w:ascii="Arial" w:hAnsi="Arial" w:cs="Arial"/>
        </w:rPr>
        <w:t xml:space="preserve">, validé par Banque mondiale, servira dans un premier temps </w:t>
      </w:r>
      <w:r w:rsidR="001341A6" w:rsidRPr="00B01850">
        <w:rPr>
          <w:rFonts w:ascii="Arial" w:hAnsi="Arial" w:cs="Arial"/>
        </w:rPr>
        <w:t>au CERP</w:t>
      </w:r>
      <w:r w:rsidR="00621BFB" w:rsidRPr="00B01850">
        <w:rPr>
          <w:rFonts w:ascii="Arial" w:hAnsi="Arial" w:cs="Arial"/>
        </w:rPr>
        <w:t>. E</w:t>
      </w:r>
      <w:r w:rsidR="001341A6" w:rsidRPr="00B01850">
        <w:rPr>
          <w:rFonts w:ascii="Arial" w:hAnsi="Arial" w:cs="Arial"/>
        </w:rPr>
        <w:t>nsuite</w:t>
      </w:r>
      <w:r w:rsidR="00621BFB" w:rsidRPr="00B01850">
        <w:rPr>
          <w:rFonts w:ascii="Arial" w:hAnsi="Arial" w:cs="Arial"/>
        </w:rPr>
        <w:t>, lorsque le manuel du MNGR sera finalisé, validé et opérationnalisé, le CERP établira un accord avec l’ANAFIC pour utiliser le MNGR.</w:t>
      </w:r>
    </w:p>
    <w:p w14:paraId="5B6760B5" w14:textId="77777777" w:rsidR="008558A8" w:rsidRPr="00B01850" w:rsidRDefault="008558A8" w:rsidP="008558A8">
      <w:pPr>
        <w:spacing w:after="0" w:line="240" w:lineRule="auto"/>
        <w:jc w:val="both"/>
        <w:rPr>
          <w:rFonts w:ascii="Arial" w:hAnsi="Arial" w:cs="Arial"/>
        </w:rPr>
      </w:pPr>
    </w:p>
    <w:p w14:paraId="62D13561" w14:textId="77777777" w:rsidR="001F6C7F" w:rsidRPr="00B01850" w:rsidRDefault="002A23D8" w:rsidP="008558A8">
      <w:pPr>
        <w:spacing w:after="0" w:line="240" w:lineRule="auto"/>
        <w:jc w:val="both"/>
        <w:rPr>
          <w:rFonts w:ascii="Arial" w:hAnsi="Arial" w:cs="Arial"/>
        </w:rPr>
      </w:pPr>
      <w:r w:rsidRPr="00B01850">
        <w:rPr>
          <w:rFonts w:ascii="Arial" w:hAnsi="Arial" w:cs="Arial"/>
        </w:rPr>
        <w:t>En effet, du</w:t>
      </w:r>
      <w:r w:rsidR="008558A8" w:rsidRPr="00B01850">
        <w:rPr>
          <w:rFonts w:ascii="Arial" w:hAnsi="Arial" w:cs="Arial"/>
        </w:rPr>
        <w:t>rant la conception et l</w:t>
      </w:r>
      <w:r w:rsidR="0047291E" w:rsidRPr="00B01850">
        <w:rPr>
          <w:rFonts w:ascii="Arial" w:hAnsi="Arial" w:cs="Arial"/>
        </w:rPr>
        <w:t>’exécution du CERP</w:t>
      </w:r>
      <w:r w:rsidR="006E3D83" w:rsidRPr="00B01850">
        <w:rPr>
          <w:rFonts w:ascii="Arial" w:hAnsi="Arial" w:cs="Arial"/>
        </w:rPr>
        <w:t xml:space="preserve"> en Guinée</w:t>
      </w:r>
      <w:r w:rsidR="0047291E" w:rsidRPr="00B01850">
        <w:rPr>
          <w:rFonts w:ascii="Arial" w:hAnsi="Arial" w:cs="Arial"/>
        </w:rPr>
        <w:t xml:space="preserve">, </w:t>
      </w:r>
      <w:r w:rsidR="008558A8" w:rsidRPr="00B01850">
        <w:rPr>
          <w:rFonts w:ascii="Arial" w:hAnsi="Arial" w:cs="Arial"/>
        </w:rPr>
        <w:t>les parties prenantes p</w:t>
      </w:r>
      <w:r w:rsidRPr="00B01850">
        <w:rPr>
          <w:rFonts w:ascii="Arial" w:hAnsi="Arial" w:cs="Arial"/>
        </w:rPr>
        <w:t xml:space="preserve">ourraient </w:t>
      </w:r>
      <w:r w:rsidR="008558A8" w:rsidRPr="00B01850">
        <w:rPr>
          <w:rFonts w:ascii="Arial" w:hAnsi="Arial" w:cs="Arial"/>
        </w:rPr>
        <w:t xml:space="preserve">subir des effets négatifs </w:t>
      </w:r>
      <w:r w:rsidR="00475D62" w:rsidRPr="00B01850">
        <w:rPr>
          <w:rFonts w:ascii="Arial" w:hAnsi="Arial" w:cs="Arial"/>
        </w:rPr>
        <w:t>liés aux activités du projet</w:t>
      </w:r>
      <w:r w:rsidR="008558A8" w:rsidRPr="00B01850">
        <w:rPr>
          <w:rFonts w:ascii="Arial" w:hAnsi="Arial" w:cs="Arial"/>
        </w:rPr>
        <w:t xml:space="preserve">. Les </w:t>
      </w:r>
      <w:r w:rsidR="00107D45" w:rsidRPr="00B01850">
        <w:rPr>
          <w:rFonts w:ascii="Arial" w:hAnsi="Arial" w:cs="Arial"/>
        </w:rPr>
        <w:t xml:space="preserve">réclamations </w:t>
      </w:r>
      <w:r w:rsidR="000E5DFC" w:rsidRPr="00B01850">
        <w:rPr>
          <w:rFonts w:ascii="Arial" w:hAnsi="Arial" w:cs="Arial"/>
        </w:rPr>
        <w:t xml:space="preserve">relatives aux activités du CERP </w:t>
      </w:r>
      <w:r w:rsidR="009B4026" w:rsidRPr="00B01850">
        <w:rPr>
          <w:rFonts w:ascii="Arial" w:hAnsi="Arial" w:cs="Arial"/>
        </w:rPr>
        <w:t>po</w:t>
      </w:r>
      <w:r w:rsidR="00C05913" w:rsidRPr="00B01850">
        <w:rPr>
          <w:rFonts w:ascii="Arial" w:hAnsi="Arial" w:cs="Arial"/>
        </w:rPr>
        <w:t>urraient po</w:t>
      </w:r>
      <w:r w:rsidR="009B4026" w:rsidRPr="00B01850">
        <w:rPr>
          <w:rFonts w:ascii="Arial" w:hAnsi="Arial" w:cs="Arial"/>
        </w:rPr>
        <w:t xml:space="preserve">rter sur </w:t>
      </w:r>
      <w:r w:rsidR="008558A8" w:rsidRPr="00B01850">
        <w:rPr>
          <w:rFonts w:ascii="Arial" w:hAnsi="Arial" w:cs="Arial"/>
        </w:rPr>
        <w:t xml:space="preserve">l'exclusion des transferts monétaires, la gestion de la circulation ou la violence sexiste, </w:t>
      </w:r>
      <w:r w:rsidR="000E5DFC" w:rsidRPr="00B01850">
        <w:rPr>
          <w:rFonts w:ascii="Arial" w:hAnsi="Arial" w:cs="Arial"/>
        </w:rPr>
        <w:t>la mauvaise des déchets biomédicaux, etc</w:t>
      </w:r>
      <w:r w:rsidR="008558A8" w:rsidRPr="00B01850">
        <w:rPr>
          <w:rFonts w:ascii="Arial" w:hAnsi="Arial" w:cs="Arial"/>
        </w:rPr>
        <w:t xml:space="preserve">. </w:t>
      </w:r>
      <w:r w:rsidR="005F548F" w:rsidRPr="00B01850">
        <w:rPr>
          <w:rFonts w:ascii="Arial" w:hAnsi="Arial" w:cs="Arial"/>
        </w:rPr>
        <w:t>Ce qui nécessite la mise en place d’</w:t>
      </w:r>
      <w:r w:rsidR="008558A8" w:rsidRPr="00B01850">
        <w:rPr>
          <w:rFonts w:ascii="Arial" w:hAnsi="Arial" w:cs="Arial"/>
        </w:rPr>
        <w:t xml:space="preserve">un mécanisme </w:t>
      </w:r>
      <w:r w:rsidR="005F548F" w:rsidRPr="00B01850">
        <w:rPr>
          <w:rFonts w:ascii="Arial" w:hAnsi="Arial" w:cs="Arial"/>
        </w:rPr>
        <w:t xml:space="preserve">pour </w:t>
      </w:r>
      <w:r w:rsidR="00C05913" w:rsidRPr="00423920">
        <w:rPr>
          <w:rFonts w:ascii="Arial" w:hAnsi="Arial" w:cs="Arial"/>
        </w:rPr>
        <w:t xml:space="preserve">porter plainte ou demander des informations ou éclaircissement </w:t>
      </w:r>
      <w:r w:rsidR="00C05913" w:rsidRPr="00B01850">
        <w:rPr>
          <w:rFonts w:ascii="Arial" w:hAnsi="Arial" w:cs="Arial"/>
        </w:rPr>
        <w:t xml:space="preserve">du CERP, </w:t>
      </w:r>
      <w:r w:rsidR="00C05913" w:rsidRPr="00423920">
        <w:rPr>
          <w:rFonts w:ascii="Arial" w:hAnsi="Arial" w:cs="Arial"/>
        </w:rPr>
        <w:t>financé par la Banque Mondiale</w:t>
      </w:r>
      <w:r w:rsidR="00C05913" w:rsidRPr="00B01850">
        <w:rPr>
          <w:rFonts w:ascii="Arial" w:hAnsi="Arial" w:cs="Arial"/>
        </w:rPr>
        <w:t xml:space="preserve">. Ce </w:t>
      </w:r>
      <w:r w:rsidR="00C05913" w:rsidRPr="00423920">
        <w:rPr>
          <w:rFonts w:ascii="Arial" w:hAnsi="Arial" w:cs="Arial"/>
        </w:rPr>
        <w:t xml:space="preserve">mécanisme doit être accessible et sans coûts pour les utilisateurs et qui </w:t>
      </w:r>
      <w:r w:rsidR="00C05913" w:rsidRPr="00B01850">
        <w:rPr>
          <w:rFonts w:ascii="Arial" w:hAnsi="Arial" w:cs="Arial"/>
        </w:rPr>
        <w:t xml:space="preserve">s’appuie sur les </w:t>
      </w:r>
      <w:r w:rsidR="00C05913" w:rsidRPr="00423920">
        <w:rPr>
          <w:rFonts w:ascii="Arial" w:hAnsi="Arial" w:cs="Arial"/>
        </w:rPr>
        <w:t>systèmes locaux de gestion des réclamations</w:t>
      </w:r>
      <w:r w:rsidR="00C05913" w:rsidRPr="00B01850">
        <w:rPr>
          <w:rFonts w:ascii="Arial" w:hAnsi="Arial" w:cs="Arial"/>
        </w:rPr>
        <w:t>.</w:t>
      </w:r>
      <w:r w:rsidR="001F6C7F" w:rsidRPr="00B01850">
        <w:rPr>
          <w:rFonts w:ascii="Arial" w:hAnsi="Arial" w:cs="Arial"/>
        </w:rPr>
        <w:t xml:space="preserve"> </w:t>
      </w:r>
      <w:r w:rsidR="006206EE" w:rsidRPr="00B01850">
        <w:rPr>
          <w:rFonts w:ascii="Arial" w:hAnsi="Arial" w:cs="Arial"/>
        </w:rPr>
        <w:t xml:space="preserve">Cet instrument de sauvegarde permettra </w:t>
      </w:r>
      <w:r w:rsidR="008558A8" w:rsidRPr="00B01850">
        <w:rPr>
          <w:rFonts w:ascii="Arial" w:hAnsi="Arial" w:cs="Arial"/>
        </w:rPr>
        <w:t>de répondre aux préoccupations des parties touchées de manière efficace, impartiale, transparente, rapide et économique.</w:t>
      </w:r>
    </w:p>
    <w:p w14:paraId="1F092C09" w14:textId="77777777" w:rsidR="001F6C7F" w:rsidRPr="00B01850" w:rsidRDefault="001F6C7F" w:rsidP="008558A8">
      <w:pPr>
        <w:spacing w:after="0" w:line="240" w:lineRule="auto"/>
        <w:jc w:val="both"/>
        <w:rPr>
          <w:rFonts w:ascii="Arial" w:hAnsi="Arial" w:cs="Arial"/>
        </w:rPr>
      </w:pPr>
    </w:p>
    <w:p w14:paraId="3773ABF3" w14:textId="77777777" w:rsidR="000B38CE" w:rsidRPr="00B01850" w:rsidRDefault="000B38CE" w:rsidP="008558A8">
      <w:pPr>
        <w:spacing w:after="0" w:line="240" w:lineRule="auto"/>
        <w:jc w:val="both"/>
        <w:rPr>
          <w:rFonts w:ascii="Arial" w:hAnsi="Arial" w:cs="Arial"/>
        </w:rPr>
      </w:pPr>
      <w:r w:rsidRPr="00B01850">
        <w:rPr>
          <w:rFonts w:ascii="Arial" w:hAnsi="Arial" w:cs="Arial"/>
        </w:rPr>
        <w:t xml:space="preserve">Dans ce sens, </w:t>
      </w:r>
      <w:r w:rsidR="008558A8" w:rsidRPr="00B01850">
        <w:rPr>
          <w:rFonts w:ascii="Arial" w:hAnsi="Arial" w:cs="Arial"/>
        </w:rPr>
        <w:t>un mécanisme de règlement des</w:t>
      </w:r>
      <w:r w:rsidRPr="00B01850">
        <w:rPr>
          <w:rFonts w:ascii="Arial" w:hAnsi="Arial" w:cs="Arial"/>
        </w:rPr>
        <w:t xml:space="preserve"> réclamations</w:t>
      </w:r>
      <w:r w:rsidR="008558A8" w:rsidRPr="00B01850">
        <w:rPr>
          <w:rFonts w:ascii="Arial" w:hAnsi="Arial" w:cs="Arial"/>
        </w:rPr>
        <w:t xml:space="preserve"> </w:t>
      </w:r>
      <w:r w:rsidRPr="00B01850">
        <w:rPr>
          <w:rFonts w:ascii="Arial" w:hAnsi="Arial" w:cs="Arial"/>
        </w:rPr>
        <w:t xml:space="preserve">sera mis en place </w:t>
      </w:r>
      <w:r w:rsidR="008558A8" w:rsidRPr="00B01850">
        <w:rPr>
          <w:rFonts w:ascii="Arial" w:hAnsi="Arial" w:cs="Arial"/>
        </w:rPr>
        <w:t xml:space="preserve">pour répondre aux préoccupations et aux </w:t>
      </w:r>
      <w:r w:rsidRPr="00B01850">
        <w:rPr>
          <w:rFonts w:ascii="Arial" w:hAnsi="Arial" w:cs="Arial"/>
        </w:rPr>
        <w:t xml:space="preserve">réclamations </w:t>
      </w:r>
      <w:r w:rsidR="008558A8" w:rsidRPr="00B01850">
        <w:rPr>
          <w:rFonts w:ascii="Arial" w:hAnsi="Arial" w:cs="Arial"/>
        </w:rPr>
        <w:t>liés aux activités du projet. En vertu des NES</w:t>
      </w:r>
      <w:r w:rsidRPr="00B01850">
        <w:rPr>
          <w:rFonts w:ascii="Arial" w:hAnsi="Arial" w:cs="Arial"/>
        </w:rPr>
        <w:t xml:space="preserve"> n°1 et n°10, </w:t>
      </w:r>
      <w:r w:rsidR="008558A8" w:rsidRPr="00B01850">
        <w:rPr>
          <w:rFonts w:ascii="Arial" w:hAnsi="Arial" w:cs="Arial"/>
        </w:rPr>
        <w:t xml:space="preserve">les projets financés par la Banque sont tenus de </w:t>
      </w:r>
      <w:r w:rsidRPr="00B01850">
        <w:rPr>
          <w:rFonts w:ascii="Arial" w:hAnsi="Arial" w:cs="Arial"/>
        </w:rPr>
        <w:t xml:space="preserve">mettre en place un </w:t>
      </w:r>
      <w:r w:rsidR="008558A8" w:rsidRPr="00B01850">
        <w:rPr>
          <w:rFonts w:ascii="Arial" w:hAnsi="Arial" w:cs="Arial"/>
        </w:rPr>
        <w:t xml:space="preserve">mécanisme </w:t>
      </w:r>
      <w:r w:rsidRPr="00B01850">
        <w:rPr>
          <w:rFonts w:ascii="Arial" w:hAnsi="Arial" w:cs="Arial"/>
        </w:rPr>
        <w:t>de gestion des réclamations pour les communautés, différent de celui destiné aux travailleurs.</w:t>
      </w:r>
    </w:p>
    <w:p w14:paraId="32BA1F7B" w14:textId="2EFEAAD0" w:rsidR="008558A8" w:rsidRPr="00B01850" w:rsidRDefault="000B38CE" w:rsidP="008558A8">
      <w:pPr>
        <w:spacing w:after="0" w:line="240" w:lineRule="auto"/>
        <w:jc w:val="both"/>
        <w:rPr>
          <w:rFonts w:ascii="Arial" w:hAnsi="Arial" w:cs="Arial"/>
        </w:rPr>
      </w:pPr>
      <w:r w:rsidRPr="00B01850">
        <w:rPr>
          <w:rFonts w:ascii="Arial" w:hAnsi="Arial" w:cs="Arial"/>
        </w:rPr>
        <w:t xml:space="preserve">Ainsi, un MGR sera mis en place pour le CERP afin de </w:t>
      </w:r>
      <w:r w:rsidR="008558A8" w:rsidRPr="00B01850">
        <w:rPr>
          <w:rFonts w:ascii="Arial" w:hAnsi="Arial" w:cs="Arial"/>
        </w:rPr>
        <w:t>recevoir et faciliter le règlement d</w:t>
      </w:r>
      <w:r w:rsidRPr="00B01850">
        <w:rPr>
          <w:rFonts w:ascii="Arial" w:hAnsi="Arial" w:cs="Arial"/>
        </w:rPr>
        <w:t>es</w:t>
      </w:r>
      <w:r w:rsidR="008558A8" w:rsidRPr="00B01850">
        <w:rPr>
          <w:rFonts w:ascii="Arial" w:hAnsi="Arial" w:cs="Arial"/>
        </w:rPr>
        <w:t xml:space="preserve"> problèmes. </w:t>
      </w:r>
      <w:r w:rsidRPr="00B01850">
        <w:rPr>
          <w:rFonts w:ascii="Arial" w:hAnsi="Arial" w:cs="Arial"/>
        </w:rPr>
        <w:t xml:space="preserve">Cette annexe </w:t>
      </w:r>
      <w:r w:rsidR="008558A8" w:rsidRPr="00B01850">
        <w:rPr>
          <w:rFonts w:ascii="Arial" w:hAnsi="Arial" w:cs="Arial"/>
        </w:rPr>
        <w:t xml:space="preserve">présente le mécanisme de règlement des </w:t>
      </w:r>
      <w:r w:rsidRPr="00B01850">
        <w:rPr>
          <w:rFonts w:ascii="Arial" w:hAnsi="Arial" w:cs="Arial"/>
        </w:rPr>
        <w:t xml:space="preserve">réclamations </w:t>
      </w:r>
      <w:r w:rsidR="008558A8" w:rsidRPr="00B01850">
        <w:rPr>
          <w:rFonts w:ascii="Arial" w:hAnsi="Arial" w:cs="Arial"/>
        </w:rPr>
        <w:t>du CERP.</w:t>
      </w:r>
    </w:p>
    <w:p w14:paraId="157D99AA" w14:textId="5012DE0C" w:rsidR="00423920" w:rsidRPr="00423920" w:rsidRDefault="005D4086" w:rsidP="003922AF">
      <w:pPr>
        <w:spacing w:before="120" w:after="0" w:line="240" w:lineRule="auto"/>
        <w:jc w:val="both"/>
        <w:rPr>
          <w:rFonts w:ascii="Arial" w:hAnsi="Arial" w:cs="Arial"/>
        </w:rPr>
      </w:pPr>
      <w:r w:rsidRPr="00B01850">
        <w:rPr>
          <w:rFonts w:ascii="Arial" w:hAnsi="Arial" w:cs="Arial"/>
        </w:rPr>
        <w:t xml:space="preserve">Retenons que le </w:t>
      </w:r>
      <w:r w:rsidR="00423920" w:rsidRPr="00423920">
        <w:rPr>
          <w:rFonts w:ascii="Arial" w:hAnsi="Arial" w:cs="Arial"/>
        </w:rPr>
        <w:t>Mécanisme de Gestion des Réclamations (MG</w:t>
      </w:r>
      <w:r w:rsidR="003922AF" w:rsidRPr="00B01850">
        <w:rPr>
          <w:rFonts w:ascii="Arial" w:hAnsi="Arial" w:cs="Arial"/>
        </w:rPr>
        <w:t>R</w:t>
      </w:r>
      <w:r w:rsidR="00423920" w:rsidRPr="00423920">
        <w:rPr>
          <w:rFonts w:ascii="Arial" w:hAnsi="Arial" w:cs="Arial"/>
        </w:rPr>
        <w:t>) est un ensemble de structures, procédures et processus consistant à recevoir, enquêter et répondre aux préoccupations, aux réclamations, ou aux demandes formulées par les parties prenantes, et ce, à temps et de manière systématique.</w:t>
      </w:r>
    </w:p>
    <w:p w14:paraId="5166C3DB" w14:textId="56078099" w:rsidR="00423920" w:rsidRPr="00B01850" w:rsidRDefault="003922AF" w:rsidP="003922AF">
      <w:pPr>
        <w:spacing w:before="120" w:after="0" w:line="240" w:lineRule="auto"/>
        <w:jc w:val="both"/>
        <w:rPr>
          <w:rFonts w:ascii="Arial" w:hAnsi="Arial" w:cs="Arial"/>
        </w:rPr>
      </w:pPr>
      <w:r w:rsidRPr="00B01850">
        <w:rPr>
          <w:rFonts w:ascii="Arial" w:hAnsi="Arial" w:cs="Arial"/>
        </w:rPr>
        <w:t xml:space="preserve">Il </w:t>
      </w:r>
      <w:r w:rsidR="00423920" w:rsidRPr="00B01850">
        <w:rPr>
          <w:rFonts w:ascii="Arial" w:hAnsi="Arial" w:cs="Arial"/>
        </w:rPr>
        <w:t xml:space="preserve">décrit également les étapes, les organes, les délais et les outils permettant de recevoir, de traiter et de clôturer une </w:t>
      </w:r>
      <w:r w:rsidRPr="00B01850">
        <w:rPr>
          <w:rFonts w:ascii="Arial" w:hAnsi="Arial" w:cs="Arial"/>
        </w:rPr>
        <w:t>réclamation</w:t>
      </w:r>
      <w:r w:rsidR="00423920" w:rsidRPr="00B01850">
        <w:rPr>
          <w:rFonts w:ascii="Arial" w:hAnsi="Arial" w:cs="Arial"/>
        </w:rPr>
        <w:t xml:space="preserve"> de manière efficace</w:t>
      </w:r>
      <w:r w:rsidR="000D3F03" w:rsidRPr="00B01850">
        <w:rPr>
          <w:rFonts w:ascii="Arial" w:hAnsi="Arial" w:cs="Arial"/>
        </w:rPr>
        <w:t xml:space="preserve"> et </w:t>
      </w:r>
      <w:r w:rsidR="00423920" w:rsidRPr="00B01850">
        <w:rPr>
          <w:rFonts w:ascii="Arial" w:hAnsi="Arial" w:cs="Arial"/>
        </w:rPr>
        <w:t xml:space="preserve">offre aux </w:t>
      </w:r>
      <w:r w:rsidRPr="00B01850">
        <w:rPr>
          <w:rFonts w:ascii="Arial" w:hAnsi="Arial" w:cs="Arial"/>
        </w:rPr>
        <w:t>réclamants</w:t>
      </w:r>
      <w:r w:rsidR="00423920" w:rsidRPr="00B01850">
        <w:rPr>
          <w:rFonts w:ascii="Arial" w:hAnsi="Arial" w:cs="Arial"/>
        </w:rPr>
        <w:t xml:space="preserve">, un cadre propice de dénonciation des abus, des violations relatives à l’impact ou la mise en œuvre des interventions </w:t>
      </w:r>
      <w:r w:rsidR="000D3F03" w:rsidRPr="00B01850">
        <w:rPr>
          <w:rFonts w:ascii="Arial" w:hAnsi="Arial" w:cs="Arial"/>
        </w:rPr>
        <w:t xml:space="preserve">d’urgence, </w:t>
      </w:r>
      <w:r w:rsidR="00423920" w:rsidRPr="00B01850">
        <w:rPr>
          <w:rFonts w:ascii="Arial" w:hAnsi="Arial" w:cs="Arial"/>
        </w:rPr>
        <w:t>du non-respect des normes et critères convenus dans le cadre du projet afin qu’ils soient rétablis dans leurs droits.</w:t>
      </w:r>
    </w:p>
    <w:p w14:paraId="099B339F" w14:textId="77777777" w:rsidR="00423920" w:rsidRPr="00B01850" w:rsidRDefault="00423920" w:rsidP="008558A8">
      <w:pPr>
        <w:spacing w:after="0" w:line="240" w:lineRule="auto"/>
        <w:jc w:val="both"/>
        <w:rPr>
          <w:rFonts w:ascii="Arial" w:hAnsi="Arial" w:cs="Arial"/>
        </w:rPr>
      </w:pPr>
    </w:p>
    <w:p w14:paraId="19EC63DA" w14:textId="3617F8CA" w:rsidR="003922AF" w:rsidRPr="003922AF" w:rsidRDefault="003922AF" w:rsidP="003922AF">
      <w:pPr>
        <w:spacing w:after="0" w:line="240" w:lineRule="auto"/>
        <w:jc w:val="both"/>
        <w:rPr>
          <w:rFonts w:ascii="Arial" w:hAnsi="Arial" w:cs="Arial"/>
        </w:rPr>
      </w:pPr>
      <w:r w:rsidRPr="003922AF">
        <w:rPr>
          <w:rFonts w:ascii="Arial" w:hAnsi="Arial" w:cs="Arial"/>
        </w:rPr>
        <w:t>L</w:t>
      </w:r>
      <w:r w:rsidR="00E93742" w:rsidRPr="00B01850">
        <w:rPr>
          <w:rFonts w:ascii="Arial" w:hAnsi="Arial" w:cs="Arial"/>
        </w:rPr>
        <w:t xml:space="preserve">e </w:t>
      </w:r>
      <w:r w:rsidRPr="003922AF">
        <w:rPr>
          <w:rFonts w:ascii="Arial" w:hAnsi="Arial" w:cs="Arial"/>
        </w:rPr>
        <w:t>M</w:t>
      </w:r>
      <w:r w:rsidR="00E93742" w:rsidRPr="00B01850">
        <w:rPr>
          <w:rFonts w:ascii="Arial" w:hAnsi="Arial" w:cs="Arial"/>
        </w:rPr>
        <w:t xml:space="preserve">écanisme de </w:t>
      </w:r>
      <w:r w:rsidRPr="003922AF">
        <w:rPr>
          <w:rFonts w:ascii="Arial" w:hAnsi="Arial" w:cs="Arial"/>
        </w:rPr>
        <w:t>G</w:t>
      </w:r>
      <w:r w:rsidR="00E93742" w:rsidRPr="00B01850">
        <w:rPr>
          <w:rFonts w:ascii="Arial" w:hAnsi="Arial" w:cs="Arial"/>
        </w:rPr>
        <w:t xml:space="preserve">estion des </w:t>
      </w:r>
      <w:r w:rsidRPr="003922AF">
        <w:rPr>
          <w:rFonts w:ascii="Arial" w:hAnsi="Arial" w:cs="Arial"/>
        </w:rPr>
        <w:t>R</w:t>
      </w:r>
      <w:r w:rsidR="00E93742" w:rsidRPr="00B01850">
        <w:rPr>
          <w:rFonts w:ascii="Arial" w:hAnsi="Arial" w:cs="Arial"/>
        </w:rPr>
        <w:t>éclamations (MGR)</w:t>
      </w:r>
      <w:r w:rsidRPr="003922AF">
        <w:rPr>
          <w:rFonts w:ascii="Arial" w:hAnsi="Arial" w:cs="Arial"/>
        </w:rPr>
        <w:t xml:space="preserve"> vise à fournir aux personnes et </w:t>
      </w:r>
      <w:r w:rsidR="00E93742" w:rsidRPr="00B01850">
        <w:rPr>
          <w:rFonts w:ascii="Arial" w:hAnsi="Arial" w:cs="Arial"/>
        </w:rPr>
        <w:t xml:space="preserve">aux </w:t>
      </w:r>
      <w:r w:rsidRPr="003922AF">
        <w:rPr>
          <w:rFonts w:ascii="Arial" w:hAnsi="Arial" w:cs="Arial"/>
        </w:rPr>
        <w:t xml:space="preserve">communautés qui se sentent lésées </w:t>
      </w:r>
      <w:r w:rsidR="00E93742" w:rsidRPr="00B01850">
        <w:rPr>
          <w:rFonts w:ascii="Arial" w:hAnsi="Arial" w:cs="Arial"/>
        </w:rPr>
        <w:t xml:space="preserve">dans le cadre des activités </w:t>
      </w:r>
      <w:r w:rsidRPr="003922AF">
        <w:rPr>
          <w:rFonts w:ascii="Arial" w:hAnsi="Arial" w:cs="Arial"/>
        </w:rPr>
        <w:t xml:space="preserve">du </w:t>
      </w:r>
      <w:r w:rsidR="00E93742" w:rsidRPr="00B01850">
        <w:rPr>
          <w:rFonts w:ascii="Arial" w:hAnsi="Arial" w:cs="Arial"/>
        </w:rPr>
        <w:t>CERP</w:t>
      </w:r>
      <w:r w:rsidRPr="003922AF">
        <w:rPr>
          <w:rFonts w:ascii="Arial" w:hAnsi="Arial" w:cs="Arial"/>
        </w:rPr>
        <w:t>, des possibilités accessibles, rapides, efficaces et culturellement adaptées, pour soumettre leurs réclamations et préoccupations liées aux activités du projet.</w:t>
      </w:r>
    </w:p>
    <w:p w14:paraId="42332899" w14:textId="75A5AA58" w:rsidR="003922AF" w:rsidRPr="003922AF" w:rsidRDefault="00D70709" w:rsidP="00A30ADC">
      <w:pPr>
        <w:spacing w:before="120" w:after="120" w:line="240" w:lineRule="auto"/>
        <w:jc w:val="both"/>
        <w:rPr>
          <w:rFonts w:ascii="Arial" w:hAnsi="Arial" w:cs="Arial"/>
        </w:rPr>
      </w:pPr>
      <w:r w:rsidRPr="00B01850">
        <w:rPr>
          <w:rFonts w:ascii="Arial" w:hAnsi="Arial" w:cs="Arial"/>
        </w:rPr>
        <w:t>Il veille également à :</w:t>
      </w:r>
      <w:r w:rsidR="00C2074D" w:rsidRPr="00B01850">
        <w:rPr>
          <w:rFonts w:ascii="Arial" w:hAnsi="Arial" w:cs="Arial"/>
        </w:rPr>
        <w:t xml:space="preserve"> (i) é</w:t>
      </w:r>
      <w:r w:rsidR="003922AF" w:rsidRPr="003922AF">
        <w:rPr>
          <w:rFonts w:ascii="Arial" w:hAnsi="Arial" w:cs="Arial"/>
        </w:rPr>
        <w:t>tablir un système de réception, d'enregistrement et de traitement des réclamations et préoccupations en temps opportun en accordant une attention particulière aux groupes vulnérables ;</w:t>
      </w:r>
      <w:r w:rsidR="00042BCC" w:rsidRPr="00B01850">
        <w:rPr>
          <w:rFonts w:ascii="Arial" w:hAnsi="Arial" w:cs="Arial"/>
        </w:rPr>
        <w:t xml:space="preserve"> (ii) f</w:t>
      </w:r>
      <w:r w:rsidR="003922AF" w:rsidRPr="003922AF">
        <w:rPr>
          <w:rFonts w:ascii="Arial" w:hAnsi="Arial" w:cs="Arial"/>
        </w:rPr>
        <w:t>ournir un système efficace, transparent, opportun, équitable et non discriminatoire qui permettrait aux personnes lésées de se plaindre et d'éviter les litiges ;</w:t>
      </w:r>
      <w:r w:rsidR="00042BCC" w:rsidRPr="00B01850">
        <w:rPr>
          <w:rFonts w:ascii="Arial" w:hAnsi="Arial" w:cs="Arial"/>
        </w:rPr>
        <w:t xml:space="preserve"> (iii) f</w:t>
      </w:r>
      <w:r w:rsidR="003922AF" w:rsidRPr="003922AF">
        <w:rPr>
          <w:rFonts w:ascii="Arial" w:hAnsi="Arial" w:cs="Arial"/>
        </w:rPr>
        <w:t xml:space="preserve">avoriser le règlement des réclamations à l’amiable réclamations pour éviter le mieux que l’on </w:t>
      </w:r>
      <w:r w:rsidR="003922AF" w:rsidRPr="003922AF">
        <w:rPr>
          <w:rFonts w:ascii="Arial" w:hAnsi="Arial" w:cs="Arial"/>
        </w:rPr>
        <w:lastRenderedPageBreak/>
        <w:t>peut à faire recours à la justice ;</w:t>
      </w:r>
      <w:r w:rsidR="00042BCC" w:rsidRPr="00B01850">
        <w:rPr>
          <w:rFonts w:ascii="Arial" w:hAnsi="Arial" w:cs="Arial"/>
        </w:rPr>
        <w:t xml:space="preserve"> (iv) m</w:t>
      </w:r>
      <w:r w:rsidR="003922AF" w:rsidRPr="003922AF">
        <w:rPr>
          <w:rFonts w:ascii="Arial" w:hAnsi="Arial" w:cs="Arial"/>
        </w:rPr>
        <w:t xml:space="preserve">inimiser la mauvaise publicité, éviter / minimiser les retards dans l'exécution du </w:t>
      </w:r>
      <w:r w:rsidR="00A30ADC" w:rsidRPr="00B01850">
        <w:rPr>
          <w:rFonts w:ascii="Arial" w:hAnsi="Arial" w:cs="Arial"/>
        </w:rPr>
        <w:t>CERP ; (v) a</w:t>
      </w:r>
      <w:r w:rsidR="003922AF" w:rsidRPr="003922AF">
        <w:rPr>
          <w:rFonts w:ascii="Arial" w:hAnsi="Arial" w:cs="Arial"/>
        </w:rPr>
        <w:t>ssurer la durabilité des interventions d</w:t>
      </w:r>
      <w:r w:rsidR="00A30ADC" w:rsidRPr="00B01850">
        <w:rPr>
          <w:rFonts w:ascii="Arial" w:hAnsi="Arial" w:cs="Arial"/>
        </w:rPr>
        <w:t xml:space="preserve">es intervention d’urgence </w:t>
      </w:r>
      <w:r w:rsidR="003922AF" w:rsidRPr="003922AF">
        <w:rPr>
          <w:rFonts w:ascii="Arial" w:hAnsi="Arial" w:cs="Arial"/>
        </w:rPr>
        <w:t>et son appropriation par les parties prenantes</w:t>
      </w:r>
      <w:r w:rsidR="00A30ADC" w:rsidRPr="00B01850">
        <w:rPr>
          <w:rFonts w:ascii="Arial" w:hAnsi="Arial" w:cs="Arial"/>
        </w:rPr>
        <w:t> ; (vi) d</w:t>
      </w:r>
      <w:r w:rsidR="003922AF" w:rsidRPr="003922AF">
        <w:rPr>
          <w:rFonts w:ascii="Arial" w:hAnsi="Arial" w:cs="Arial"/>
        </w:rPr>
        <w:t>onner des éclaircissements à la suite des demandes d’information.</w:t>
      </w:r>
    </w:p>
    <w:p w14:paraId="45A4F240" w14:textId="0FB8B03C" w:rsidR="008558A8" w:rsidRPr="00B01850" w:rsidRDefault="002A26C1" w:rsidP="00C5235D">
      <w:pPr>
        <w:spacing w:before="120" w:after="0" w:line="240" w:lineRule="auto"/>
        <w:jc w:val="both"/>
        <w:rPr>
          <w:rFonts w:ascii="Arial" w:hAnsi="Arial" w:cs="Arial"/>
        </w:rPr>
      </w:pPr>
      <w:r w:rsidRPr="00B01850">
        <w:rPr>
          <w:rFonts w:ascii="Arial" w:hAnsi="Arial" w:cs="Arial"/>
        </w:rPr>
        <w:t>Ainsi, le MGR s</w:t>
      </w:r>
      <w:r w:rsidR="008558A8" w:rsidRPr="00B01850">
        <w:rPr>
          <w:rFonts w:ascii="Arial" w:hAnsi="Arial" w:cs="Arial"/>
        </w:rPr>
        <w:t xml:space="preserve">era mis en œuvre en plus d'un </w:t>
      </w:r>
      <w:r w:rsidR="00141C89" w:rsidRPr="00B01850">
        <w:rPr>
          <w:rFonts w:ascii="Arial" w:hAnsi="Arial" w:cs="Arial"/>
        </w:rPr>
        <w:t>MGR</w:t>
      </w:r>
      <w:r w:rsidR="008558A8" w:rsidRPr="00B01850">
        <w:rPr>
          <w:rFonts w:ascii="Arial" w:hAnsi="Arial" w:cs="Arial"/>
        </w:rPr>
        <w:t xml:space="preserve"> </w:t>
      </w:r>
      <w:r w:rsidR="00141C89" w:rsidRPr="00B01850">
        <w:rPr>
          <w:rFonts w:ascii="Arial" w:hAnsi="Arial" w:cs="Arial"/>
        </w:rPr>
        <w:t xml:space="preserve">destiné à gérer les réclamations des travailleurs, </w:t>
      </w:r>
      <w:r w:rsidR="008558A8" w:rsidRPr="00B01850">
        <w:rPr>
          <w:rFonts w:ascii="Arial" w:hAnsi="Arial" w:cs="Arial"/>
        </w:rPr>
        <w:t>défini dans les procédures de gestion de la main-d'œuvre (</w:t>
      </w:r>
      <w:proofErr w:type="spellStart"/>
      <w:r w:rsidR="008558A8" w:rsidRPr="00B01850">
        <w:rPr>
          <w:rFonts w:ascii="Arial" w:hAnsi="Arial" w:cs="Arial"/>
        </w:rPr>
        <w:t>PGM</w:t>
      </w:r>
      <w:r w:rsidR="00141C89" w:rsidRPr="00B01850">
        <w:rPr>
          <w:rFonts w:ascii="Arial" w:hAnsi="Arial" w:cs="Arial"/>
        </w:rPr>
        <w:t>o</w:t>
      </w:r>
      <w:proofErr w:type="spellEnd"/>
      <w:r w:rsidR="008558A8" w:rsidRPr="00B01850">
        <w:rPr>
          <w:rFonts w:ascii="Arial" w:hAnsi="Arial" w:cs="Arial"/>
        </w:rPr>
        <w:t>).</w:t>
      </w:r>
    </w:p>
    <w:p w14:paraId="63EE69B3" w14:textId="77777777" w:rsidR="008558A8" w:rsidRPr="00B01850" w:rsidRDefault="008558A8" w:rsidP="008558A8">
      <w:pPr>
        <w:spacing w:after="0" w:line="240" w:lineRule="auto"/>
        <w:jc w:val="both"/>
        <w:rPr>
          <w:rFonts w:ascii="Arial" w:hAnsi="Arial" w:cs="Arial"/>
        </w:rPr>
      </w:pPr>
    </w:p>
    <w:p w14:paraId="2C151297" w14:textId="77777777" w:rsidR="008558A8" w:rsidRPr="00B01850" w:rsidRDefault="008558A8" w:rsidP="008558A8">
      <w:pPr>
        <w:spacing w:after="0" w:line="240" w:lineRule="auto"/>
        <w:jc w:val="both"/>
        <w:rPr>
          <w:rFonts w:ascii="Arial" w:hAnsi="Arial" w:cs="Arial"/>
        </w:rPr>
      </w:pPr>
      <w:r w:rsidRPr="00B01850">
        <w:rPr>
          <w:rFonts w:ascii="Arial" w:hAnsi="Arial" w:cs="Arial"/>
        </w:rPr>
        <w:t xml:space="preserve">L'information sur le mécanisme de gestion des plaintes sera facilement accessible à toutes les parties touchées par le projet. Le mécanisme de gestion des plaintes est conçu d'une manière adaptée à la culture locale et à l'inclusion sociale, et il est en mesure de répondre à tous les besoins et préoccupations des parties touchées par le projet. La disponibilité du mécanisme de règlement des griefs n'empêche pas le recours à des mécanismes judiciaires et administratifs de résolution. </w:t>
      </w:r>
    </w:p>
    <w:p w14:paraId="3F76FA6E" w14:textId="77777777" w:rsidR="008558A8" w:rsidRPr="00B01850" w:rsidRDefault="008558A8" w:rsidP="008558A8">
      <w:pPr>
        <w:spacing w:after="0" w:line="240" w:lineRule="auto"/>
        <w:jc w:val="both"/>
        <w:rPr>
          <w:rFonts w:ascii="Arial" w:hAnsi="Arial" w:cs="Arial"/>
        </w:rPr>
      </w:pPr>
    </w:p>
    <w:p w14:paraId="5272240E" w14:textId="53AD5B47" w:rsidR="008558A8" w:rsidRPr="00B01850" w:rsidRDefault="008558A8" w:rsidP="008558A8">
      <w:pPr>
        <w:spacing w:after="0" w:line="240" w:lineRule="auto"/>
        <w:jc w:val="both"/>
        <w:rPr>
          <w:rFonts w:ascii="Arial" w:hAnsi="Arial" w:cs="Arial"/>
        </w:rPr>
      </w:pPr>
      <w:r w:rsidRPr="00B01850">
        <w:rPr>
          <w:rFonts w:ascii="Arial" w:hAnsi="Arial" w:cs="Arial"/>
        </w:rPr>
        <w:t>Le</w:t>
      </w:r>
      <w:r w:rsidR="009B5AEE" w:rsidRPr="00B01850">
        <w:rPr>
          <w:rFonts w:ascii="Arial" w:hAnsi="Arial" w:cs="Arial"/>
        </w:rPr>
        <w:t>s</w:t>
      </w:r>
      <w:r w:rsidRPr="00B01850">
        <w:rPr>
          <w:rFonts w:ascii="Arial" w:hAnsi="Arial" w:cs="Arial"/>
        </w:rPr>
        <w:t xml:space="preserve"> spécialiste</w:t>
      </w:r>
      <w:r w:rsidR="009B5AEE" w:rsidRPr="00B01850">
        <w:rPr>
          <w:rFonts w:ascii="Arial" w:hAnsi="Arial" w:cs="Arial"/>
        </w:rPr>
        <w:t>s en sauvegarde du projet NAFA PRU-APN (</w:t>
      </w:r>
      <w:r w:rsidR="009B5AEE" w:rsidRPr="009A48E2">
        <w:rPr>
          <w:rFonts w:ascii="Arial" w:hAnsi="Arial" w:cs="Arial"/>
        </w:rPr>
        <w:t>P168777)</w:t>
      </w:r>
      <w:r w:rsidR="009B5AEE" w:rsidRPr="00B01850">
        <w:rPr>
          <w:rFonts w:ascii="Arial" w:hAnsi="Arial" w:cs="Arial"/>
        </w:rPr>
        <w:t xml:space="preserve"> </w:t>
      </w:r>
      <w:r w:rsidRPr="00B01850">
        <w:rPr>
          <w:rFonts w:ascii="Arial" w:hAnsi="Arial" w:cs="Arial"/>
        </w:rPr>
        <w:t>ser</w:t>
      </w:r>
      <w:r w:rsidR="009B5AEE" w:rsidRPr="00B01850">
        <w:rPr>
          <w:rFonts w:ascii="Arial" w:hAnsi="Arial" w:cs="Arial"/>
        </w:rPr>
        <w:t xml:space="preserve">ont </w:t>
      </w:r>
      <w:r w:rsidRPr="00B01850">
        <w:rPr>
          <w:rFonts w:ascii="Arial" w:hAnsi="Arial" w:cs="Arial"/>
        </w:rPr>
        <w:t>chargé</w:t>
      </w:r>
      <w:r w:rsidR="009B5AEE" w:rsidRPr="00B01850">
        <w:rPr>
          <w:rFonts w:ascii="Arial" w:hAnsi="Arial" w:cs="Arial"/>
        </w:rPr>
        <w:t>s</w:t>
      </w:r>
      <w:r w:rsidRPr="00B01850">
        <w:rPr>
          <w:rFonts w:ascii="Arial" w:hAnsi="Arial" w:cs="Arial"/>
        </w:rPr>
        <w:t xml:space="preserve"> d</w:t>
      </w:r>
      <w:r w:rsidR="0081484C" w:rsidRPr="00B01850">
        <w:rPr>
          <w:rFonts w:ascii="Arial" w:hAnsi="Arial" w:cs="Arial"/>
        </w:rPr>
        <w:t xml:space="preserve">e </w:t>
      </w:r>
      <w:r w:rsidRPr="00B01850">
        <w:rPr>
          <w:rFonts w:ascii="Arial" w:hAnsi="Arial" w:cs="Arial"/>
        </w:rPr>
        <w:t>veiller au règlement des plaintes</w:t>
      </w:r>
      <w:r w:rsidR="0081484C" w:rsidRPr="00B01850">
        <w:rPr>
          <w:rFonts w:ascii="Arial" w:hAnsi="Arial" w:cs="Arial"/>
        </w:rPr>
        <w:t xml:space="preserve"> liés au projet</w:t>
      </w:r>
      <w:r w:rsidRPr="00B01850">
        <w:rPr>
          <w:rFonts w:ascii="Arial" w:hAnsi="Arial" w:cs="Arial"/>
        </w:rPr>
        <w:t xml:space="preserve">. </w:t>
      </w:r>
      <w:r w:rsidR="005E6860" w:rsidRPr="00B01850">
        <w:rPr>
          <w:rFonts w:ascii="Arial" w:hAnsi="Arial" w:cs="Arial"/>
        </w:rPr>
        <w:t xml:space="preserve">Ainsi, le MGR prévoit de nombreux canaux d’accès </w:t>
      </w:r>
      <w:r w:rsidR="00B00E79" w:rsidRPr="00B01850">
        <w:rPr>
          <w:rFonts w:ascii="Arial" w:hAnsi="Arial" w:cs="Arial"/>
        </w:rPr>
        <w:t xml:space="preserve">au mécanisme de gestion des réclamations. Pour être </w:t>
      </w:r>
      <w:r w:rsidR="00FA0E15" w:rsidRPr="00B01850">
        <w:rPr>
          <w:rFonts w:ascii="Arial" w:hAnsi="Arial" w:cs="Arial"/>
        </w:rPr>
        <w:t xml:space="preserve">recevables, les </w:t>
      </w:r>
      <w:r w:rsidR="00B00E79" w:rsidRPr="00B01850">
        <w:rPr>
          <w:rFonts w:ascii="Arial" w:hAnsi="Arial" w:cs="Arial"/>
        </w:rPr>
        <w:t>réclamations doivent être liées au</w:t>
      </w:r>
      <w:r w:rsidR="00FA0E15" w:rsidRPr="00B01850">
        <w:rPr>
          <w:rFonts w:ascii="Arial" w:hAnsi="Arial" w:cs="Arial"/>
        </w:rPr>
        <w:t xml:space="preserve">x activités du </w:t>
      </w:r>
      <w:r w:rsidR="00B00E79" w:rsidRPr="00B01850">
        <w:rPr>
          <w:rFonts w:ascii="Arial" w:hAnsi="Arial" w:cs="Arial"/>
        </w:rPr>
        <w:t>projet</w:t>
      </w:r>
      <w:r w:rsidR="00FA0E15" w:rsidRPr="00B01850">
        <w:rPr>
          <w:rFonts w:ascii="Arial" w:hAnsi="Arial" w:cs="Arial"/>
        </w:rPr>
        <w:t xml:space="preserve">. Ainsi, toute </w:t>
      </w:r>
      <w:r w:rsidRPr="00B01850">
        <w:rPr>
          <w:rFonts w:ascii="Arial" w:hAnsi="Arial" w:cs="Arial"/>
        </w:rPr>
        <w:t xml:space="preserve">plainte qui n'est pas directement liée au projet sera transmise </w:t>
      </w:r>
      <w:r w:rsidR="00FA0E15" w:rsidRPr="00B01850">
        <w:rPr>
          <w:rFonts w:ascii="Arial" w:hAnsi="Arial" w:cs="Arial"/>
        </w:rPr>
        <w:t>aux services</w:t>
      </w:r>
      <w:r w:rsidRPr="00B01850">
        <w:rPr>
          <w:rFonts w:ascii="Arial" w:hAnsi="Arial" w:cs="Arial"/>
        </w:rPr>
        <w:t xml:space="preserve"> compétent</w:t>
      </w:r>
      <w:r w:rsidR="00FA0E15" w:rsidRPr="00B01850">
        <w:rPr>
          <w:rFonts w:ascii="Arial" w:hAnsi="Arial" w:cs="Arial"/>
        </w:rPr>
        <w:t>s.</w:t>
      </w:r>
      <w:r w:rsidRPr="00B01850">
        <w:rPr>
          <w:rFonts w:ascii="Arial" w:hAnsi="Arial" w:cs="Arial"/>
        </w:rPr>
        <w:t xml:space="preserve"> Le mécanisme de gestion des plaintes du projet comprendra les principales étapes suivantes : </w:t>
      </w:r>
    </w:p>
    <w:p w14:paraId="7FDDFB9B" w14:textId="22D7C651" w:rsidR="008558A8" w:rsidRPr="00A24BF5" w:rsidRDefault="008558A8" w:rsidP="00214DCC">
      <w:pPr>
        <w:pStyle w:val="Paragraphedeliste1"/>
        <w:numPr>
          <w:ilvl w:val="0"/>
          <w:numId w:val="128"/>
        </w:numPr>
        <w:tabs>
          <w:tab w:val="left" w:pos="0"/>
        </w:tabs>
        <w:adjustRightInd/>
        <w:spacing w:before="120" w:after="0" w:line="240" w:lineRule="auto"/>
        <w:jc w:val="both"/>
        <w:rPr>
          <w:rFonts w:ascii="Arial" w:hAnsi="Arial" w:cs="Arial"/>
        </w:rPr>
      </w:pPr>
      <w:r w:rsidRPr="00B01850">
        <w:rPr>
          <w:rFonts w:ascii="Arial" w:eastAsiaTheme="minorEastAsia" w:hAnsi="Arial" w:cs="Arial"/>
          <w:i/>
          <w:iCs/>
          <w:szCs w:val="22"/>
          <w:lang w:eastAsia="en-US"/>
        </w:rPr>
        <w:t>Réception de la plainte</w:t>
      </w:r>
      <w:r w:rsidRPr="00B01850">
        <w:rPr>
          <w:rFonts w:ascii="Arial" w:eastAsiaTheme="minorEastAsia" w:hAnsi="Arial" w:cs="Arial"/>
          <w:szCs w:val="22"/>
          <w:lang w:eastAsia="en-US"/>
        </w:rPr>
        <w:t xml:space="preserve"> : </w:t>
      </w:r>
      <w:r w:rsidR="00FA0E15" w:rsidRPr="00B01850">
        <w:rPr>
          <w:rFonts w:ascii="Arial" w:eastAsiaTheme="minorEastAsia" w:hAnsi="Arial" w:cs="Arial"/>
          <w:szCs w:val="22"/>
          <w:lang w:eastAsia="en-US"/>
        </w:rPr>
        <w:t>les parties prenantes du projet peuvent soumettre des réclamations à travers les boîtes à réclamations/suggestions dans la communauté, déposer des réclamations écrites ; b</w:t>
      </w:r>
      <w:r w:rsidR="00FA0E15" w:rsidRPr="00B01850">
        <w:rPr>
          <w:rFonts w:ascii="Arial" w:eastAsia="Calibri" w:hAnsi="Arial" w:cs="Arial"/>
          <w:szCs w:val="22"/>
        </w:rPr>
        <w:t>oîte à réclamation sur la page web de l’ANIES</w:t>
      </w:r>
      <w:r w:rsidR="00C553FC" w:rsidRPr="00B01850">
        <w:rPr>
          <w:rFonts w:ascii="Arial" w:eastAsia="Calibri" w:hAnsi="Arial" w:cs="Arial"/>
          <w:szCs w:val="22"/>
        </w:rPr>
        <w:t>, n</w:t>
      </w:r>
      <w:r w:rsidR="00FA0E15" w:rsidRPr="00B01850">
        <w:rPr>
          <w:rFonts w:ascii="Arial" w:eastAsia="Calibri" w:hAnsi="Arial" w:cs="Arial"/>
          <w:szCs w:val="22"/>
        </w:rPr>
        <w:t>uméro</w:t>
      </w:r>
      <w:r w:rsidR="00FA0E15" w:rsidRPr="00B01850">
        <w:rPr>
          <w:rFonts w:ascii="Arial" w:hAnsi="Arial" w:cs="Arial"/>
          <w:szCs w:val="22"/>
        </w:rPr>
        <w:t xml:space="preserve"> vert de téléphone pour le contact direct du personnel de l’ANIES</w:t>
      </w:r>
      <w:r w:rsidR="00C553FC" w:rsidRPr="00B01850">
        <w:rPr>
          <w:rFonts w:ascii="Arial" w:hAnsi="Arial" w:cs="Arial"/>
          <w:szCs w:val="22"/>
        </w:rPr>
        <w:t>, n</w:t>
      </w:r>
      <w:r w:rsidR="00FA0E15" w:rsidRPr="00B01850">
        <w:rPr>
          <w:rFonts w:ascii="Arial" w:hAnsi="Arial" w:cs="Arial"/>
          <w:szCs w:val="22"/>
        </w:rPr>
        <w:t>uméro WhatsApp ;</w:t>
      </w:r>
      <w:r w:rsidR="00C553FC" w:rsidRPr="00B01850">
        <w:rPr>
          <w:rFonts w:ascii="Arial" w:hAnsi="Arial" w:cs="Arial"/>
          <w:szCs w:val="22"/>
        </w:rPr>
        <w:t xml:space="preserve"> n</w:t>
      </w:r>
      <w:r w:rsidR="00FA0E15" w:rsidRPr="00B01850">
        <w:rPr>
          <w:rFonts w:ascii="Arial" w:hAnsi="Arial" w:cs="Arial"/>
          <w:szCs w:val="22"/>
        </w:rPr>
        <w:t>uméro de téléphone</w:t>
      </w:r>
      <w:r w:rsidR="00C553FC" w:rsidRPr="00B01850">
        <w:rPr>
          <w:rFonts w:ascii="Arial" w:hAnsi="Arial" w:cs="Arial"/>
          <w:szCs w:val="22"/>
        </w:rPr>
        <w:t> ; a</w:t>
      </w:r>
      <w:r w:rsidR="00FA0E15" w:rsidRPr="00B01850">
        <w:rPr>
          <w:rFonts w:ascii="Arial" w:hAnsi="Arial" w:cs="Arial"/>
          <w:szCs w:val="22"/>
        </w:rPr>
        <w:t>ssemblées communautaires ou réunions</w:t>
      </w:r>
      <w:r w:rsidR="00C553FC" w:rsidRPr="00B01850">
        <w:rPr>
          <w:rFonts w:ascii="Arial" w:hAnsi="Arial" w:cs="Arial"/>
          <w:szCs w:val="22"/>
        </w:rPr>
        <w:t>, d</w:t>
      </w:r>
      <w:r w:rsidR="00FA0E15" w:rsidRPr="00B01850">
        <w:rPr>
          <w:rFonts w:ascii="Arial" w:hAnsi="Arial" w:cs="Arial"/>
          <w:szCs w:val="22"/>
        </w:rPr>
        <w:t>iscussion de groupe témoins</w:t>
      </w:r>
      <w:r w:rsidR="00C553FC" w:rsidRPr="00B01850">
        <w:rPr>
          <w:rFonts w:ascii="Arial" w:hAnsi="Arial" w:cs="Arial"/>
          <w:szCs w:val="22"/>
        </w:rPr>
        <w:t>.</w:t>
      </w:r>
    </w:p>
    <w:p w14:paraId="1859F2C8" w14:textId="4DC3AA4A" w:rsidR="00A25732" w:rsidRPr="00B01850" w:rsidRDefault="00A25732" w:rsidP="00A25732">
      <w:pPr>
        <w:pStyle w:val="Paragraphedeliste1"/>
        <w:tabs>
          <w:tab w:val="left" w:pos="0"/>
        </w:tabs>
        <w:adjustRightInd/>
        <w:spacing w:before="120" w:after="0" w:line="240" w:lineRule="auto"/>
        <w:jc w:val="both"/>
        <w:rPr>
          <w:rFonts w:ascii="Arial" w:hAnsi="Arial" w:cs="Arial"/>
          <w:szCs w:val="22"/>
        </w:rPr>
      </w:pPr>
      <w:r w:rsidRPr="00B01850">
        <w:rPr>
          <w:rFonts w:ascii="Arial" w:eastAsiaTheme="minorHAnsi" w:hAnsi="Arial" w:cs="Arial"/>
        </w:rPr>
        <w:t xml:space="preserve">Le CGR remet au plaignant un accusé de réception dans les 24 heures qui suivent le dépôt de la réclamation. Il est constamment </w:t>
      </w:r>
      <w:r w:rsidRPr="00B01850">
        <w:rPr>
          <w:rFonts w:ascii="Arial" w:hAnsi="Arial" w:cs="Arial"/>
        </w:rPr>
        <w:t>informé du niveau de traitement de son dossier de réclamation</w:t>
      </w:r>
      <w:r w:rsidRPr="00B01850">
        <w:rPr>
          <w:rFonts w:ascii="Arial" w:eastAsiaTheme="minorHAnsi" w:hAnsi="Arial" w:cs="Arial"/>
        </w:rPr>
        <w:t>.</w:t>
      </w:r>
      <w:r w:rsidRPr="00B01850">
        <w:rPr>
          <w:rFonts w:ascii="Arial" w:hAnsi="Arial" w:cs="Arial"/>
        </w:rPr>
        <w:t xml:space="preserve"> En cas de résolution, le Projet fera la notification formellement au plaignant.</w:t>
      </w:r>
    </w:p>
    <w:p w14:paraId="020A774D" w14:textId="063A3AF5" w:rsidR="008558A8" w:rsidRPr="00B01850" w:rsidRDefault="008558A8" w:rsidP="00214DCC">
      <w:pPr>
        <w:pStyle w:val="ListParagraph"/>
        <w:numPr>
          <w:ilvl w:val="0"/>
          <w:numId w:val="129"/>
        </w:numPr>
        <w:spacing w:after="0" w:line="240" w:lineRule="auto"/>
        <w:jc w:val="both"/>
        <w:rPr>
          <w:rFonts w:ascii="Arial" w:hAnsi="Arial" w:cs="Arial"/>
        </w:rPr>
      </w:pPr>
      <w:r w:rsidRPr="00B01850">
        <w:rPr>
          <w:rFonts w:ascii="Arial" w:hAnsi="Arial" w:cs="Arial"/>
          <w:i/>
          <w:iCs/>
        </w:rPr>
        <w:t>Enregistrement de la plainte</w:t>
      </w:r>
      <w:r w:rsidRPr="00B01850">
        <w:rPr>
          <w:rFonts w:ascii="Arial" w:hAnsi="Arial" w:cs="Arial"/>
        </w:rPr>
        <w:t xml:space="preserve"> : </w:t>
      </w:r>
      <w:r w:rsidR="004A0F52" w:rsidRPr="00B01850">
        <w:rPr>
          <w:rFonts w:ascii="Arial" w:hAnsi="Arial" w:cs="Arial"/>
          <w:bCs/>
        </w:rPr>
        <w:t>l</w:t>
      </w:r>
      <w:r w:rsidR="00EF64BF" w:rsidRPr="00B01850">
        <w:rPr>
          <w:rFonts w:ascii="Arial" w:hAnsi="Arial" w:cs="Arial"/>
          <w:bCs/>
        </w:rPr>
        <w:t xml:space="preserve">es réclamations sont reçues par les Comités de Gestion des réclamations (CGR) installés dans les Communes Rurales et Urbaines. </w:t>
      </w:r>
      <w:r w:rsidR="00EF64BF" w:rsidRPr="00B01850">
        <w:rPr>
          <w:rFonts w:ascii="Arial" w:hAnsi="Arial" w:cs="Arial"/>
        </w:rPr>
        <w:t>Ces comités seront appuyés dans les districts par les points focaux. Un téléphone portable sera mis à la disposition de chaque Comité avec un numéro accessible au public dont les appels seront gratuits</w:t>
      </w:r>
      <w:r w:rsidRPr="00B01850">
        <w:rPr>
          <w:rFonts w:ascii="Arial" w:hAnsi="Arial" w:cs="Arial"/>
        </w:rPr>
        <w:t xml:space="preserve">. </w:t>
      </w:r>
    </w:p>
    <w:p w14:paraId="668F808A" w14:textId="584EEC6F" w:rsidR="008558A8" w:rsidRPr="00B01850" w:rsidRDefault="008558A8" w:rsidP="00214DCC">
      <w:pPr>
        <w:pStyle w:val="ListParagraph"/>
        <w:numPr>
          <w:ilvl w:val="0"/>
          <w:numId w:val="129"/>
        </w:numPr>
        <w:spacing w:after="0" w:line="240" w:lineRule="auto"/>
        <w:jc w:val="both"/>
        <w:rPr>
          <w:rFonts w:ascii="Arial" w:hAnsi="Arial" w:cs="Arial"/>
        </w:rPr>
      </w:pPr>
      <w:r w:rsidRPr="00B01850">
        <w:rPr>
          <w:rFonts w:ascii="Arial" w:hAnsi="Arial" w:cs="Arial"/>
          <w:i/>
          <w:iCs/>
        </w:rPr>
        <w:t>Transmission et examen des plaintes</w:t>
      </w:r>
      <w:r w:rsidRPr="00B01850">
        <w:rPr>
          <w:rFonts w:ascii="Arial" w:hAnsi="Arial" w:cs="Arial"/>
        </w:rPr>
        <w:t xml:space="preserve"> : </w:t>
      </w:r>
      <w:r w:rsidR="00353D39" w:rsidRPr="00B01850">
        <w:rPr>
          <w:rFonts w:ascii="Arial" w:hAnsi="Arial" w:cs="Arial"/>
        </w:rPr>
        <w:t>Toutes les réclamations soumises devront faire l’objet d’un examen et d’une enquête (au besoin) pour : (i) déterminer la validité ; (ii) vérifier si la plainte est relative aux activités du PRU-APN ; (iii) établir clairement quel engagement n’a pas été respecté ; et (iv) décider des mesures à prendre pour y donner suite. Durant cette étape, le travail d’évaluation sera effectué par une Commission ad ‘hoc qui sera mise en place par le PRU-APN si la plainte nécessite une enquête.</w:t>
      </w:r>
    </w:p>
    <w:p w14:paraId="2A43177C" w14:textId="3A566A03" w:rsidR="008558A8" w:rsidRPr="00B01850" w:rsidRDefault="008558A8" w:rsidP="00214DCC">
      <w:pPr>
        <w:pStyle w:val="ListParagraph"/>
        <w:numPr>
          <w:ilvl w:val="0"/>
          <w:numId w:val="129"/>
        </w:numPr>
        <w:spacing w:after="0" w:line="240" w:lineRule="auto"/>
        <w:contextualSpacing w:val="0"/>
        <w:jc w:val="both"/>
        <w:rPr>
          <w:rFonts w:ascii="Arial" w:hAnsi="Arial" w:cs="Arial"/>
        </w:rPr>
      </w:pPr>
      <w:r w:rsidRPr="00B01850">
        <w:rPr>
          <w:rFonts w:ascii="Arial" w:hAnsi="Arial" w:cs="Arial"/>
          <w:i/>
          <w:iCs/>
        </w:rPr>
        <w:t xml:space="preserve">Notification </w:t>
      </w:r>
      <w:r w:rsidR="009431AD" w:rsidRPr="00B01850">
        <w:rPr>
          <w:rFonts w:ascii="Arial" w:hAnsi="Arial" w:cs="Arial"/>
          <w:i/>
          <w:iCs/>
        </w:rPr>
        <w:t xml:space="preserve">et retour d’information </w:t>
      </w:r>
      <w:r w:rsidRPr="00B01850">
        <w:rPr>
          <w:rFonts w:ascii="Arial" w:hAnsi="Arial" w:cs="Arial"/>
          <w:i/>
          <w:iCs/>
        </w:rPr>
        <w:t>au plaignant</w:t>
      </w:r>
      <w:r w:rsidRPr="00B01850">
        <w:rPr>
          <w:rFonts w:ascii="Arial" w:hAnsi="Arial" w:cs="Arial"/>
        </w:rPr>
        <w:t xml:space="preserve"> : </w:t>
      </w:r>
      <w:r w:rsidR="009431AD" w:rsidRPr="00B01850">
        <w:rPr>
          <w:rFonts w:ascii="Arial" w:hAnsi="Arial" w:cs="Arial"/>
        </w:rPr>
        <w:t xml:space="preserve">le </w:t>
      </w:r>
      <w:r w:rsidR="00A25732" w:rsidRPr="00B01850">
        <w:rPr>
          <w:rFonts w:ascii="Arial" w:hAnsi="Arial" w:cs="Arial"/>
        </w:rPr>
        <w:t xml:space="preserve">CERP </w:t>
      </w:r>
      <w:r w:rsidR="009431AD" w:rsidRPr="00B01850">
        <w:rPr>
          <w:rFonts w:ascii="Arial" w:hAnsi="Arial" w:cs="Arial"/>
        </w:rPr>
        <w:t>sera tenu d’envoyer un feedback par e-mail, message, courrier physique ou de manière interactive par téléphone, à l’ensemble des plaignants durant tout le temps nécessaire pour le traitement de leurs réclamations. Les termes et la forme de la notification devront être adaptés au destinataire sur le plan intellectuel et culturel.</w:t>
      </w:r>
    </w:p>
    <w:p w14:paraId="6AE8C95C" w14:textId="4EEB8700" w:rsidR="008558A8" w:rsidRPr="00B01850" w:rsidRDefault="008558A8" w:rsidP="00214DCC">
      <w:pPr>
        <w:pStyle w:val="ListParagraph"/>
        <w:numPr>
          <w:ilvl w:val="0"/>
          <w:numId w:val="129"/>
        </w:numPr>
        <w:spacing w:after="0" w:line="240" w:lineRule="auto"/>
        <w:contextualSpacing w:val="0"/>
        <w:jc w:val="both"/>
        <w:rPr>
          <w:rFonts w:ascii="Arial" w:hAnsi="Arial" w:cs="Arial"/>
        </w:rPr>
      </w:pPr>
      <w:r w:rsidRPr="00B01850">
        <w:rPr>
          <w:rFonts w:ascii="Arial" w:hAnsi="Arial" w:cs="Arial"/>
          <w:i/>
          <w:iCs/>
        </w:rPr>
        <w:t>Clôture de la plainte</w:t>
      </w:r>
      <w:r w:rsidRPr="00B01850">
        <w:rPr>
          <w:rFonts w:ascii="Arial" w:hAnsi="Arial" w:cs="Arial"/>
        </w:rPr>
        <w:t xml:space="preserve"> : </w:t>
      </w:r>
      <w:r w:rsidR="00001055" w:rsidRPr="00B01850">
        <w:rPr>
          <w:rFonts w:ascii="Arial" w:hAnsi="Arial" w:cs="Arial"/>
        </w:rPr>
        <w:t>u</w:t>
      </w:r>
      <w:r w:rsidR="00C96855" w:rsidRPr="00B01850">
        <w:rPr>
          <w:rFonts w:ascii="Arial" w:hAnsi="Arial" w:cs="Arial"/>
        </w:rPr>
        <w:t>ne fois la solution acceptée et mise en œuvre avec succès, la plainte est clôturée et les détails sont consignés dans la fiche de clôture. La base de données sur les réclamations sera également renseignée</w:t>
      </w:r>
      <w:r w:rsidRPr="00B01850">
        <w:rPr>
          <w:rFonts w:ascii="Arial" w:hAnsi="Arial" w:cs="Arial"/>
        </w:rPr>
        <w:t>.</w:t>
      </w:r>
    </w:p>
    <w:p w14:paraId="713B4F20" w14:textId="2524419A" w:rsidR="00F10EF2" w:rsidRPr="00B01850" w:rsidRDefault="00AC47E7" w:rsidP="008558A8">
      <w:pPr>
        <w:autoSpaceDE w:val="0"/>
        <w:autoSpaceDN w:val="0"/>
        <w:adjustRightInd w:val="0"/>
        <w:spacing w:after="0" w:line="240" w:lineRule="auto"/>
        <w:jc w:val="both"/>
        <w:rPr>
          <w:rFonts w:ascii="Arial" w:hAnsi="Arial" w:cs="Arial"/>
          <w:color w:val="000000"/>
        </w:rPr>
      </w:pPr>
      <w:r w:rsidRPr="00B01850">
        <w:rPr>
          <w:rFonts w:ascii="Arial" w:hAnsi="Arial" w:cs="Arial"/>
          <w:b/>
          <w:bCs/>
          <w:color w:val="000000"/>
        </w:rPr>
        <w:lastRenderedPageBreak/>
        <w:t xml:space="preserve">Signalons que le MGR du </w:t>
      </w:r>
      <w:r w:rsidRPr="00B01850">
        <w:rPr>
          <w:rFonts w:ascii="Arial" w:hAnsi="Arial" w:cs="Arial"/>
        </w:rPr>
        <w:t xml:space="preserve">projet </w:t>
      </w:r>
      <w:bookmarkStart w:id="216" w:name="_Hlk197271374"/>
      <w:r w:rsidRPr="00B01850">
        <w:rPr>
          <w:rFonts w:ascii="Arial" w:hAnsi="Arial" w:cs="Arial"/>
        </w:rPr>
        <w:t>NAFA PRU-APN (</w:t>
      </w:r>
      <w:r w:rsidRPr="009A48E2">
        <w:rPr>
          <w:rFonts w:ascii="Arial" w:hAnsi="Arial" w:cs="Arial"/>
        </w:rPr>
        <w:t>P168777)</w:t>
      </w:r>
      <w:r w:rsidRPr="00B01850">
        <w:rPr>
          <w:rFonts w:ascii="Arial" w:hAnsi="Arial" w:cs="Arial"/>
        </w:rPr>
        <w:t xml:space="preserve"> </w:t>
      </w:r>
      <w:bookmarkEnd w:id="216"/>
      <w:r w:rsidRPr="00B01850">
        <w:rPr>
          <w:rFonts w:ascii="Arial" w:hAnsi="Arial" w:cs="Arial"/>
        </w:rPr>
        <w:t>prévoit des dispositions spécifiques pour traitées d’éventuels cas d’Exploitations et Abus Sexuels qui surviendraient durant la mise en œuvre du projet. Le CERP s’appuiera sur ces disposition</w:t>
      </w:r>
      <w:r w:rsidR="000A18B9" w:rsidRPr="00B01850">
        <w:rPr>
          <w:rFonts w:ascii="Arial" w:hAnsi="Arial" w:cs="Arial"/>
        </w:rPr>
        <w:t>s</w:t>
      </w:r>
      <w:r w:rsidRPr="00B01850">
        <w:rPr>
          <w:rFonts w:ascii="Arial" w:hAnsi="Arial" w:cs="Arial"/>
        </w:rPr>
        <w:t xml:space="preserve"> pour traiter les cas d’EAS qui surviendraient dans sa mise en œuvre.</w:t>
      </w:r>
    </w:p>
    <w:p w14:paraId="341FB9FE" w14:textId="115C73E1" w:rsidR="00F10EF2" w:rsidRPr="00B01850" w:rsidRDefault="00AC47E7" w:rsidP="00214DCC">
      <w:pPr>
        <w:pStyle w:val="ListParagraph"/>
        <w:numPr>
          <w:ilvl w:val="0"/>
          <w:numId w:val="130"/>
        </w:numPr>
        <w:autoSpaceDE w:val="0"/>
        <w:autoSpaceDN w:val="0"/>
        <w:adjustRightInd w:val="0"/>
        <w:spacing w:before="120" w:after="120" w:line="240" w:lineRule="auto"/>
        <w:contextualSpacing w:val="0"/>
        <w:jc w:val="both"/>
        <w:rPr>
          <w:rFonts w:ascii="Arial" w:hAnsi="Arial" w:cs="Arial"/>
          <w:b/>
          <w:bCs/>
          <w:color w:val="000000"/>
        </w:rPr>
      </w:pPr>
      <w:r w:rsidRPr="00B01850">
        <w:rPr>
          <w:rFonts w:ascii="Arial" w:hAnsi="Arial" w:cs="Arial"/>
          <w:b/>
          <w:bCs/>
        </w:rPr>
        <w:t>Niveau de traitement des réclamations</w:t>
      </w:r>
    </w:p>
    <w:p w14:paraId="14B2F0CA" w14:textId="6C4AEEDC" w:rsidR="000A18B9" w:rsidRPr="00B01850" w:rsidRDefault="000A18B9" w:rsidP="000A18B9">
      <w:pPr>
        <w:autoSpaceDE w:val="0"/>
        <w:autoSpaceDN w:val="0"/>
        <w:adjustRightInd w:val="0"/>
        <w:spacing w:before="120" w:after="120" w:line="240" w:lineRule="auto"/>
        <w:jc w:val="both"/>
        <w:rPr>
          <w:rFonts w:ascii="Arial" w:hAnsi="Arial" w:cs="Arial"/>
          <w:bCs/>
          <w:color w:val="000000"/>
        </w:rPr>
      </w:pPr>
      <w:r w:rsidRPr="00B01850">
        <w:rPr>
          <w:rFonts w:ascii="Arial" w:hAnsi="Arial" w:cs="Arial"/>
          <w:bCs/>
          <w:color w:val="000000"/>
        </w:rPr>
        <w:t>Les différents de traitement des plaintes envisagés dans le MGR du projet NAFA PRU-APN (</w:t>
      </w:r>
      <w:r w:rsidRPr="009A48E2">
        <w:rPr>
          <w:rFonts w:ascii="Arial" w:hAnsi="Arial" w:cs="Arial"/>
          <w:bCs/>
          <w:color w:val="000000"/>
        </w:rPr>
        <w:t>P168777)</w:t>
      </w:r>
      <w:r w:rsidRPr="00B01850">
        <w:rPr>
          <w:rFonts w:ascii="Arial" w:hAnsi="Arial" w:cs="Arial"/>
          <w:bCs/>
          <w:color w:val="000000"/>
        </w:rPr>
        <w:t xml:space="preserve"> sont les suivants :</w:t>
      </w:r>
    </w:p>
    <w:p w14:paraId="556D26FB" w14:textId="77777777" w:rsidR="00C14C18" w:rsidRPr="00B01850" w:rsidRDefault="00C14C18" w:rsidP="00214DCC">
      <w:pPr>
        <w:pStyle w:val="ListParagraph"/>
        <w:numPr>
          <w:ilvl w:val="0"/>
          <w:numId w:val="131"/>
        </w:numPr>
        <w:spacing w:after="0" w:line="240" w:lineRule="auto"/>
        <w:jc w:val="both"/>
        <w:rPr>
          <w:rFonts w:ascii="Arial" w:hAnsi="Arial" w:cs="Arial"/>
          <w:color w:val="000000"/>
        </w:rPr>
      </w:pPr>
      <w:r w:rsidRPr="00B01850">
        <w:rPr>
          <w:rFonts w:ascii="Arial" w:hAnsi="Arial" w:cs="Arial"/>
          <w:color w:val="000000"/>
        </w:rPr>
        <w:t xml:space="preserve">District </w:t>
      </w:r>
    </w:p>
    <w:p w14:paraId="05DB0B02" w14:textId="77777777" w:rsidR="00C14C18" w:rsidRPr="00B01850" w:rsidRDefault="00C14C18" w:rsidP="00214DCC">
      <w:pPr>
        <w:pStyle w:val="ListParagraph"/>
        <w:numPr>
          <w:ilvl w:val="0"/>
          <w:numId w:val="131"/>
        </w:numPr>
        <w:spacing w:after="0" w:line="240" w:lineRule="auto"/>
        <w:jc w:val="both"/>
        <w:rPr>
          <w:rFonts w:ascii="Arial" w:hAnsi="Arial" w:cs="Arial"/>
          <w:color w:val="000000"/>
        </w:rPr>
      </w:pPr>
      <w:r w:rsidRPr="00B01850">
        <w:rPr>
          <w:rFonts w:ascii="Arial" w:hAnsi="Arial" w:cs="Arial"/>
          <w:color w:val="000000"/>
        </w:rPr>
        <w:t>Au niveau local (Commune rurale)</w:t>
      </w:r>
    </w:p>
    <w:p w14:paraId="2ED1BCF6" w14:textId="77777777" w:rsidR="00C14C18" w:rsidRPr="00B01850" w:rsidRDefault="00C14C18" w:rsidP="00214DCC">
      <w:pPr>
        <w:pStyle w:val="ListParagraph"/>
        <w:numPr>
          <w:ilvl w:val="0"/>
          <w:numId w:val="131"/>
        </w:numPr>
        <w:spacing w:after="0" w:line="240" w:lineRule="auto"/>
        <w:jc w:val="both"/>
        <w:rPr>
          <w:rFonts w:ascii="Arial" w:hAnsi="Arial" w:cs="Arial"/>
          <w:color w:val="000000"/>
        </w:rPr>
      </w:pPr>
      <w:r w:rsidRPr="00B01850">
        <w:rPr>
          <w:rFonts w:ascii="Arial" w:hAnsi="Arial" w:cs="Arial"/>
          <w:color w:val="000000"/>
        </w:rPr>
        <w:t>Commune urbaine dans les préfectures</w:t>
      </w:r>
    </w:p>
    <w:p w14:paraId="51DA9AD3" w14:textId="6A3E11BD" w:rsidR="00230070" w:rsidRPr="00B01850" w:rsidRDefault="00C14C18" w:rsidP="00214DCC">
      <w:pPr>
        <w:pStyle w:val="ListParagraph"/>
        <w:numPr>
          <w:ilvl w:val="0"/>
          <w:numId w:val="131"/>
        </w:numPr>
        <w:spacing w:before="240" w:after="120" w:line="240" w:lineRule="auto"/>
        <w:contextualSpacing w:val="0"/>
        <w:jc w:val="both"/>
        <w:rPr>
          <w:rFonts w:ascii="Arial" w:hAnsi="Arial" w:cs="Arial"/>
          <w:color w:val="000000"/>
        </w:rPr>
      </w:pPr>
      <w:r w:rsidRPr="00B01850">
        <w:rPr>
          <w:rFonts w:ascii="Arial" w:hAnsi="Arial" w:cs="Arial"/>
          <w:color w:val="000000"/>
        </w:rPr>
        <w:t xml:space="preserve">Au niveau national </w:t>
      </w:r>
    </w:p>
    <w:p w14:paraId="2EC30B05" w14:textId="034C78F2" w:rsidR="00DB5025" w:rsidRPr="00B01850" w:rsidRDefault="00DB5025" w:rsidP="00230070">
      <w:pPr>
        <w:autoSpaceDE w:val="0"/>
        <w:autoSpaceDN w:val="0"/>
        <w:adjustRightInd w:val="0"/>
        <w:spacing w:after="0" w:line="240" w:lineRule="auto"/>
        <w:jc w:val="both"/>
        <w:rPr>
          <w:rFonts w:ascii="Arial" w:hAnsi="Arial" w:cs="Arial"/>
          <w:b/>
          <w:bCs/>
          <w:color w:val="000000"/>
        </w:rPr>
      </w:pPr>
      <w:r w:rsidRPr="00B01850">
        <w:rPr>
          <w:rFonts w:ascii="Arial" w:hAnsi="Arial" w:cs="Arial"/>
          <w:i/>
          <w:iCs/>
          <w:color w:val="000000"/>
        </w:rPr>
        <w:t>Procédure d’appel</w:t>
      </w:r>
      <w:r w:rsidR="00C96855" w:rsidRPr="00B01850">
        <w:rPr>
          <w:rFonts w:ascii="Arial" w:hAnsi="Arial" w:cs="Arial"/>
          <w:i/>
          <w:iCs/>
          <w:color w:val="000000"/>
        </w:rPr>
        <w:t> </w:t>
      </w:r>
      <w:r w:rsidR="00C96855" w:rsidRPr="00B01850">
        <w:rPr>
          <w:rFonts w:ascii="Arial" w:hAnsi="Arial" w:cs="Arial"/>
          <w:color w:val="000000"/>
        </w:rPr>
        <w:t>:</w:t>
      </w:r>
      <w:r w:rsidR="00C96855" w:rsidRPr="00B01850">
        <w:rPr>
          <w:rFonts w:ascii="Times New Roman" w:eastAsia="Times New Roman" w:hAnsi="Times New Roman" w:cs="Times New Roman"/>
          <w:sz w:val="24"/>
          <w:szCs w:val="24"/>
        </w:rPr>
        <w:t xml:space="preserve"> </w:t>
      </w:r>
      <w:r w:rsidR="00C96855" w:rsidRPr="00B01850">
        <w:rPr>
          <w:rFonts w:ascii="Arial" w:hAnsi="Arial" w:cs="Arial"/>
          <w:color w:val="000000"/>
        </w:rPr>
        <w:t>Dans le cas où le plaignant n’accepte pas la mesure proposée, il peut décider de faire appel de la réponse pour réexaminer l'enquête déjà effectuée et de déterminer s'il y a lieu de maintenir la première décision ou d’en prendre une nouvelle sur la base des constats issus de ce réexamen.</w:t>
      </w:r>
    </w:p>
    <w:p w14:paraId="4CD2CA42" w14:textId="08DD997C" w:rsidR="00867C83" w:rsidRPr="00B01850" w:rsidRDefault="00DB5025" w:rsidP="00230070">
      <w:pPr>
        <w:autoSpaceDE w:val="0"/>
        <w:autoSpaceDN w:val="0"/>
        <w:adjustRightInd w:val="0"/>
        <w:spacing w:after="0" w:line="240" w:lineRule="auto"/>
        <w:jc w:val="both"/>
        <w:rPr>
          <w:rFonts w:ascii="Arial" w:hAnsi="Arial" w:cs="Arial"/>
          <w:color w:val="000000"/>
        </w:rPr>
      </w:pPr>
      <w:r w:rsidRPr="00B01850">
        <w:rPr>
          <w:rFonts w:ascii="Arial" w:hAnsi="Arial" w:cs="Arial"/>
          <w:i/>
          <w:iCs/>
          <w:color w:val="000000"/>
        </w:rPr>
        <w:t>Recours à la voie judiciaire</w:t>
      </w:r>
      <w:r w:rsidRPr="00B01850">
        <w:rPr>
          <w:rFonts w:ascii="Arial" w:hAnsi="Arial" w:cs="Arial"/>
          <w:color w:val="000000"/>
        </w:rPr>
        <w:t> :</w:t>
      </w:r>
      <w:r w:rsidRPr="00B01850">
        <w:rPr>
          <w:rFonts w:ascii="Arial" w:hAnsi="Arial" w:cs="Arial"/>
          <w:b/>
          <w:bCs/>
          <w:color w:val="000000"/>
        </w:rPr>
        <w:t xml:space="preserve"> </w:t>
      </w:r>
      <w:r w:rsidR="00230070" w:rsidRPr="00B01850">
        <w:rPr>
          <w:rFonts w:ascii="Arial" w:hAnsi="Arial" w:cs="Arial"/>
          <w:color w:val="000000"/>
        </w:rPr>
        <w:t>Lorsque l'affaire n'est pas classée par le Projet, il est conseillé à la personne concernée de demander justice devant un tribunal, et la décision rendue par les tribunaux est définitive.</w:t>
      </w:r>
    </w:p>
    <w:p w14:paraId="02CDD010" w14:textId="77777777" w:rsidR="00B06A81" w:rsidRPr="00B01850" w:rsidRDefault="00B06A81" w:rsidP="00B06A81">
      <w:pPr>
        <w:autoSpaceDE w:val="0"/>
        <w:autoSpaceDN w:val="0"/>
        <w:adjustRightInd w:val="0"/>
        <w:spacing w:after="0" w:line="240" w:lineRule="auto"/>
        <w:jc w:val="both"/>
        <w:rPr>
          <w:rFonts w:ascii="Arial" w:hAnsi="Arial" w:cs="Arial"/>
          <w:b/>
          <w:bCs/>
          <w:color w:val="000000"/>
        </w:rPr>
      </w:pPr>
    </w:p>
    <w:p w14:paraId="51A74B03" w14:textId="3CEA47B5" w:rsidR="00B06A81" w:rsidRPr="00B01850" w:rsidRDefault="00B06A81" w:rsidP="00214DCC">
      <w:pPr>
        <w:pStyle w:val="ListParagraph"/>
        <w:numPr>
          <w:ilvl w:val="0"/>
          <w:numId w:val="132"/>
        </w:numPr>
        <w:autoSpaceDE w:val="0"/>
        <w:autoSpaceDN w:val="0"/>
        <w:adjustRightInd w:val="0"/>
        <w:spacing w:after="0" w:line="240" w:lineRule="auto"/>
        <w:jc w:val="both"/>
        <w:rPr>
          <w:rFonts w:ascii="Arial" w:hAnsi="Arial" w:cs="Arial"/>
          <w:b/>
          <w:bCs/>
          <w:color w:val="000000"/>
        </w:rPr>
      </w:pPr>
      <w:r w:rsidRPr="00B01850">
        <w:rPr>
          <w:rFonts w:ascii="Arial" w:hAnsi="Arial" w:cs="Arial"/>
          <w:b/>
          <w:bCs/>
          <w:color w:val="000000"/>
        </w:rPr>
        <w:t xml:space="preserve">Suivi-évaluation </w:t>
      </w:r>
    </w:p>
    <w:p w14:paraId="19F5A4F5" w14:textId="77777777" w:rsidR="00B06A81" w:rsidRPr="00B01850" w:rsidRDefault="00B06A81" w:rsidP="00B06A81">
      <w:pPr>
        <w:autoSpaceDE w:val="0"/>
        <w:autoSpaceDN w:val="0"/>
        <w:adjustRightInd w:val="0"/>
        <w:spacing w:after="0" w:line="240" w:lineRule="auto"/>
        <w:jc w:val="both"/>
        <w:rPr>
          <w:rFonts w:ascii="Arial" w:hAnsi="Arial" w:cs="Arial"/>
          <w:color w:val="000000"/>
        </w:rPr>
      </w:pPr>
    </w:p>
    <w:p w14:paraId="6C14B33C" w14:textId="77777777" w:rsidR="00F443CD" w:rsidRPr="00F443CD" w:rsidRDefault="00F443CD" w:rsidP="00F443CD">
      <w:pPr>
        <w:autoSpaceDE w:val="0"/>
        <w:autoSpaceDN w:val="0"/>
        <w:adjustRightInd w:val="0"/>
        <w:spacing w:after="0" w:line="240" w:lineRule="auto"/>
        <w:jc w:val="both"/>
        <w:rPr>
          <w:rFonts w:ascii="Arial" w:hAnsi="Arial" w:cs="Arial"/>
          <w:color w:val="000000"/>
        </w:rPr>
      </w:pPr>
      <w:r w:rsidRPr="00F443CD">
        <w:rPr>
          <w:rFonts w:ascii="Arial" w:hAnsi="Arial" w:cs="Arial"/>
          <w:color w:val="000000"/>
        </w:rPr>
        <w:t>La démarche vise à vérifier si les outils et principes véhiculés dans le cadre du MGR sont respectés (accessibilité, utilisation des outils (registre et formulaires de réclamations etc.), la documentation, les procédures d’enregistrement, de traitement et de suivi des réclamations.</w:t>
      </w:r>
    </w:p>
    <w:p w14:paraId="7FC60FEF" w14:textId="712CEAB2" w:rsidR="00B06A81" w:rsidRPr="00B01850" w:rsidRDefault="00F443CD" w:rsidP="00F443CD">
      <w:pPr>
        <w:autoSpaceDE w:val="0"/>
        <w:autoSpaceDN w:val="0"/>
        <w:adjustRightInd w:val="0"/>
        <w:spacing w:before="120" w:after="0" w:line="240" w:lineRule="auto"/>
        <w:jc w:val="both"/>
        <w:rPr>
          <w:rFonts w:ascii="Arial" w:hAnsi="Arial" w:cs="Arial"/>
          <w:color w:val="000000"/>
        </w:rPr>
      </w:pPr>
      <w:r w:rsidRPr="00B01850">
        <w:rPr>
          <w:rFonts w:ascii="Arial" w:hAnsi="Arial" w:cs="Arial"/>
          <w:color w:val="000000"/>
        </w:rPr>
        <w:t>Des consultations spécifiques et séparément avec les femmes et les filles seront tenues pendant toute la durée du projet pour vérifier la sécurité et l'accessibilité du MGR. Les spécialistes en sauvegarde environnementale et sociale sont les responsables des rapports trimestriels. Des contrôles ponctuels et des suivis itératifs seront organisés dans les ménages choisis au hasard.</w:t>
      </w:r>
      <w:r w:rsidR="00B06A81" w:rsidRPr="00B01850">
        <w:rPr>
          <w:rFonts w:ascii="Arial" w:hAnsi="Arial" w:cs="Arial"/>
          <w:color w:val="000000"/>
        </w:rPr>
        <w:t xml:space="preserve"> </w:t>
      </w:r>
    </w:p>
    <w:p w14:paraId="6B2ADDFE" w14:textId="019D84EC" w:rsidR="00C14C18" w:rsidRPr="00B01850" w:rsidRDefault="00B06A81" w:rsidP="00F443CD">
      <w:pPr>
        <w:spacing w:before="120" w:after="0" w:line="240" w:lineRule="auto"/>
        <w:jc w:val="both"/>
        <w:rPr>
          <w:rFonts w:ascii="Arial" w:hAnsi="Arial" w:cs="Arial"/>
          <w:color w:val="000000"/>
        </w:rPr>
      </w:pPr>
      <w:r w:rsidRPr="00B01850">
        <w:rPr>
          <w:rFonts w:ascii="Arial" w:hAnsi="Arial" w:cs="Arial"/>
          <w:color w:val="000000"/>
        </w:rPr>
        <w:t xml:space="preserve">Le comité conservera un formulaire de règlement des </w:t>
      </w:r>
      <w:r w:rsidR="00CF454B" w:rsidRPr="00B01850">
        <w:rPr>
          <w:rFonts w:ascii="Arial" w:hAnsi="Arial" w:cs="Arial"/>
          <w:color w:val="000000"/>
        </w:rPr>
        <w:t>réclamations</w:t>
      </w:r>
      <w:r w:rsidRPr="00B01850">
        <w:rPr>
          <w:rFonts w:ascii="Arial" w:hAnsi="Arial" w:cs="Arial"/>
          <w:color w:val="000000"/>
        </w:rPr>
        <w:t xml:space="preserve"> ou un registre des </w:t>
      </w:r>
      <w:r w:rsidR="00CF454B" w:rsidRPr="00B01850">
        <w:rPr>
          <w:rFonts w:ascii="Arial" w:hAnsi="Arial" w:cs="Arial"/>
          <w:color w:val="000000"/>
        </w:rPr>
        <w:t xml:space="preserve">réclamations </w:t>
      </w:r>
      <w:r w:rsidRPr="00B01850">
        <w:rPr>
          <w:rFonts w:ascii="Arial" w:hAnsi="Arial" w:cs="Arial"/>
          <w:color w:val="000000"/>
        </w:rPr>
        <w:t>qui indiquera la date à laquelle la</w:t>
      </w:r>
      <w:r w:rsidR="00CF454B" w:rsidRPr="00B01850">
        <w:rPr>
          <w:rFonts w:ascii="Arial" w:hAnsi="Arial" w:cs="Arial"/>
          <w:color w:val="000000"/>
        </w:rPr>
        <w:t xml:space="preserve"> réclamation</w:t>
      </w:r>
      <w:r w:rsidRPr="00B01850">
        <w:rPr>
          <w:rFonts w:ascii="Arial" w:hAnsi="Arial" w:cs="Arial"/>
          <w:color w:val="000000"/>
        </w:rPr>
        <w:t xml:space="preserve"> a été déposée, les mesures prises et le personnel ou l'équipe responsable de la plainte. </w:t>
      </w:r>
      <w:r w:rsidR="00C14C18" w:rsidRPr="00B01850">
        <w:rPr>
          <w:rFonts w:ascii="Arial" w:hAnsi="Arial" w:cs="Arial"/>
          <w:color w:val="000000"/>
        </w:rPr>
        <w:br w:type="page"/>
      </w:r>
    </w:p>
    <w:p w14:paraId="669353DB" w14:textId="77777777" w:rsidR="00C14C18" w:rsidRPr="00B01850" w:rsidRDefault="00C14C18" w:rsidP="00F443CD">
      <w:pPr>
        <w:spacing w:after="0" w:line="240" w:lineRule="auto"/>
        <w:jc w:val="both"/>
        <w:rPr>
          <w:rFonts w:ascii="Arial" w:hAnsi="Arial" w:cs="Arial"/>
          <w:color w:val="000000"/>
        </w:rPr>
        <w:sectPr w:rsidR="00C14C18" w:rsidRPr="00B01850" w:rsidSect="00C273AA">
          <w:pgSz w:w="12240" w:h="15840"/>
          <w:pgMar w:top="1440" w:right="1440" w:bottom="1440" w:left="1440" w:header="720" w:footer="720" w:gutter="0"/>
          <w:cols w:space="720"/>
          <w:docGrid w:linePitch="360"/>
        </w:sectPr>
      </w:pPr>
    </w:p>
    <w:p w14:paraId="73D1E9DB" w14:textId="143B54D5" w:rsidR="00C14C18" w:rsidRPr="00B01850" w:rsidRDefault="00F443CD" w:rsidP="00B06A81">
      <w:pPr>
        <w:spacing w:after="0" w:line="240" w:lineRule="auto"/>
        <w:jc w:val="center"/>
        <w:rPr>
          <w:rFonts w:ascii="Arial" w:eastAsiaTheme="minorHAnsi" w:hAnsi="Arial" w:cs="Arial"/>
          <w:i/>
          <w:iCs/>
          <w:sz w:val="28"/>
          <w:szCs w:val="28"/>
          <w:u w:val="single"/>
        </w:rPr>
      </w:pPr>
      <w:r w:rsidRPr="00B01850">
        <w:rPr>
          <w:rFonts w:ascii="Arial" w:eastAsiaTheme="minorHAnsi" w:hAnsi="Arial" w:cs="Arial"/>
          <w:i/>
          <w:iCs/>
          <w:sz w:val="28"/>
          <w:szCs w:val="28"/>
          <w:u w:val="single"/>
        </w:rPr>
        <w:lastRenderedPageBreak/>
        <w:t>Circuit de gestion des réclamations non sensibles du projet NAFA</w:t>
      </w:r>
    </w:p>
    <w:p w14:paraId="57057BB5" w14:textId="77777777" w:rsidR="00C14C18" w:rsidRPr="00B01850" w:rsidRDefault="00C14C18" w:rsidP="00C14C18">
      <w:pPr>
        <w:spacing w:before="240" w:after="240"/>
        <w:jc w:val="both"/>
        <w:rPr>
          <w:rFonts w:ascii="Arial Black" w:hAnsi="Arial Black"/>
          <w:sz w:val="28"/>
          <w:szCs w:val="28"/>
        </w:rPr>
      </w:pPr>
      <w:r w:rsidRPr="00B01850">
        <w:rPr>
          <w:noProof/>
          <w14:ligatures w14:val="standardContextual"/>
        </w:rPr>
        <mc:AlternateContent>
          <mc:Choice Requires="wps">
            <w:drawing>
              <wp:anchor distT="0" distB="0" distL="114300" distR="114300" simplePos="0" relativeHeight="251658287" behindDoc="0" locked="0" layoutInCell="1" allowOverlap="1" wp14:anchorId="1CBCFCAF" wp14:editId="19368F75">
                <wp:simplePos x="0" y="0"/>
                <wp:positionH relativeFrom="column">
                  <wp:posOffset>1530350</wp:posOffset>
                </wp:positionH>
                <wp:positionV relativeFrom="paragraph">
                  <wp:posOffset>494665</wp:posOffset>
                </wp:positionV>
                <wp:extent cx="996950" cy="419100"/>
                <wp:effectExtent l="38100" t="247650" r="50800" b="247650"/>
                <wp:wrapNone/>
                <wp:docPr id="2025201908" name="Zone de texte 23"/>
                <wp:cNvGraphicFramePr/>
                <a:graphic xmlns:a="http://schemas.openxmlformats.org/drawingml/2006/main">
                  <a:graphicData uri="http://schemas.microsoft.com/office/word/2010/wordprocessingShape">
                    <wps:wsp>
                      <wps:cNvSpPr txBox="1"/>
                      <wps:spPr>
                        <a:xfrm rot="19701165">
                          <a:off x="0" y="0"/>
                          <a:ext cx="996950" cy="419100"/>
                        </a:xfrm>
                        <a:prstGeom prst="rect">
                          <a:avLst/>
                        </a:prstGeom>
                        <a:solidFill>
                          <a:schemeClr val="lt1"/>
                        </a:solidFill>
                        <a:ln w="6350">
                          <a:noFill/>
                        </a:ln>
                      </wps:spPr>
                      <wps:txbx>
                        <w:txbxContent>
                          <w:p w14:paraId="47B51B32" w14:textId="77777777" w:rsidR="00C14C18" w:rsidRPr="00B01850" w:rsidRDefault="00C14C18" w:rsidP="00C14C18">
                            <w:pPr>
                              <w:rPr>
                                <w:sz w:val="20"/>
                                <w:szCs w:val="20"/>
                              </w:rPr>
                            </w:pPr>
                            <w:r w:rsidRPr="00B01850">
                              <w:rPr>
                                <w:sz w:val="20"/>
                                <w:szCs w:val="20"/>
                              </w:rPr>
                              <w:t>Circuit de réponse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BCFCAF" id="_x0000_t202" coordsize="21600,21600" o:spt="202" path="m,l,21600r21600,l21600,xe">
                <v:stroke joinstyle="miter"/>
                <v:path gradientshapeok="t" o:connecttype="rect"/>
              </v:shapetype>
              <v:shape id="Zone de texte 23" o:spid="_x0000_s1026" type="#_x0000_t202" style="position:absolute;left:0;text-align:left;margin-left:120.5pt;margin-top:38.95pt;width:78.5pt;height:33pt;rotation:-2074034fd;z-index:2516582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" fillcolor="white [3201]" stroked="f" strokeweight=".5pt">
                <v:textbox>
                  <w:txbxContent>
                    <w:p w14:paraId="47B51B32" w14:textId="77777777" w:rsidR="00C14C18" w:rsidRPr="00B01850" w:rsidRDefault="00C14C18" w:rsidP="00C14C18">
                      <w:pPr>
                        <w:rPr>
                          <w:sz w:val="20"/>
                          <w:szCs w:val="20"/>
                        </w:rPr>
                      </w:pPr>
                      <w:r w:rsidRPr="00B01850">
                        <w:rPr>
                          <w:sz w:val="20"/>
                          <w:szCs w:val="20"/>
                        </w:rPr>
                        <w:t>Circuit de réponse</w:t>
                      </w:r>
                    </w:p>
                  </w:txbxContent>
                </v:textbox>
              </v:shape>
            </w:pict>
          </mc:Fallback>
        </mc:AlternateContent>
      </w:r>
      <w:r w:rsidRPr="00B01850">
        <w:rPr>
          <w:noProof/>
          <w14:ligatures w14:val="standardContextual"/>
        </w:rPr>
        <mc:AlternateContent>
          <mc:Choice Requires="wps">
            <w:drawing>
              <wp:anchor distT="0" distB="0" distL="114300" distR="114300" simplePos="0" relativeHeight="251658264" behindDoc="0" locked="0" layoutInCell="1" allowOverlap="1" wp14:anchorId="5D2A32B9" wp14:editId="36E8DE64">
                <wp:simplePos x="0" y="0"/>
                <wp:positionH relativeFrom="column">
                  <wp:posOffset>2064915</wp:posOffset>
                </wp:positionH>
                <wp:positionV relativeFrom="paragraph">
                  <wp:posOffset>173355</wp:posOffset>
                </wp:positionV>
                <wp:extent cx="180714" cy="1501624"/>
                <wp:effectExtent l="0" t="355600" r="0" b="359410"/>
                <wp:wrapNone/>
                <wp:docPr id="1707934427" name="Flèche : haut 6"/>
                <wp:cNvGraphicFramePr/>
                <a:graphic xmlns:a="http://schemas.openxmlformats.org/drawingml/2006/main">
                  <a:graphicData uri="http://schemas.microsoft.com/office/word/2010/wordprocessingShape">
                    <wps:wsp>
                      <wps:cNvSpPr/>
                      <wps:spPr>
                        <a:xfrm rot="3487775">
                          <a:off x="0" y="0"/>
                          <a:ext cx="180714" cy="1501624"/>
                        </a:xfrm>
                        <a:prstGeom prst="upArrow">
                          <a:avLst/>
                        </a:prstGeom>
                        <a:solidFill>
                          <a:schemeClr val="tx1"/>
                        </a:solidFill>
                        <a:ln>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AF50E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 haut 6" o:spid="_x0000_s1026" type="#_x0000_t68" style="position:absolute;margin-left:162.6pt;margin-top:13.65pt;width:14.25pt;height:118.25pt;rotation:3809580fd;z-index:2516858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" adj="1300" fillcolor="black [3213]" strokecolor="#1f497d [3215]" strokeweight="2pt"/>
            </w:pict>
          </mc:Fallback>
        </mc:AlternateContent>
      </w:r>
      <w:r w:rsidRPr="00B01850">
        <w:rPr>
          <w:noProof/>
          <w14:ligatures w14:val="standardContextual"/>
        </w:rPr>
        <mc:AlternateContent>
          <mc:Choice Requires="wps">
            <w:drawing>
              <wp:anchor distT="0" distB="0" distL="114300" distR="114300" simplePos="0" relativeHeight="251658285" behindDoc="0" locked="0" layoutInCell="1" allowOverlap="1" wp14:anchorId="1EA86D7C" wp14:editId="3E7CE8A4">
                <wp:simplePos x="0" y="0"/>
                <wp:positionH relativeFrom="column">
                  <wp:posOffset>4914930</wp:posOffset>
                </wp:positionH>
                <wp:positionV relativeFrom="paragraph">
                  <wp:posOffset>182245</wp:posOffset>
                </wp:positionV>
                <wp:extent cx="996950" cy="419100"/>
                <wp:effectExtent l="38100" t="114300" r="50800" b="114300"/>
                <wp:wrapNone/>
                <wp:docPr id="1409969662" name="Zone de texte 23"/>
                <wp:cNvGraphicFramePr/>
                <a:graphic xmlns:a="http://schemas.openxmlformats.org/drawingml/2006/main">
                  <a:graphicData uri="http://schemas.microsoft.com/office/word/2010/wordprocessingShape">
                    <wps:wsp>
                      <wps:cNvSpPr txBox="1"/>
                      <wps:spPr>
                        <a:xfrm rot="827750">
                          <a:off x="0" y="0"/>
                          <a:ext cx="996950" cy="419100"/>
                        </a:xfrm>
                        <a:prstGeom prst="rect">
                          <a:avLst/>
                        </a:prstGeom>
                        <a:solidFill>
                          <a:schemeClr val="lt1"/>
                        </a:solidFill>
                        <a:ln w="6350">
                          <a:noFill/>
                        </a:ln>
                      </wps:spPr>
                      <wps:txbx>
                        <w:txbxContent>
                          <w:p w14:paraId="1AF8E1B0" w14:textId="77777777" w:rsidR="00C14C18" w:rsidRPr="00B01850" w:rsidRDefault="00C14C18" w:rsidP="00C14C18">
                            <w:pPr>
                              <w:rPr>
                                <w:sz w:val="20"/>
                                <w:szCs w:val="20"/>
                              </w:rPr>
                            </w:pPr>
                            <w:r w:rsidRPr="00B01850">
                              <w:rPr>
                                <w:sz w:val="20"/>
                                <w:szCs w:val="20"/>
                              </w:rPr>
                              <w:t>Circuit de transmission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86D7C" id="_x0000_s1027" type="#_x0000_t202" style="position:absolute;left:0;text-align:left;margin-left:387pt;margin-top:14.35pt;width:78.5pt;height:33pt;rotation:904124fd;z-index:2516582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" fillcolor="white [3201]" stroked="f" strokeweight=".5pt">
                <v:textbox>
                  <w:txbxContent>
                    <w:p w14:paraId="1AF8E1B0" w14:textId="77777777" w:rsidR="00C14C18" w:rsidRPr="00B01850" w:rsidRDefault="00C14C18" w:rsidP="00C14C18">
                      <w:pPr>
                        <w:rPr>
                          <w:sz w:val="20"/>
                          <w:szCs w:val="20"/>
                        </w:rPr>
                      </w:pPr>
                      <w:r w:rsidRPr="00B01850">
                        <w:rPr>
                          <w:sz w:val="20"/>
                          <w:szCs w:val="20"/>
                        </w:rPr>
                        <w:t>Circuit de transmission</w:t>
                      </w:r>
                    </w:p>
                  </w:txbxContent>
                </v:textbox>
              </v:shape>
            </w:pict>
          </mc:Fallback>
        </mc:AlternateContent>
      </w:r>
      <w:r w:rsidRPr="00B01850">
        <w:rPr>
          <w:noProof/>
          <w14:ligatures w14:val="standardContextual"/>
        </w:rPr>
        <mc:AlternateContent>
          <mc:Choice Requires="wps">
            <w:drawing>
              <wp:anchor distT="0" distB="0" distL="114300" distR="114300" simplePos="0" relativeHeight="251658270" behindDoc="0" locked="0" layoutInCell="1" allowOverlap="1" wp14:anchorId="58F5B710" wp14:editId="657CD8B2">
                <wp:simplePos x="0" y="0"/>
                <wp:positionH relativeFrom="column">
                  <wp:posOffset>5337104</wp:posOffset>
                </wp:positionH>
                <wp:positionV relativeFrom="paragraph">
                  <wp:posOffset>470536</wp:posOffset>
                </wp:positionV>
                <wp:extent cx="134199" cy="1566932"/>
                <wp:effectExtent l="7620" t="163830" r="0" b="197485"/>
                <wp:wrapNone/>
                <wp:docPr id="888881979" name="Flèche : bas 9"/>
                <wp:cNvGraphicFramePr/>
                <a:graphic xmlns:a="http://schemas.openxmlformats.org/drawingml/2006/main">
                  <a:graphicData uri="http://schemas.microsoft.com/office/word/2010/wordprocessingShape">
                    <wps:wsp>
                      <wps:cNvSpPr/>
                      <wps:spPr>
                        <a:xfrm rot="17027053">
                          <a:off x="0" y="0"/>
                          <a:ext cx="134199" cy="1566932"/>
                        </a:xfrm>
                        <a:prstGeom prst="downArrow">
                          <a:avLst/>
                        </a:prstGeom>
                        <a:solidFill>
                          <a:schemeClr val="accent6"/>
                        </a:solid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91389A"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9" o:spid="_x0000_s1026" type="#_x0000_t67" style="position:absolute;margin-left:420.25pt;margin-top:37.05pt;width:10.55pt;height:123.4pt;rotation:-4994878fd;z-index:2516920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" adj="20675" fillcolor="#f79646 [3209]" strokecolor="#f79646 [3209]" strokeweight="2pt"/>
            </w:pict>
          </mc:Fallback>
        </mc:AlternateContent>
      </w:r>
      <w:r w:rsidRPr="00B01850">
        <w:rPr>
          <w:noProof/>
          <w14:ligatures w14:val="standardContextual"/>
        </w:rPr>
        <mc:AlternateContent>
          <mc:Choice Requires="wps">
            <w:drawing>
              <wp:anchor distT="0" distB="0" distL="114300" distR="114300" simplePos="0" relativeHeight="251658279" behindDoc="0" locked="0" layoutInCell="1" allowOverlap="1" wp14:anchorId="0192167C" wp14:editId="5C754326">
                <wp:simplePos x="0" y="0"/>
                <wp:positionH relativeFrom="column">
                  <wp:posOffset>5344900</wp:posOffset>
                </wp:positionH>
                <wp:positionV relativeFrom="paragraph">
                  <wp:posOffset>158114</wp:posOffset>
                </wp:positionV>
                <wp:extent cx="153960" cy="1648942"/>
                <wp:effectExtent l="0" t="252095" r="0" b="222885"/>
                <wp:wrapNone/>
                <wp:docPr id="1192984619" name="Flèche : haut 6"/>
                <wp:cNvGraphicFramePr/>
                <a:graphic xmlns:a="http://schemas.openxmlformats.org/drawingml/2006/main">
                  <a:graphicData uri="http://schemas.microsoft.com/office/word/2010/wordprocessingShape">
                    <wps:wsp>
                      <wps:cNvSpPr/>
                      <wps:spPr>
                        <a:xfrm rot="17217742">
                          <a:off x="0" y="0"/>
                          <a:ext cx="153960" cy="1648942"/>
                        </a:xfrm>
                        <a:prstGeom prst="upArrow">
                          <a:avLst/>
                        </a:prstGeom>
                        <a:solidFill>
                          <a:schemeClr val="tx1"/>
                        </a:solidFill>
                        <a:ln>
                          <a:solidFill>
                            <a:schemeClr val="tx2"/>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530F3" id="Flèche : haut 6" o:spid="_x0000_s1026" type="#_x0000_t68" style="position:absolute;margin-left:420.85pt;margin-top:12.45pt;width:12.1pt;height:129.85pt;rotation:-4786594fd;z-index:251701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" adj="1008" fillcolor="black [3213]" strokecolor="#1f497d [3215]" strokeweight="2pt"/>
            </w:pict>
          </mc:Fallback>
        </mc:AlternateContent>
      </w:r>
      <w:r w:rsidRPr="00B01850">
        <w:rPr>
          <w:noProof/>
          <w14:ligatures w14:val="standardContextual"/>
        </w:rPr>
        <mc:AlternateContent>
          <mc:Choice Requires="wps">
            <w:drawing>
              <wp:anchor distT="0" distB="0" distL="114300" distR="114300" simplePos="0" relativeHeight="251658269" behindDoc="0" locked="0" layoutInCell="1" allowOverlap="1" wp14:anchorId="199DFA2D" wp14:editId="5C934878">
                <wp:simplePos x="0" y="0"/>
                <wp:positionH relativeFrom="column">
                  <wp:posOffset>5348689</wp:posOffset>
                </wp:positionH>
                <wp:positionV relativeFrom="paragraph">
                  <wp:posOffset>-99730</wp:posOffset>
                </wp:positionV>
                <wp:extent cx="126131" cy="1517277"/>
                <wp:effectExtent l="9207" t="124143" r="16828" b="150177"/>
                <wp:wrapNone/>
                <wp:docPr id="4397312" name="Flèche : bas 9"/>
                <wp:cNvGraphicFramePr/>
                <a:graphic xmlns:a="http://schemas.openxmlformats.org/drawingml/2006/main">
                  <a:graphicData uri="http://schemas.microsoft.com/office/word/2010/wordprocessingShape">
                    <wps:wsp>
                      <wps:cNvSpPr/>
                      <wps:spPr>
                        <a:xfrm rot="16797278">
                          <a:off x="0" y="0"/>
                          <a:ext cx="126131" cy="1517277"/>
                        </a:xfrm>
                        <a:prstGeom prst="downArrow">
                          <a:avLst/>
                        </a:prstGeom>
                        <a:solidFill>
                          <a:schemeClr val="accent6"/>
                        </a:solid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49FE3" id="Flèche : bas 9" o:spid="_x0000_s1026" type="#_x0000_t67" style="position:absolute;margin-left:421.15pt;margin-top:-7.85pt;width:9.95pt;height:119.45pt;rotation:-5245853fd;z-index:2516910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" adj="20702" fillcolor="#f79646 [3209]" strokecolor="#f79646 [3209]" strokeweight="2pt"/>
            </w:pict>
          </mc:Fallback>
        </mc:AlternateContent>
      </w:r>
    </w:p>
    <w:p w14:paraId="0867A00E" w14:textId="77777777" w:rsidR="00C14C18" w:rsidRPr="00B01850" w:rsidRDefault="00C14C18" w:rsidP="00C14C18">
      <w:pPr>
        <w:spacing w:before="240" w:after="240"/>
        <w:jc w:val="both"/>
        <w:rPr>
          <w:rFonts w:ascii="Arial Black" w:hAnsi="Arial Black"/>
          <w:sz w:val="28"/>
          <w:szCs w:val="28"/>
        </w:rPr>
      </w:pPr>
      <w:r w:rsidRPr="00B01850">
        <w:rPr>
          <w:rFonts w:ascii="Arial Black" w:hAnsi="Arial Black"/>
          <w:noProof/>
          <w:sz w:val="28"/>
          <w:szCs w:val="28"/>
        </w:rPr>
        <mc:AlternateContent>
          <mc:Choice Requires="wps">
            <w:drawing>
              <wp:anchor distT="0" distB="0" distL="114300" distR="114300" simplePos="0" relativeHeight="251658248" behindDoc="0" locked="0" layoutInCell="1" allowOverlap="1" wp14:anchorId="194FFF4F" wp14:editId="2D0239C4">
                <wp:simplePos x="0" y="0"/>
                <wp:positionH relativeFrom="column">
                  <wp:posOffset>2833370</wp:posOffset>
                </wp:positionH>
                <wp:positionV relativeFrom="paragraph">
                  <wp:posOffset>28575</wp:posOffset>
                </wp:positionV>
                <wp:extent cx="1809750" cy="793750"/>
                <wp:effectExtent l="0" t="0" r="19050" b="25400"/>
                <wp:wrapNone/>
                <wp:docPr id="405788022" name="Rectangle 1"/>
                <wp:cNvGraphicFramePr/>
                <a:graphic xmlns:a="http://schemas.openxmlformats.org/drawingml/2006/main">
                  <a:graphicData uri="http://schemas.microsoft.com/office/word/2010/wordprocessingShape">
                    <wps:wsp>
                      <wps:cNvSpPr/>
                      <wps:spPr>
                        <a:xfrm>
                          <a:off x="0" y="0"/>
                          <a:ext cx="1809750" cy="793750"/>
                        </a:xfrm>
                        <a:prstGeom prst="rect">
                          <a:avLst/>
                        </a:prstGeom>
                        <a:solidFill>
                          <a:srgbClr val="ED7D31"/>
                        </a:solidFill>
                        <a:ln w="12701" cap="flat">
                          <a:solidFill>
                            <a:srgbClr val="AE5A21"/>
                          </a:solidFill>
                          <a:prstDash val="solid"/>
                          <a:miter/>
                        </a:ln>
                      </wps:spPr>
                      <wps:txbx>
                        <w:txbxContent>
                          <w:p w14:paraId="12388691" w14:textId="77777777" w:rsidR="00C14C18" w:rsidRPr="00B01850" w:rsidRDefault="00C14C18" w:rsidP="00C14C18">
                            <w:pPr>
                              <w:tabs>
                                <w:tab w:val="left" w:pos="426"/>
                                <w:tab w:val="left" w:pos="709"/>
                              </w:tabs>
                              <w:jc w:val="center"/>
                              <w:rPr>
                                <w:color w:val="000000"/>
                                <w:sz w:val="36"/>
                                <w:szCs w:val="36"/>
                                <w14:shadow w14:blurRad="38036" w14:dist="18745" w14:dir="2700000" w14:sx="100000" w14:sy="100000" w14:kx="0" w14:ky="0" w14:algn="b">
                                  <w14:srgbClr w14:val="000000"/>
                                </w14:shadow>
                              </w:rPr>
                            </w:pPr>
                            <w:r w:rsidRPr="00B01850">
                              <w:rPr>
                                <w:color w:val="000000"/>
                                <w:sz w:val="36"/>
                                <w:szCs w:val="36"/>
                                <w14:shadow w14:blurRad="38036" w14:dist="18745" w14:dir="2700000" w14:sx="100000" w14:sy="100000" w14:kx="0" w14:ky="0" w14:algn="b">
                                  <w14:srgbClr w14:val="000000"/>
                                </w14:shadow>
                              </w:rPr>
                              <w:t>Bénéficiaires</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rect w14:anchorId="194FFF4F" id="Rectangle 1" o:spid="_x0000_s1028" style="position:absolute;left:0;text-align:left;margin-left:223.1pt;margin-top:2.25pt;width:142.5pt;height:6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" fillcolor="#ed7d31" strokecolor="#ae5a21" strokeweight=".35281mm">
                <v:textbox>
                  <w:txbxContent>
                    <w:p w14:paraId="12388691" w14:textId="77777777" w:rsidR="00C14C18" w:rsidRPr="00B01850" w:rsidRDefault="00C14C18" w:rsidP="00C14C18">
                      <w:pPr>
                        <w:tabs>
                          <w:tab w:val="left" w:pos="426"/>
                          <w:tab w:val="left" w:pos="709"/>
                        </w:tabs>
                        <w:jc w:val="center"/>
                        <w:rPr>
                          <w:color w:val="000000"/>
                          <w:sz w:val="36"/>
                          <w:szCs w:val="36"/>
                          <w14:shadow w14:blurRad="38036" w14:dist="18745" w14:dir="2700000" w14:sx="100000" w14:sy="100000" w14:kx="0" w14:ky="0" w14:algn="b">
                            <w14:srgbClr w14:val="000000"/>
                          </w14:shadow>
                        </w:rPr>
                      </w:pPr>
                      <w:r w:rsidRPr="00B01850">
                        <w:rPr>
                          <w:color w:val="000000"/>
                          <w:sz w:val="36"/>
                          <w:szCs w:val="36"/>
                          <w14:shadow w14:blurRad="38036" w14:dist="18745" w14:dir="2700000" w14:sx="100000" w14:sy="100000" w14:kx="0" w14:ky="0" w14:algn="b">
                            <w14:srgbClr w14:val="000000"/>
                          </w14:shadow>
                        </w:rPr>
                        <w:t>Bénéficiaires</w:t>
                      </w:r>
                    </w:p>
                  </w:txbxContent>
                </v:textbox>
              </v:rect>
            </w:pict>
          </mc:Fallback>
        </mc:AlternateContent>
      </w:r>
      <w:r w:rsidRPr="00B01850">
        <w:rPr>
          <w:noProof/>
        </w:rPr>
        <mc:AlternateContent>
          <mc:Choice Requires="wps">
            <w:drawing>
              <wp:anchor distT="0" distB="0" distL="114300" distR="114300" simplePos="0" relativeHeight="251658288" behindDoc="0" locked="0" layoutInCell="1" allowOverlap="1" wp14:anchorId="496ED34B" wp14:editId="3BACBBD6">
                <wp:simplePos x="0" y="0"/>
                <wp:positionH relativeFrom="column">
                  <wp:posOffset>7683500</wp:posOffset>
                </wp:positionH>
                <wp:positionV relativeFrom="paragraph">
                  <wp:posOffset>184150</wp:posOffset>
                </wp:positionV>
                <wp:extent cx="1981200" cy="431800"/>
                <wp:effectExtent l="0" t="0" r="0" b="6350"/>
                <wp:wrapNone/>
                <wp:docPr id="1736651231" name="Zone de texte 113"/>
                <wp:cNvGraphicFramePr/>
                <a:graphic xmlns:a="http://schemas.openxmlformats.org/drawingml/2006/main">
                  <a:graphicData uri="http://schemas.microsoft.com/office/word/2010/wordprocessingShape">
                    <wps:wsp>
                      <wps:cNvSpPr txBox="1"/>
                      <wps:spPr>
                        <a:xfrm>
                          <a:off x="0" y="0"/>
                          <a:ext cx="1981200" cy="431800"/>
                        </a:xfrm>
                        <a:prstGeom prst="rect">
                          <a:avLst/>
                        </a:prstGeom>
                        <a:solidFill>
                          <a:schemeClr val="lt1"/>
                        </a:solidFill>
                        <a:ln w="6350">
                          <a:noFill/>
                        </a:ln>
                      </wps:spPr>
                      <wps:txbx>
                        <w:txbxContent>
                          <w:p w14:paraId="1873DC1B" w14:textId="77777777" w:rsidR="00C14C18" w:rsidRPr="00B01850" w:rsidRDefault="00C14C18" w:rsidP="00C14C18">
                            <w:pPr>
                              <w:rPr>
                                <w:sz w:val="20"/>
                                <w:szCs w:val="20"/>
                              </w:rPr>
                            </w:pPr>
                            <w:r w:rsidRPr="00B01850">
                              <w:rPr>
                                <w:sz w:val="20"/>
                                <w:szCs w:val="20"/>
                              </w:rPr>
                              <w:t>Transmission de la réclamation au niveau communal : 1 jour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6ED34B" id="Zone de texte 113" o:spid="_x0000_s1029" type="#_x0000_t202" style="position:absolute;left:0;text-align:left;margin-left:605pt;margin-top:14.5pt;width:156pt;height:34pt;z-index:25165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" fillcolor="white [3201]" stroked="f" strokeweight=".5pt">
                <v:textbox>
                  <w:txbxContent>
                    <w:p w14:paraId="1873DC1B" w14:textId="77777777" w:rsidR="00C14C18" w:rsidRPr="00B01850" w:rsidRDefault="00C14C18" w:rsidP="00C14C18">
                      <w:pPr>
                        <w:rPr>
                          <w:sz w:val="20"/>
                          <w:szCs w:val="20"/>
                        </w:rPr>
                      </w:pPr>
                      <w:r w:rsidRPr="00B01850">
                        <w:rPr>
                          <w:sz w:val="20"/>
                          <w:szCs w:val="20"/>
                        </w:rPr>
                        <w:t>Transmission de la réclamation au niveau communal : 1 jour</w:t>
                      </w:r>
                    </w:p>
                  </w:txbxContent>
                </v:textbox>
              </v:shape>
            </w:pict>
          </mc:Fallback>
        </mc:AlternateContent>
      </w:r>
      <w:r w:rsidRPr="00B01850">
        <w:rPr>
          <w:noProof/>
          <w14:ligatures w14:val="standardContextual"/>
        </w:rPr>
        <mc:AlternateContent>
          <mc:Choice Requires="wps">
            <w:drawing>
              <wp:anchor distT="0" distB="0" distL="114300" distR="114300" simplePos="0" relativeHeight="251658268" behindDoc="0" locked="0" layoutInCell="1" allowOverlap="1" wp14:anchorId="6CAEE78B" wp14:editId="0CF5A16E">
                <wp:simplePos x="0" y="0"/>
                <wp:positionH relativeFrom="column">
                  <wp:posOffset>2123440</wp:posOffset>
                </wp:positionH>
                <wp:positionV relativeFrom="paragraph">
                  <wp:posOffset>13970</wp:posOffset>
                </wp:positionV>
                <wp:extent cx="140335" cy="1442720"/>
                <wp:effectExtent l="0" t="308292" r="0" b="313373"/>
                <wp:wrapNone/>
                <wp:docPr id="1701805284" name="Flèche : bas 9"/>
                <wp:cNvGraphicFramePr/>
                <a:graphic xmlns:a="http://schemas.openxmlformats.org/drawingml/2006/main">
                  <a:graphicData uri="http://schemas.microsoft.com/office/word/2010/wordprocessingShape">
                    <wps:wsp>
                      <wps:cNvSpPr/>
                      <wps:spPr>
                        <a:xfrm rot="3764417">
                          <a:off x="0" y="0"/>
                          <a:ext cx="140335" cy="1442720"/>
                        </a:xfrm>
                        <a:prstGeom prst="downArrow">
                          <a:avLst/>
                        </a:prstGeom>
                        <a:solidFill>
                          <a:schemeClr val="accent6"/>
                        </a:solid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1B78F4" id="Flèche : bas 9" o:spid="_x0000_s1026" type="#_x0000_t67" style="position:absolute;margin-left:167.2pt;margin-top:1.1pt;width:11.05pt;height:113.6pt;rotation:4111747fd;z-index:2516899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" adj="20549" fillcolor="#f79646 [3209]" strokecolor="#f79646 [3209]" strokeweight="2pt"/>
            </w:pict>
          </mc:Fallback>
        </mc:AlternateContent>
      </w:r>
      <w:r w:rsidRPr="00B01850">
        <w:rPr>
          <w:noProof/>
          <w14:ligatures w14:val="standardContextual"/>
        </w:rPr>
        <mc:AlternateContent>
          <mc:Choice Requires="wps">
            <w:drawing>
              <wp:anchor distT="0" distB="0" distL="114300" distR="114300" simplePos="0" relativeHeight="251658265" behindDoc="0" locked="0" layoutInCell="1" allowOverlap="1" wp14:anchorId="463EBC06" wp14:editId="6FBFFB75">
                <wp:simplePos x="0" y="0"/>
                <wp:positionH relativeFrom="column">
                  <wp:posOffset>5350162</wp:posOffset>
                </wp:positionH>
                <wp:positionV relativeFrom="paragraph">
                  <wp:posOffset>135891</wp:posOffset>
                </wp:positionV>
                <wp:extent cx="134195" cy="1577168"/>
                <wp:effectExtent l="0" t="207010" r="1905" b="192405"/>
                <wp:wrapNone/>
                <wp:docPr id="352034607" name="Flèche : haut 6"/>
                <wp:cNvGraphicFramePr/>
                <a:graphic xmlns:a="http://schemas.openxmlformats.org/drawingml/2006/main">
                  <a:graphicData uri="http://schemas.microsoft.com/office/word/2010/wordprocessingShape">
                    <wps:wsp>
                      <wps:cNvSpPr/>
                      <wps:spPr>
                        <a:xfrm rot="17075285" flipH="1">
                          <a:off x="0" y="0"/>
                          <a:ext cx="134195" cy="1577168"/>
                        </a:xfrm>
                        <a:prstGeom prst="upArrow">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D37F8" id="Flèche : haut 6" o:spid="_x0000_s1026" type="#_x0000_t68" style="position:absolute;margin-left:421.25pt;margin-top:10.7pt;width:10.55pt;height:124.2pt;rotation:4942195fd;flip:x;z-index:2516869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" adj="919" fillcolor="black [3213]" strokecolor="#0a121c [484]" strokeweight="2pt"/>
            </w:pict>
          </mc:Fallback>
        </mc:AlternateContent>
      </w:r>
      <w:r w:rsidRPr="00B01850">
        <w:rPr>
          <w:noProof/>
        </w:rPr>
        <mc:AlternateContent>
          <mc:Choice Requires="wps">
            <w:drawing>
              <wp:anchor distT="0" distB="0" distL="114300" distR="114300" simplePos="0" relativeHeight="251658252" behindDoc="0" locked="0" layoutInCell="1" allowOverlap="1" wp14:anchorId="331EAA12" wp14:editId="3A6F440A">
                <wp:simplePos x="0" y="0"/>
                <wp:positionH relativeFrom="column">
                  <wp:posOffset>6238875</wp:posOffset>
                </wp:positionH>
                <wp:positionV relativeFrom="paragraph">
                  <wp:posOffset>127000</wp:posOffset>
                </wp:positionV>
                <wp:extent cx="1390015" cy="571500"/>
                <wp:effectExtent l="19050" t="19050" r="19685" b="19050"/>
                <wp:wrapNone/>
                <wp:docPr id="143949975" name="Rectangle 3"/>
                <wp:cNvGraphicFramePr/>
                <a:graphic xmlns:a="http://schemas.openxmlformats.org/drawingml/2006/main">
                  <a:graphicData uri="http://schemas.microsoft.com/office/word/2010/wordprocessingShape">
                    <wps:wsp>
                      <wps:cNvSpPr/>
                      <wps:spPr>
                        <a:xfrm>
                          <a:off x="0" y="0"/>
                          <a:ext cx="1390015" cy="571500"/>
                        </a:xfrm>
                        <a:prstGeom prst="rect">
                          <a:avLst/>
                        </a:prstGeom>
                        <a:solidFill>
                          <a:srgbClr val="FFFFFF"/>
                        </a:solidFill>
                        <a:ln w="38103" cap="flat">
                          <a:solidFill>
                            <a:srgbClr val="4472C4"/>
                          </a:solidFill>
                          <a:prstDash val="solid"/>
                          <a:miter/>
                        </a:ln>
                      </wps:spPr>
                      <wps:txbx>
                        <w:txbxContent>
                          <w:p w14:paraId="506E98B6" w14:textId="77777777" w:rsidR="00C14C18" w:rsidRPr="00B01850" w:rsidRDefault="00C14C18" w:rsidP="00C14C18">
                            <w:r w:rsidRPr="00B01850">
                              <w:rPr>
                                <w:b/>
                                <w:bCs/>
                                <w:sz w:val="20"/>
                                <w:szCs w:val="20"/>
                                <w:u w:val="single"/>
                              </w:rPr>
                              <w:t>District/Quartier</w:t>
                            </w:r>
                          </w:p>
                          <w:p w14:paraId="3DE565F8" w14:textId="77777777" w:rsidR="00C14C18" w:rsidRPr="00B01850" w:rsidRDefault="00C14C18" w:rsidP="00C14C18">
                            <w:pPr>
                              <w:rPr>
                                <w:sz w:val="20"/>
                                <w:szCs w:val="20"/>
                              </w:rPr>
                            </w:pPr>
                            <w:r w:rsidRPr="00B01850">
                              <w:rPr>
                                <w:sz w:val="20"/>
                                <w:szCs w:val="20"/>
                              </w:rPr>
                              <w:t>Relais communautaire</w:t>
                            </w:r>
                          </w:p>
                          <w:p w14:paraId="2485AB7E" w14:textId="77777777" w:rsidR="00C14C18" w:rsidRPr="00B01850" w:rsidRDefault="00C14C18" w:rsidP="00C14C18"/>
                        </w:txbxContent>
                      </wps:txbx>
                      <wps:bodyPr vert="horz" wrap="square" lIns="91440" tIns="45720" rIns="91440" bIns="45720" anchor="ctr" anchorCtr="0" compatLnSpc="1">
                        <a:noAutofit/>
                      </wps:bodyPr>
                    </wps:wsp>
                  </a:graphicData>
                </a:graphic>
              </wp:anchor>
            </w:drawing>
          </mc:Choice>
          <mc:Fallback>
            <w:pict>
              <v:rect w14:anchorId="331EAA12" id="Rectangle 3" o:spid="_x0000_s1030" style="position:absolute;left:0;text-align:left;margin-left:491.25pt;margin-top:10pt;width:109.45pt;height:45pt;z-index:2516582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" strokecolor="#4472c4" strokeweight="1.0584mm">
                <v:textbox>
                  <w:txbxContent>
                    <w:p w14:paraId="506E98B6" w14:textId="77777777" w:rsidR="00C14C18" w:rsidRPr="00B01850" w:rsidRDefault="00C14C18" w:rsidP="00C14C18">
                      <w:r w:rsidRPr="00B01850">
                        <w:rPr>
                          <w:b/>
                          <w:bCs/>
                          <w:sz w:val="20"/>
                          <w:szCs w:val="20"/>
                          <w:u w:val="single"/>
                        </w:rPr>
                        <w:t>District/Quartier</w:t>
                      </w:r>
                    </w:p>
                    <w:p w14:paraId="3DE565F8" w14:textId="77777777" w:rsidR="00C14C18" w:rsidRPr="00B01850" w:rsidRDefault="00C14C18" w:rsidP="00C14C18">
                      <w:pPr>
                        <w:rPr>
                          <w:sz w:val="20"/>
                          <w:szCs w:val="20"/>
                        </w:rPr>
                      </w:pPr>
                      <w:r w:rsidRPr="00B01850">
                        <w:rPr>
                          <w:sz w:val="20"/>
                          <w:szCs w:val="20"/>
                        </w:rPr>
                        <w:t>Relais communautaire</w:t>
                      </w:r>
                    </w:p>
                    <w:p w14:paraId="2485AB7E" w14:textId="77777777" w:rsidR="00C14C18" w:rsidRPr="00B01850" w:rsidRDefault="00C14C18" w:rsidP="00C14C18"/>
                  </w:txbxContent>
                </v:textbox>
              </v:rect>
            </w:pict>
          </mc:Fallback>
        </mc:AlternateContent>
      </w:r>
    </w:p>
    <w:p w14:paraId="0A73EFA3" w14:textId="77777777" w:rsidR="00C14C18" w:rsidRPr="00B01850" w:rsidRDefault="00C14C18" w:rsidP="00C14C18">
      <w:pPr>
        <w:spacing w:before="240" w:after="240"/>
        <w:jc w:val="both"/>
        <w:rPr>
          <w:rFonts w:ascii="Times New Roman" w:hAnsi="Times New Roman" w:cs="Times New Roman"/>
        </w:rPr>
        <w:sectPr w:rsidR="00C14C18" w:rsidRPr="00B01850" w:rsidSect="00C14C18">
          <w:footnotePr>
            <w:numRestart w:val="eachPage"/>
          </w:footnotePr>
          <w:pgSz w:w="16838" w:h="11906" w:orient="landscape"/>
          <w:pgMar w:top="1304" w:right="1418" w:bottom="1304" w:left="1418" w:header="720" w:footer="720" w:gutter="0"/>
          <w:pgNumType w:start="19"/>
          <w:cols w:space="720"/>
          <w:titlePg/>
          <w:docGrid w:linePitch="326"/>
        </w:sectPr>
      </w:pPr>
      <w:r w:rsidRPr="00B01850">
        <w:rPr>
          <w:noProof/>
        </w:rPr>
        <mc:AlternateContent>
          <mc:Choice Requires="wps">
            <w:drawing>
              <wp:anchor distT="0" distB="0" distL="114300" distR="114300" simplePos="0" relativeHeight="251658260" behindDoc="0" locked="0" layoutInCell="1" allowOverlap="1" wp14:anchorId="599202C1" wp14:editId="51809F1F">
                <wp:simplePos x="0" y="0"/>
                <wp:positionH relativeFrom="column">
                  <wp:posOffset>3032760</wp:posOffset>
                </wp:positionH>
                <wp:positionV relativeFrom="paragraph">
                  <wp:posOffset>2740660</wp:posOffset>
                </wp:positionV>
                <wp:extent cx="414020" cy="195380"/>
                <wp:effectExtent l="19050" t="19050" r="62230" b="52705"/>
                <wp:wrapNone/>
                <wp:docPr id="1239731905" name="Connecteur droit avec flèche 20"/>
                <wp:cNvGraphicFramePr/>
                <a:graphic xmlns:a="http://schemas.openxmlformats.org/drawingml/2006/main">
                  <a:graphicData uri="http://schemas.microsoft.com/office/word/2010/wordprocessingShape">
                    <wps:wsp>
                      <wps:cNvCnPr/>
                      <wps:spPr>
                        <a:xfrm>
                          <a:off x="0" y="0"/>
                          <a:ext cx="414020" cy="195380"/>
                        </a:xfrm>
                        <a:prstGeom prst="straightConnector1">
                          <a:avLst/>
                        </a:prstGeom>
                        <a:noFill/>
                        <a:ln w="38100" cap="flat">
                          <a:solidFill>
                            <a:srgbClr val="70AD47"/>
                          </a:solidFill>
                          <a:prstDash val="solid"/>
                          <a:miter/>
                          <a:tailEnd type="arrow"/>
                        </a:ln>
                      </wps:spPr>
                      <wps:bodyPr/>
                    </wps:wsp>
                  </a:graphicData>
                </a:graphic>
                <wp14:sizeRelH relativeFrom="margin">
                  <wp14:pctWidth>0</wp14:pctWidth>
                </wp14:sizeRelH>
                <wp14:sizeRelV relativeFrom="margin">
                  <wp14:pctHeight>0</wp14:pctHeight>
                </wp14:sizeRelV>
              </wp:anchor>
            </w:drawing>
          </mc:Choice>
          <mc:Fallback>
            <w:pict>
              <v:shapetype w14:anchorId="657A94C7" id="_x0000_t32" coordsize="21600,21600" o:spt="32" o:oned="t" path="m,l21600,21600e" filled="f">
                <v:path arrowok="t" fillok="f" o:connecttype="none"/>
                <o:lock v:ext="edit" shapetype="t"/>
              </v:shapetype>
              <v:shape id="Connecteur droit avec flèche 20" o:spid="_x0000_s1026" type="#_x0000_t32" style="position:absolute;margin-left:238.8pt;margin-top:215.8pt;width:32.6pt;height:15.4pt;z-index:2516818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" strokecolor="#70ad47" strokeweight="3pt">
                <v:stroke endarrow="open" joinstyle="miter"/>
              </v:shape>
            </w:pict>
          </mc:Fallback>
        </mc:AlternateContent>
      </w:r>
      <w:r w:rsidRPr="00B01850">
        <w:rPr>
          <w:noProof/>
          <w14:ligatures w14:val="standardContextual"/>
        </w:rPr>
        <mc:AlternateContent>
          <mc:Choice Requires="wps">
            <w:drawing>
              <wp:anchor distT="0" distB="0" distL="114300" distR="114300" simplePos="0" relativeHeight="251658274" behindDoc="0" locked="0" layoutInCell="1" allowOverlap="1" wp14:anchorId="4E654F83" wp14:editId="1FA839F8">
                <wp:simplePos x="0" y="0"/>
                <wp:positionH relativeFrom="margin">
                  <wp:posOffset>1627033</wp:posOffset>
                </wp:positionH>
                <wp:positionV relativeFrom="paragraph">
                  <wp:posOffset>1828165</wp:posOffset>
                </wp:positionV>
                <wp:extent cx="83862" cy="1327785"/>
                <wp:effectExtent l="438150" t="0" r="411480" b="0"/>
                <wp:wrapNone/>
                <wp:docPr id="1536822024" name="Flèche : bas 9"/>
                <wp:cNvGraphicFramePr/>
                <a:graphic xmlns:a="http://schemas.openxmlformats.org/drawingml/2006/main">
                  <a:graphicData uri="http://schemas.microsoft.com/office/word/2010/wordprocessingShape">
                    <wps:wsp>
                      <wps:cNvSpPr/>
                      <wps:spPr>
                        <a:xfrm rot="19158295" flipH="1">
                          <a:off x="0" y="0"/>
                          <a:ext cx="83862" cy="1327785"/>
                        </a:xfrm>
                        <a:prstGeom prst="downArrow">
                          <a:avLst/>
                        </a:prstGeom>
                        <a:solidFill>
                          <a:schemeClr val="accent6"/>
                        </a:solid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68931" id="Flèche : bas 9" o:spid="_x0000_s1026" type="#_x0000_t67" style="position:absolute;margin-left:128.1pt;margin-top:143.95pt;width:6.6pt;height:104.55pt;rotation:2666993fd;flip:x;z-index:2516961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" adj="20918" fillcolor="#f79646 [3209]" strokecolor="#f79646 [3209]" strokeweight="2pt">
                <w10:wrap anchorx="margin"/>
              </v:shape>
            </w:pict>
          </mc:Fallback>
        </mc:AlternateContent>
      </w:r>
      <w:r w:rsidRPr="00B01850">
        <w:rPr>
          <w:noProof/>
          <w14:ligatures w14:val="standardContextual"/>
        </w:rPr>
        <mc:AlternateContent>
          <mc:Choice Requires="wps">
            <w:drawing>
              <wp:anchor distT="0" distB="0" distL="114300" distR="114300" simplePos="0" relativeHeight="251658284" behindDoc="0" locked="0" layoutInCell="1" allowOverlap="1" wp14:anchorId="13C4AFB8" wp14:editId="7B95EA66">
                <wp:simplePos x="0" y="0"/>
                <wp:positionH relativeFrom="margin">
                  <wp:posOffset>2893800</wp:posOffset>
                </wp:positionH>
                <wp:positionV relativeFrom="paragraph">
                  <wp:posOffset>473710</wp:posOffset>
                </wp:positionV>
                <wp:extent cx="1720850" cy="419100"/>
                <wp:effectExtent l="0" t="0" r="0" b="0"/>
                <wp:wrapNone/>
                <wp:docPr id="1067022839" name="Zone de texte 22"/>
                <wp:cNvGraphicFramePr/>
                <a:graphic xmlns:a="http://schemas.openxmlformats.org/drawingml/2006/main">
                  <a:graphicData uri="http://schemas.microsoft.com/office/word/2010/wordprocessingShape">
                    <wps:wsp>
                      <wps:cNvSpPr txBox="1"/>
                      <wps:spPr>
                        <a:xfrm>
                          <a:off x="0" y="0"/>
                          <a:ext cx="1720850" cy="419100"/>
                        </a:xfrm>
                        <a:prstGeom prst="rect">
                          <a:avLst/>
                        </a:prstGeom>
                        <a:solidFill>
                          <a:schemeClr val="lt1"/>
                        </a:solidFill>
                        <a:ln w="6350">
                          <a:noFill/>
                        </a:ln>
                      </wps:spPr>
                      <wps:txbx>
                        <w:txbxContent>
                          <w:p w14:paraId="1C0CF14E" w14:textId="77777777" w:rsidR="00C14C18" w:rsidRPr="00B01850" w:rsidRDefault="00C14C18" w:rsidP="00C14C18">
                            <w:pPr>
                              <w:rPr>
                                <w:sz w:val="20"/>
                                <w:szCs w:val="20"/>
                              </w:rPr>
                            </w:pPr>
                            <w:r w:rsidRPr="00B01850">
                              <w:rPr>
                                <w:sz w:val="20"/>
                                <w:szCs w:val="20"/>
                              </w:rPr>
                              <w:t>Dépôt des réclamation et appui pour</w:t>
                            </w:r>
                            <w:r w:rsidRPr="00B01850">
                              <w:t xml:space="preserve"> </w:t>
                            </w:r>
                            <w:r w:rsidRPr="00B01850">
                              <w:rPr>
                                <w:sz w:val="20"/>
                                <w:szCs w:val="20"/>
                              </w:rPr>
                              <w:t xml:space="preserve">leur traitement </w:t>
                            </w:r>
                          </w:p>
                          <w:p w14:paraId="379202B8" w14:textId="77777777" w:rsidR="00C14C18" w:rsidRPr="00B01850" w:rsidRDefault="00C14C18" w:rsidP="00C14C1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4AFB8" id="Zone de texte 22" o:spid="_x0000_s1031" type="#_x0000_t202" style="position:absolute;left:0;text-align:left;margin-left:227.85pt;margin-top:37.3pt;width:135.5pt;height:33pt;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" fillcolor="white [3201]" stroked="f" strokeweight=".5pt">
                <v:textbox>
                  <w:txbxContent>
                    <w:p w14:paraId="1C0CF14E" w14:textId="77777777" w:rsidR="00C14C18" w:rsidRPr="00B01850" w:rsidRDefault="00C14C18" w:rsidP="00C14C18">
                      <w:pPr>
                        <w:rPr>
                          <w:sz w:val="20"/>
                          <w:szCs w:val="20"/>
                        </w:rPr>
                      </w:pPr>
                      <w:r w:rsidRPr="00B01850">
                        <w:rPr>
                          <w:sz w:val="20"/>
                          <w:szCs w:val="20"/>
                        </w:rPr>
                        <w:t>Dépôt des réclamation et appui pour</w:t>
                      </w:r>
                      <w:r w:rsidRPr="00B01850">
                        <w:t xml:space="preserve"> </w:t>
                      </w:r>
                      <w:r w:rsidRPr="00B01850">
                        <w:rPr>
                          <w:sz w:val="20"/>
                          <w:szCs w:val="20"/>
                        </w:rPr>
                        <w:t xml:space="preserve">leur traitement </w:t>
                      </w:r>
                    </w:p>
                    <w:p w14:paraId="379202B8" w14:textId="77777777" w:rsidR="00C14C18" w:rsidRPr="00B01850" w:rsidRDefault="00C14C18" w:rsidP="00C14C18"/>
                  </w:txbxContent>
                </v:textbox>
                <w10:wrap anchorx="margin"/>
              </v:shape>
            </w:pict>
          </mc:Fallback>
        </mc:AlternateContent>
      </w:r>
      <w:r w:rsidRPr="00B01850">
        <w:rPr>
          <w:noProof/>
        </w:rPr>
        <mc:AlternateContent>
          <mc:Choice Requires="wps">
            <w:drawing>
              <wp:anchor distT="0" distB="0" distL="114300" distR="114300" simplePos="0" relativeHeight="251658291" behindDoc="0" locked="0" layoutInCell="1" allowOverlap="1" wp14:anchorId="414E52FA" wp14:editId="74D2077A">
                <wp:simplePos x="0" y="0"/>
                <wp:positionH relativeFrom="column">
                  <wp:posOffset>8091170</wp:posOffset>
                </wp:positionH>
                <wp:positionV relativeFrom="paragraph">
                  <wp:posOffset>3511550</wp:posOffset>
                </wp:positionV>
                <wp:extent cx="1549400" cy="514350"/>
                <wp:effectExtent l="0" t="0" r="0" b="0"/>
                <wp:wrapNone/>
                <wp:docPr id="1938289789" name="Zone de texte 113"/>
                <wp:cNvGraphicFramePr/>
                <a:graphic xmlns:a="http://schemas.openxmlformats.org/drawingml/2006/main">
                  <a:graphicData uri="http://schemas.microsoft.com/office/word/2010/wordprocessingShape">
                    <wps:wsp>
                      <wps:cNvSpPr txBox="1"/>
                      <wps:spPr>
                        <a:xfrm>
                          <a:off x="0" y="0"/>
                          <a:ext cx="1549400" cy="514350"/>
                        </a:xfrm>
                        <a:prstGeom prst="rect">
                          <a:avLst/>
                        </a:prstGeom>
                        <a:solidFill>
                          <a:schemeClr val="lt1"/>
                        </a:solidFill>
                        <a:ln w="6350">
                          <a:noFill/>
                        </a:ln>
                      </wps:spPr>
                      <wps:txbx>
                        <w:txbxContent>
                          <w:p w14:paraId="65210C0E" w14:textId="77777777" w:rsidR="00C14C18" w:rsidRPr="00B01850" w:rsidRDefault="00C14C18" w:rsidP="00C14C18">
                            <w:pPr>
                              <w:rPr>
                                <w:sz w:val="20"/>
                                <w:szCs w:val="20"/>
                              </w:rPr>
                            </w:pPr>
                            <w:r w:rsidRPr="00B01850">
                              <w:rPr>
                                <w:sz w:val="20"/>
                                <w:szCs w:val="20"/>
                              </w:rPr>
                              <w:t xml:space="preserve">Durée de traitement de la réclamation : 14 jours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4E52FA" id="_x0000_s1032" type="#_x0000_t202" style="position:absolute;left:0;text-align:left;margin-left:637.1pt;margin-top:276.5pt;width:122pt;height:40.5pt;z-index:2516582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" fillcolor="white [3201]" stroked="f" strokeweight=".5pt">
                <v:textbox>
                  <w:txbxContent>
                    <w:p w14:paraId="65210C0E" w14:textId="77777777" w:rsidR="00C14C18" w:rsidRPr="00B01850" w:rsidRDefault="00C14C18" w:rsidP="00C14C18">
                      <w:pPr>
                        <w:rPr>
                          <w:sz w:val="20"/>
                          <w:szCs w:val="20"/>
                        </w:rPr>
                      </w:pPr>
                      <w:r w:rsidRPr="00B01850">
                        <w:rPr>
                          <w:sz w:val="20"/>
                          <w:szCs w:val="20"/>
                        </w:rPr>
                        <w:t xml:space="preserve">Durée de traitement de la réclamation : 14 jours </w:t>
                      </w:r>
                    </w:p>
                  </w:txbxContent>
                </v:textbox>
              </v:shape>
            </w:pict>
          </mc:Fallback>
        </mc:AlternateContent>
      </w:r>
      <w:r w:rsidRPr="00B01850">
        <w:rPr>
          <w:noProof/>
        </w:rPr>
        <mc:AlternateContent>
          <mc:Choice Requires="wps">
            <w:drawing>
              <wp:anchor distT="0" distB="0" distL="114300" distR="114300" simplePos="0" relativeHeight="251658289" behindDoc="0" locked="0" layoutInCell="1" allowOverlap="1" wp14:anchorId="3875B82D" wp14:editId="17275CB5">
                <wp:simplePos x="0" y="0"/>
                <wp:positionH relativeFrom="column">
                  <wp:posOffset>7875270</wp:posOffset>
                </wp:positionH>
                <wp:positionV relativeFrom="paragraph">
                  <wp:posOffset>660400</wp:posOffset>
                </wp:positionV>
                <wp:extent cx="1739900" cy="501650"/>
                <wp:effectExtent l="0" t="0" r="0" b="0"/>
                <wp:wrapNone/>
                <wp:docPr id="859288867" name="Zone de texte 113"/>
                <wp:cNvGraphicFramePr/>
                <a:graphic xmlns:a="http://schemas.openxmlformats.org/drawingml/2006/main">
                  <a:graphicData uri="http://schemas.microsoft.com/office/word/2010/wordprocessingShape">
                    <wps:wsp>
                      <wps:cNvSpPr txBox="1"/>
                      <wps:spPr>
                        <a:xfrm>
                          <a:off x="0" y="0"/>
                          <a:ext cx="1739900" cy="501650"/>
                        </a:xfrm>
                        <a:prstGeom prst="rect">
                          <a:avLst/>
                        </a:prstGeom>
                        <a:solidFill>
                          <a:schemeClr val="lt1"/>
                        </a:solidFill>
                        <a:ln w="6350">
                          <a:noFill/>
                        </a:ln>
                      </wps:spPr>
                      <wps:txbx>
                        <w:txbxContent>
                          <w:p w14:paraId="6886A9B3" w14:textId="77777777" w:rsidR="00C14C18" w:rsidRPr="00B01850" w:rsidRDefault="00C14C18" w:rsidP="00C14C18">
                            <w:pPr>
                              <w:rPr>
                                <w:sz w:val="20"/>
                                <w:szCs w:val="20"/>
                              </w:rPr>
                            </w:pPr>
                            <w:r w:rsidRPr="00B01850">
                              <w:rPr>
                                <w:sz w:val="20"/>
                                <w:szCs w:val="20"/>
                              </w:rPr>
                              <w:t>Investigation et traitement de la réclamation : 14 jours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75B82D" id="_x0000_s1033" type="#_x0000_t202" style="position:absolute;left:0;text-align:left;margin-left:620.1pt;margin-top:52pt;width:137pt;height:39.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" fillcolor="white [3201]" stroked="f" strokeweight=".5pt">
                <v:textbox>
                  <w:txbxContent>
                    <w:p w14:paraId="6886A9B3" w14:textId="77777777" w:rsidR="00C14C18" w:rsidRPr="00B01850" w:rsidRDefault="00C14C18" w:rsidP="00C14C18">
                      <w:pPr>
                        <w:rPr>
                          <w:sz w:val="20"/>
                          <w:szCs w:val="20"/>
                        </w:rPr>
                      </w:pPr>
                      <w:r w:rsidRPr="00B01850">
                        <w:rPr>
                          <w:sz w:val="20"/>
                          <w:szCs w:val="20"/>
                        </w:rPr>
                        <w:t>Investigation et traitement de la réclamation : 14 jours</w:t>
                      </w:r>
                    </w:p>
                  </w:txbxContent>
                </v:textbox>
              </v:shape>
            </w:pict>
          </mc:Fallback>
        </mc:AlternateContent>
      </w:r>
      <w:r w:rsidRPr="00B01850">
        <w:rPr>
          <w:noProof/>
        </w:rPr>
        <mc:AlternateContent>
          <mc:Choice Requires="wps">
            <w:drawing>
              <wp:anchor distT="0" distB="0" distL="114300" distR="114300" simplePos="0" relativeHeight="251658290" behindDoc="0" locked="0" layoutInCell="1" allowOverlap="1" wp14:anchorId="5C1C54BC" wp14:editId="45EB86FD">
                <wp:simplePos x="0" y="0"/>
                <wp:positionH relativeFrom="page">
                  <wp:posOffset>8826500</wp:posOffset>
                </wp:positionH>
                <wp:positionV relativeFrom="paragraph">
                  <wp:posOffset>1695450</wp:posOffset>
                </wp:positionV>
                <wp:extent cx="1701800" cy="412750"/>
                <wp:effectExtent l="0" t="0" r="0" b="6350"/>
                <wp:wrapNone/>
                <wp:docPr id="825442409" name="Zone de texte 113"/>
                <wp:cNvGraphicFramePr/>
                <a:graphic xmlns:a="http://schemas.openxmlformats.org/drawingml/2006/main">
                  <a:graphicData uri="http://schemas.microsoft.com/office/word/2010/wordprocessingShape">
                    <wps:wsp>
                      <wps:cNvSpPr txBox="1"/>
                      <wps:spPr>
                        <a:xfrm>
                          <a:off x="0" y="0"/>
                          <a:ext cx="1701800" cy="412750"/>
                        </a:xfrm>
                        <a:prstGeom prst="rect">
                          <a:avLst/>
                        </a:prstGeom>
                        <a:solidFill>
                          <a:schemeClr val="lt1"/>
                        </a:solidFill>
                        <a:ln w="6350">
                          <a:noFill/>
                        </a:ln>
                      </wps:spPr>
                      <wps:txbx>
                        <w:txbxContent>
                          <w:p w14:paraId="712BF178" w14:textId="77777777" w:rsidR="00C14C18" w:rsidRPr="00B01850" w:rsidRDefault="00C14C18" w:rsidP="00C14C18">
                            <w:pPr>
                              <w:rPr>
                                <w:sz w:val="20"/>
                                <w:szCs w:val="20"/>
                              </w:rPr>
                            </w:pPr>
                            <w:r w:rsidRPr="00B01850">
                              <w:rPr>
                                <w:sz w:val="20"/>
                                <w:szCs w:val="20"/>
                              </w:rPr>
                              <w:t xml:space="preserve">Investigation et traitement de la réclamation : 14 jours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1C54BC" id="_x0000_s1034" type="#_x0000_t202" style="position:absolute;left:0;text-align:left;margin-left:695pt;margin-top:133.5pt;width:134pt;height:32.5pt;z-index:25165829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" fillcolor="white [3201]" stroked="f" strokeweight=".5pt">
                <v:textbox>
                  <w:txbxContent>
                    <w:p w14:paraId="712BF178" w14:textId="77777777" w:rsidR="00C14C18" w:rsidRPr="00B01850" w:rsidRDefault="00C14C18" w:rsidP="00C14C18">
                      <w:pPr>
                        <w:rPr>
                          <w:sz w:val="20"/>
                          <w:szCs w:val="20"/>
                        </w:rPr>
                      </w:pPr>
                      <w:r w:rsidRPr="00B01850">
                        <w:rPr>
                          <w:sz w:val="20"/>
                          <w:szCs w:val="20"/>
                        </w:rPr>
                        <w:t xml:space="preserve">Investigation et traitement de la réclamation : 14 jours </w:t>
                      </w:r>
                    </w:p>
                  </w:txbxContent>
                </v:textbox>
                <w10:wrap anchorx="page"/>
              </v:shape>
            </w:pict>
          </mc:Fallback>
        </mc:AlternateContent>
      </w:r>
      <w:r w:rsidRPr="00B01850">
        <w:rPr>
          <w:noProof/>
          <w14:ligatures w14:val="standardContextual"/>
        </w:rPr>
        <mc:AlternateContent>
          <mc:Choice Requires="wps">
            <w:drawing>
              <wp:anchor distT="0" distB="0" distL="114300" distR="114300" simplePos="0" relativeHeight="251658292" behindDoc="0" locked="0" layoutInCell="1" allowOverlap="1" wp14:anchorId="77A677D1" wp14:editId="484F79F2">
                <wp:simplePos x="0" y="0"/>
                <wp:positionH relativeFrom="rightMargin">
                  <wp:posOffset>-4070350</wp:posOffset>
                </wp:positionH>
                <wp:positionV relativeFrom="paragraph">
                  <wp:posOffset>3873500</wp:posOffset>
                </wp:positionV>
                <wp:extent cx="1638300" cy="31750"/>
                <wp:effectExtent l="0" t="95250" r="57150" b="101600"/>
                <wp:wrapNone/>
                <wp:docPr id="1257130680" name="Connecteur droit 14"/>
                <wp:cNvGraphicFramePr/>
                <a:graphic xmlns:a="http://schemas.openxmlformats.org/drawingml/2006/main">
                  <a:graphicData uri="http://schemas.microsoft.com/office/word/2010/wordprocessingShape">
                    <wps:wsp>
                      <wps:cNvCnPr/>
                      <wps:spPr>
                        <a:xfrm>
                          <a:off x="0" y="0"/>
                          <a:ext cx="1638300" cy="31750"/>
                        </a:xfrm>
                        <a:prstGeom prst="line">
                          <a:avLst/>
                        </a:prstGeom>
                        <a:ln w="38100">
                          <a:solidFill>
                            <a:schemeClr val="accent2"/>
                          </a:solidFill>
                          <a:prstDash val="sysDot"/>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87AE06" id="Connecteur droit 14" o:spid="_x0000_s1026" style="position:absolute;z-index:25171457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320.5pt,305pt" to="-191.5pt,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" strokecolor="#c0504d [3205]" strokeweight="3pt">
                <v:stroke dashstyle="1 1" startarrow="block" endarrow="block"/>
                <w10:wrap anchorx="margin"/>
              </v:line>
            </w:pict>
          </mc:Fallback>
        </mc:AlternateContent>
      </w:r>
      <w:r w:rsidRPr="00B01850">
        <w:rPr>
          <w:noProof/>
        </w:rPr>
        <mc:AlternateContent>
          <mc:Choice Requires="wps">
            <w:drawing>
              <wp:anchor distT="0" distB="0" distL="114300" distR="114300" simplePos="0" relativeHeight="251658256" behindDoc="0" locked="0" layoutInCell="1" allowOverlap="1" wp14:anchorId="2C061DD8" wp14:editId="01B3B4A6">
                <wp:simplePos x="0" y="0"/>
                <wp:positionH relativeFrom="column">
                  <wp:posOffset>6427470</wp:posOffset>
                </wp:positionH>
                <wp:positionV relativeFrom="paragraph">
                  <wp:posOffset>1478915</wp:posOffset>
                </wp:positionV>
                <wp:extent cx="1416050" cy="914400"/>
                <wp:effectExtent l="19050" t="19050" r="12700" b="19050"/>
                <wp:wrapNone/>
                <wp:docPr id="720855609" name="Rectangle 6"/>
                <wp:cNvGraphicFramePr/>
                <a:graphic xmlns:a="http://schemas.openxmlformats.org/drawingml/2006/main">
                  <a:graphicData uri="http://schemas.microsoft.com/office/word/2010/wordprocessingShape">
                    <wps:wsp>
                      <wps:cNvSpPr/>
                      <wps:spPr>
                        <a:xfrm>
                          <a:off x="0" y="0"/>
                          <a:ext cx="1416050" cy="914400"/>
                        </a:xfrm>
                        <a:prstGeom prst="rect">
                          <a:avLst/>
                        </a:prstGeom>
                        <a:solidFill>
                          <a:srgbClr val="FFFFFF"/>
                        </a:solidFill>
                        <a:ln w="38103" cap="flat">
                          <a:solidFill>
                            <a:srgbClr val="4472C4"/>
                          </a:solidFill>
                          <a:prstDash val="solid"/>
                          <a:miter/>
                        </a:ln>
                      </wps:spPr>
                      <wps:txbx>
                        <w:txbxContent>
                          <w:p w14:paraId="2B0D40FF" w14:textId="77777777" w:rsidR="00C14C18" w:rsidRPr="00B01850" w:rsidRDefault="00C14C18" w:rsidP="00C14C18">
                            <w:r w:rsidRPr="00B01850">
                              <w:t xml:space="preserve">         </w:t>
                            </w:r>
                            <w:r w:rsidRPr="00B01850">
                              <w:rPr>
                                <w:b/>
                                <w:bCs/>
                                <w:u w:val="single"/>
                              </w:rPr>
                              <w:t>Préfecture</w:t>
                            </w:r>
                            <w:r w:rsidRPr="00B01850">
                              <w:t xml:space="preserve">                     </w:t>
                            </w:r>
                          </w:p>
                          <w:p w14:paraId="36832FBC" w14:textId="77777777" w:rsidR="00C14C18" w:rsidRPr="00B01850" w:rsidRDefault="00C14C18" w:rsidP="00C14C18">
                            <w:pPr>
                              <w:rPr>
                                <w:sz w:val="20"/>
                                <w:szCs w:val="20"/>
                              </w:rPr>
                            </w:pPr>
                            <w:r w:rsidRPr="00B01850">
                              <w:rPr>
                                <w:sz w:val="20"/>
                                <w:szCs w:val="20"/>
                              </w:rPr>
                              <w:t xml:space="preserve">Comité Pectoral de gestion de Réclamation </w:t>
                            </w:r>
                            <w:r w:rsidRPr="00B01850">
                              <w:rPr>
                                <w:b/>
                                <w:bCs/>
                                <w:sz w:val="20"/>
                                <w:szCs w:val="20"/>
                              </w:rPr>
                              <w:t>(COPGER)</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rect w14:anchorId="2C061DD8" id="Rectangle 6" o:spid="_x0000_s1035" style="position:absolute;left:0;text-align:left;margin-left:506.1pt;margin-top:116.45pt;width:111.5pt;height:1in;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" strokecolor="#4472c4" strokeweight="1.0584mm">
                <v:textbox>
                  <w:txbxContent>
                    <w:p w14:paraId="2B0D40FF" w14:textId="77777777" w:rsidR="00C14C18" w:rsidRPr="00B01850" w:rsidRDefault="00C14C18" w:rsidP="00C14C18">
                      <w:r w:rsidRPr="00B01850">
                        <w:t xml:space="preserve">         </w:t>
                      </w:r>
                      <w:r w:rsidRPr="00B01850">
                        <w:rPr>
                          <w:b/>
                          <w:bCs/>
                          <w:u w:val="single"/>
                        </w:rPr>
                        <w:t>Préfecture</w:t>
                      </w:r>
                      <w:r w:rsidRPr="00B01850">
                        <w:t xml:space="preserve">                     </w:t>
                      </w:r>
                    </w:p>
                    <w:p w14:paraId="36832FBC" w14:textId="77777777" w:rsidR="00C14C18" w:rsidRPr="00B01850" w:rsidRDefault="00C14C18" w:rsidP="00C14C18">
                      <w:pPr>
                        <w:rPr>
                          <w:sz w:val="20"/>
                          <w:szCs w:val="20"/>
                        </w:rPr>
                      </w:pPr>
                      <w:r w:rsidRPr="00B01850">
                        <w:rPr>
                          <w:sz w:val="20"/>
                          <w:szCs w:val="20"/>
                        </w:rPr>
                        <w:t xml:space="preserve">Comité Pectoral de gestion de Réclamation </w:t>
                      </w:r>
                      <w:r w:rsidRPr="00B01850">
                        <w:rPr>
                          <w:b/>
                          <w:bCs/>
                          <w:sz w:val="20"/>
                          <w:szCs w:val="20"/>
                        </w:rPr>
                        <w:t>(COPGER)</w:t>
                      </w:r>
                    </w:p>
                  </w:txbxContent>
                </v:textbox>
              </v:rect>
            </w:pict>
          </mc:Fallback>
        </mc:AlternateContent>
      </w:r>
      <w:r w:rsidRPr="00B01850">
        <w:rPr>
          <w:noProof/>
        </w:rPr>
        <mc:AlternateContent>
          <mc:Choice Requires="wps">
            <w:drawing>
              <wp:anchor distT="0" distB="0" distL="114300" distR="114300" simplePos="0" relativeHeight="251658261" behindDoc="0" locked="0" layoutInCell="1" allowOverlap="1" wp14:anchorId="6625FB3A" wp14:editId="5A23BF61">
                <wp:simplePos x="0" y="0"/>
                <wp:positionH relativeFrom="column">
                  <wp:posOffset>2261870</wp:posOffset>
                </wp:positionH>
                <wp:positionV relativeFrom="paragraph">
                  <wp:posOffset>4300220</wp:posOffset>
                </wp:positionV>
                <wp:extent cx="2463800" cy="290830"/>
                <wp:effectExtent l="0" t="0" r="0" b="0"/>
                <wp:wrapNone/>
                <wp:docPr id="1471589385" name="Zone de texte 8"/>
                <wp:cNvGraphicFramePr/>
                <a:graphic xmlns:a="http://schemas.openxmlformats.org/drawingml/2006/main">
                  <a:graphicData uri="http://schemas.microsoft.com/office/word/2010/wordprocessingShape">
                    <wps:wsp>
                      <wps:cNvSpPr txBox="1"/>
                      <wps:spPr>
                        <a:xfrm>
                          <a:off x="0" y="0"/>
                          <a:ext cx="2463800" cy="290830"/>
                        </a:xfrm>
                        <a:prstGeom prst="rect">
                          <a:avLst/>
                        </a:prstGeom>
                        <a:solidFill>
                          <a:srgbClr val="FFFFFF"/>
                        </a:solidFill>
                        <a:ln>
                          <a:noFill/>
                          <a:prstDash/>
                        </a:ln>
                      </wps:spPr>
                      <wps:txbx>
                        <w:txbxContent>
                          <w:p w14:paraId="442C0C71" w14:textId="77777777" w:rsidR="00C14C18" w:rsidRPr="00B01850" w:rsidRDefault="00C14C18" w:rsidP="00C14C18">
                            <w:pPr>
                              <w:pStyle w:val="NoSpacing"/>
                              <w:rPr>
                                <w:lang w:val="fr-FR"/>
                              </w:rPr>
                            </w:pPr>
                            <w:r w:rsidRPr="00B01850">
                              <w:rPr>
                                <w:lang w:val="fr-FR"/>
                              </w:rPr>
                              <w:t>Mis à jour de la base des données</w:t>
                            </w:r>
                          </w:p>
                        </w:txbxContent>
                      </wps:txbx>
                      <wps:bodyPr vert="horz" wrap="square" lIns="91440" tIns="45720" rIns="91440" bIns="45720" anchor="t" anchorCtr="0" compatLnSpc="1">
                        <a:noAutofit/>
                      </wps:bodyPr>
                    </wps:wsp>
                  </a:graphicData>
                </a:graphic>
                <wp14:sizeRelH relativeFrom="margin">
                  <wp14:pctWidth>0</wp14:pctWidth>
                </wp14:sizeRelH>
              </wp:anchor>
            </w:drawing>
          </mc:Choice>
          <mc:Fallback>
            <w:pict>
              <v:shape w14:anchorId="6625FB3A" id="Zone de texte 8" o:spid="_x0000_s1036" type="#_x0000_t202" style="position:absolute;left:0;text-align:left;margin-left:178.1pt;margin-top:338.6pt;width:194pt;height:22.9pt;z-index:25165826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" stroked="f">
                <v:textbox>
                  <w:txbxContent>
                    <w:p w14:paraId="442C0C71" w14:textId="77777777" w:rsidR="00C14C18" w:rsidRPr="00B01850" w:rsidRDefault="00C14C18" w:rsidP="00C14C18">
                      <w:pPr>
                        <w:pStyle w:val="NoSpacing"/>
                        <w:rPr>
                          <w:lang w:val="fr-FR"/>
                        </w:rPr>
                      </w:pPr>
                      <w:r w:rsidRPr="00B01850">
                        <w:rPr>
                          <w:lang w:val="fr-FR"/>
                        </w:rPr>
                        <w:t>Mis à jour de la base des données</w:t>
                      </w:r>
                    </w:p>
                  </w:txbxContent>
                </v:textbox>
              </v:shape>
            </w:pict>
          </mc:Fallback>
        </mc:AlternateContent>
      </w:r>
      <w:r w:rsidRPr="00B01850">
        <w:rPr>
          <w:noProof/>
        </w:rPr>
        <mc:AlternateContent>
          <mc:Choice Requires="wps">
            <w:drawing>
              <wp:anchor distT="0" distB="0" distL="114300" distR="114300" simplePos="0" relativeHeight="251658250" behindDoc="0" locked="0" layoutInCell="1" allowOverlap="1" wp14:anchorId="2871DEE1" wp14:editId="33803422">
                <wp:simplePos x="0" y="0"/>
                <wp:positionH relativeFrom="column">
                  <wp:posOffset>1480820</wp:posOffset>
                </wp:positionH>
                <wp:positionV relativeFrom="paragraph">
                  <wp:posOffset>4613909</wp:posOffset>
                </wp:positionV>
                <wp:extent cx="4705350" cy="69850"/>
                <wp:effectExtent l="0" t="114300" r="95250" b="120650"/>
                <wp:wrapNone/>
                <wp:docPr id="268784973" name="Connecteur droit 45"/>
                <wp:cNvGraphicFramePr/>
                <a:graphic xmlns:a="http://schemas.openxmlformats.org/drawingml/2006/main">
                  <a:graphicData uri="http://schemas.microsoft.com/office/word/2010/wordprocessingShape">
                    <wps:wsp>
                      <wps:cNvCnPr/>
                      <wps:spPr>
                        <a:xfrm flipH="1" flipV="1">
                          <a:off x="0" y="0"/>
                          <a:ext cx="4705350" cy="69850"/>
                        </a:xfrm>
                        <a:prstGeom prst="straightConnector1">
                          <a:avLst/>
                        </a:prstGeom>
                        <a:noFill/>
                        <a:ln w="57150" cap="flat">
                          <a:solidFill>
                            <a:srgbClr val="7030A0"/>
                          </a:solidFill>
                          <a:prstDash val="solid"/>
                          <a:round/>
                          <a:headEnd type="diamond" w="med" len="med"/>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6854AA91" id="Connecteur droit 45" o:spid="_x0000_s1026" type="#_x0000_t32" style="position:absolute;margin-left:116.6pt;margin-top:363.3pt;width:370.5pt;height:5.5pt;flip:x y;z-index:2516715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" strokecolor="#7030a0" strokeweight="4.5pt">
                <v:stroke startarrow="diamond" endarrow="block"/>
              </v:shape>
            </w:pict>
          </mc:Fallback>
        </mc:AlternateContent>
      </w:r>
      <w:r w:rsidRPr="00B01850">
        <w:rPr>
          <w:noProof/>
        </w:rPr>
        <mc:AlternateContent>
          <mc:Choice Requires="wps">
            <w:drawing>
              <wp:anchor distT="0" distB="0" distL="114300" distR="114300" simplePos="0" relativeHeight="251658258" behindDoc="0" locked="0" layoutInCell="1" allowOverlap="1" wp14:anchorId="585CC063" wp14:editId="794D6D1A">
                <wp:simplePos x="0" y="0"/>
                <wp:positionH relativeFrom="margin">
                  <wp:align>left</wp:align>
                </wp:positionH>
                <wp:positionV relativeFrom="paragraph">
                  <wp:posOffset>4004945</wp:posOffset>
                </wp:positionV>
                <wp:extent cx="1428750" cy="666750"/>
                <wp:effectExtent l="19050" t="19050" r="19050" b="19050"/>
                <wp:wrapNone/>
                <wp:docPr id="1786480031" name="Rectangle 17"/>
                <wp:cNvGraphicFramePr/>
                <a:graphic xmlns:a="http://schemas.openxmlformats.org/drawingml/2006/main">
                  <a:graphicData uri="http://schemas.microsoft.com/office/word/2010/wordprocessingShape">
                    <wps:wsp>
                      <wps:cNvSpPr/>
                      <wps:spPr>
                        <a:xfrm>
                          <a:off x="0" y="0"/>
                          <a:ext cx="1428750" cy="666750"/>
                        </a:xfrm>
                        <a:prstGeom prst="rect">
                          <a:avLst/>
                        </a:prstGeom>
                        <a:solidFill>
                          <a:srgbClr val="FFFFFF"/>
                        </a:solidFill>
                        <a:ln w="38103" cap="flat">
                          <a:solidFill>
                            <a:srgbClr val="4472C4"/>
                          </a:solidFill>
                          <a:prstDash val="solid"/>
                          <a:miter/>
                        </a:ln>
                      </wps:spPr>
                      <wps:txbx>
                        <w:txbxContent>
                          <w:p w14:paraId="629A740C" w14:textId="77777777" w:rsidR="00C14C18" w:rsidRPr="00B01850" w:rsidRDefault="00C14C18" w:rsidP="00C14C18">
                            <w:pPr>
                              <w:jc w:val="center"/>
                            </w:pPr>
                            <w:r w:rsidRPr="00B01850">
                              <w:rPr>
                                <w:b/>
                                <w:bCs/>
                              </w:rPr>
                              <w:t>DIF :</w:t>
                            </w:r>
                            <w:r w:rsidRPr="00B01850">
                              <w:t xml:space="preserve"> </w:t>
                            </w:r>
                          </w:p>
                          <w:p w14:paraId="5A62D7D6" w14:textId="77777777" w:rsidR="00C14C18" w:rsidRPr="00B01850" w:rsidRDefault="00C14C18" w:rsidP="00C14C18">
                            <w:pPr>
                              <w:jc w:val="center"/>
                            </w:pPr>
                            <w:r w:rsidRPr="00B01850">
                              <w:t xml:space="preserve">Experts TM </w:t>
                            </w:r>
                          </w:p>
                          <w:p w14:paraId="1CFF00AA" w14:textId="77777777" w:rsidR="00C14C18" w:rsidRPr="00B01850" w:rsidRDefault="00C14C18" w:rsidP="00C14C18">
                            <w:pPr>
                              <w:jc w:val="center"/>
                            </w:pPr>
                            <w:r w:rsidRPr="00B01850">
                              <w:t>Expert Productif</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rect w14:anchorId="585CC063" id="Rectangle 17" o:spid="_x0000_s1037" style="position:absolute;left:0;text-align:left;margin-left:0;margin-top:315.35pt;width:112.5pt;height:52.5pt;z-index:25165825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" strokecolor="#4472c4" strokeweight="1.0584mm">
                <v:textbox>
                  <w:txbxContent>
                    <w:p w14:paraId="629A740C" w14:textId="77777777" w:rsidR="00C14C18" w:rsidRPr="00B01850" w:rsidRDefault="00C14C18" w:rsidP="00C14C18">
                      <w:pPr>
                        <w:jc w:val="center"/>
                      </w:pPr>
                      <w:r w:rsidRPr="00B01850">
                        <w:rPr>
                          <w:b/>
                          <w:bCs/>
                        </w:rPr>
                        <w:t>DIF :</w:t>
                      </w:r>
                      <w:r w:rsidRPr="00B01850">
                        <w:t xml:space="preserve"> </w:t>
                      </w:r>
                    </w:p>
                    <w:p w14:paraId="5A62D7D6" w14:textId="77777777" w:rsidR="00C14C18" w:rsidRPr="00B01850" w:rsidRDefault="00C14C18" w:rsidP="00C14C18">
                      <w:pPr>
                        <w:jc w:val="center"/>
                      </w:pPr>
                      <w:r w:rsidRPr="00B01850">
                        <w:t xml:space="preserve">Experts TM </w:t>
                      </w:r>
                    </w:p>
                    <w:p w14:paraId="1CFF00AA" w14:textId="77777777" w:rsidR="00C14C18" w:rsidRPr="00B01850" w:rsidRDefault="00C14C18" w:rsidP="00C14C18">
                      <w:pPr>
                        <w:jc w:val="center"/>
                      </w:pPr>
                      <w:r w:rsidRPr="00B01850">
                        <w:t>Expert Productif</w:t>
                      </w:r>
                    </w:p>
                  </w:txbxContent>
                </v:textbox>
                <w10:wrap anchorx="margin"/>
              </v:rect>
            </w:pict>
          </mc:Fallback>
        </mc:AlternateContent>
      </w:r>
      <w:r w:rsidRPr="00B01850">
        <w:rPr>
          <w:noProof/>
        </w:rPr>
        <mc:AlternateContent>
          <mc:Choice Requires="wps">
            <w:drawing>
              <wp:anchor distT="0" distB="0" distL="114300" distR="114300" simplePos="0" relativeHeight="251658257" behindDoc="0" locked="0" layoutInCell="1" allowOverlap="1" wp14:anchorId="2A5F882A" wp14:editId="2DF787B4">
                <wp:simplePos x="0" y="0"/>
                <wp:positionH relativeFrom="column">
                  <wp:posOffset>6440170</wp:posOffset>
                </wp:positionH>
                <wp:positionV relativeFrom="paragraph">
                  <wp:posOffset>3493770</wp:posOffset>
                </wp:positionV>
                <wp:extent cx="1562100" cy="571500"/>
                <wp:effectExtent l="19050" t="19050" r="19050" b="19050"/>
                <wp:wrapNone/>
                <wp:docPr id="1417054952" name="Rectangle 25"/>
                <wp:cNvGraphicFramePr/>
                <a:graphic xmlns:a="http://schemas.openxmlformats.org/drawingml/2006/main">
                  <a:graphicData uri="http://schemas.microsoft.com/office/word/2010/wordprocessingShape">
                    <wps:wsp>
                      <wps:cNvSpPr/>
                      <wps:spPr>
                        <a:xfrm>
                          <a:off x="0" y="0"/>
                          <a:ext cx="1562100" cy="571500"/>
                        </a:xfrm>
                        <a:prstGeom prst="rect">
                          <a:avLst/>
                        </a:prstGeom>
                        <a:solidFill>
                          <a:srgbClr val="FFFFFF"/>
                        </a:solidFill>
                        <a:ln w="38103" cap="flat">
                          <a:solidFill>
                            <a:srgbClr val="4472C4"/>
                          </a:solidFill>
                          <a:prstDash val="solid"/>
                          <a:miter/>
                        </a:ln>
                      </wps:spPr>
                      <wps:txbx>
                        <w:txbxContent>
                          <w:p w14:paraId="2C5D0B80" w14:textId="77777777" w:rsidR="00C14C18" w:rsidRPr="00B01850" w:rsidRDefault="00C14C18" w:rsidP="00C14C18">
                            <w:pPr>
                              <w:rPr>
                                <w:sz w:val="20"/>
                                <w:szCs w:val="20"/>
                              </w:rPr>
                            </w:pPr>
                            <w:r w:rsidRPr="00B01850">
                              <w:rPr>
                                <w:sz w:val="20"/>
                                <w:szCs w:val="20"/>
                              </w:rPr>
                              <w:t xml:space="preserve">Operateurs de paiement </w:t>
                            </w:r>
                          </w:p>
                          <w:p w14:paraId="088F04A5" w14:textId="77777777" w:rsidR="00C14C18" w:rsidRPr="00B01850" w:rsidRDefault="00C14C18" w:rsidP="00C14C18">
                            <w:pPr>
                              <w:jc w:val="center"/>
                            </w:pPr>
                          </w:p>
                        </w:txbxContent>
                      </wps:txbx>
                      <wps:bodyPr vert="horz" wrap="square" lIns="91440" tIns="45720" rIns="91440" bIns="45720" anchor="ctr" anchorCtr="0" compatLnSpc="1">
                        <a:noAutofit/>
                      </wps:bodyPr>
                    </wps:wsp>
                  </a:graphicData>
                </a:graphic>
                <wp14:sizeRelH relativeFrom="margin">
                  <wp14:pctWidth>0</wp14:pctWidth>
                </wp14:sizeRelH>
              </wp:anchor>
            </w:drawing>
          </mc:Choice>
          <mc:Fallback>
            <w:pict>
              <v:rect w14:anchorId="2A5F882A" id="Rectangle 25" o:spid="_x0000_s1038" style="position:absolute;left:0;text-align:left;margin-left:507.1pt;margin-top:275.1pt;width:123pt;height:45pt;z-index:25165825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" strokecolor="#4472c4" strokeweight="1.0584mm">
                <v:textbox>
                  <w:txbxContent>
                    <w:p w14:paraId="2C5D0B80" w14:textId="77777777" w:rsidR="00C14C18" w:rsidRPr="00B01850" w:rsidRDefault="00C14C18" w:rsidP="00C14C18">
                      <w:pPr>
                        <w:rPr>
                          <w:sz w:val="20"/>
                          <w:szCs w:val="20"/>
                        </w:rPr>
                      </w:pPr>
                      <w:r w:rsidRPr="00B01850">
                        <w:rPr>
                          <w:sz w:val="20"/>
                          <w:szCs w:val="20"/>
                        </w:rPr>
                        <w:t xml:space="preserve">Operateurs de paiement </w:t>
                      </w:r>
                    </w:p>
                    <w:p w14:paraId="088F04A5" w14:textId="77777777" w:rsidR="00C14C18" w:rsidRPr="00B01850" w:rsidRDefault="00C14C18" w:rsidP="00C14C18">
                      <w:pPr>
                        <w:jc w:val="center"/>
                      </w:pPr>
                    </w:p>
                  </w:txbxContent>
                </v:textbox>
              </v:rect>
            </w:pict>
          </mc:Fallback>
        </mc:AlternateContent>
      </w:r>
      <w:r w:rsidRPr="00B01850">
        <w:rPr>
          <w:noProof/>
        </w:rPr>
        <mc:AlternateContent>
          <mc:Choice Requires="wps">
            <w:drawing>
              <wp:anchor distT="0" distB="0" distL="114300" distR="114300" simplePos="0" relativeHeight="251658259" behindDoc="0" locked="0" layoutInCell="1" allowOverlap="1" wp14:anchorId="0C1DD312" wp14:editId="6F37025F">
                <wp:simplePos x="0" y="0"/>
                <wp:positionH relativeFrom="column">
                  <wp:posOffset>6294120</wp:posOffset>
                </wp:positionH>
                <wp:positionV relativeFrom="paragraph">
                  <wp:posOffset>4285615</wp:posOffset>
                </wp:positionV>
                <wp:extent cx="1473835" cy="566420"/>
                <wp:effectExtent l="19050" t="19050" r="12065" b="24130"/>
                <wp:wrapNone/>
                <wp:docPr id="1277142782" name="Rectangle 24"/>
                <wp:cNvGraphicFramePr/>
                <a:graphic xmlns:a="http://schemas.openxmlformats.org/drawingml/2006/main">
                  <a:graphicData uri="http://schemas.microsoft.com/office/word/2010/wordprocessingShape">
                    <wps:wsp>
                      <wps:cNvSpPr/>
                      <wps:spPr>
                        <a:xfrm>
                          <a:off x="0" y="0"/>
                          <a:ext cx="1473835" cy="566420"/>
                        </a:xfrm>
                        <a:prstGeom prst="rect">
                          <a:avLst/>
                        </a:prstGeom>
                        <a:solidFill>
                          <a:srgbClr val="FFFFFF"/>
                        </a:solidFill>
                        <a:ln w="38103" cap="flat">
                          <a:solidFill>
                            <a:srgbClr val="4472C4"/>
                          </a:solidFill>
                          <a:prstDash val="solid"/>
                          <a:miter/>
                        </a:ln>
                      </wps:spPr>
                      <wps:txbx>
                        <w:txbxContent>
                          <w:p w14:paraId="518EA71E" w14:textId="77777777" w:rsidR="00C14C18" w:rsidRPr="00B01850" w:rsidRDefault="00C14C18" w:rsidP="00C14C18">
                            <w:pPr>
                              <w:jc w:val="center"/>
                            </w:pPr>
                            <w:r w:rsidRPr="00B01850">
                              <w:t>DSI</w:t>
                            </w:r>
                          </w:p>
                        </w:txbxContent>
                      </wps:txbx>
                      <wps:bodyPr vert="horz" wrap="square" lIns="91440" tIns="45720" rIns="91440" bIns="45720" anchor="ctr" anchorCtr="0" compatLnSpc="1">
                        <a:noAutofit/>
                      </wps:bodyPr>
                    </wps:wsp>
                  </a:graphicData>
                </a:graphic>
              </wp:anchor>
            </w:drawing>
          </mc:Choice>
          <mc:Fallback>
            <w:pict>
              <v:rect w14:anchorId="0C1DD312" id="Rectangle 24" o:spid="_x0000_s1039" style="position:absolute;left:0;text-align:left;margin-left:495.6pt;margin-top:337.45pt;width:116.05pt;height:44.6pt;z-index:25165825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" strokecolor="#4472c4" strokeweight="1.0584mm">
                <v:textbox>
                  <w:txbxContent>
                    <w:p w14:paraId="518EA71E" w14:textId="77777777" w:rsidR="00C14C18" w:rsidRPr="00B01850" w:rsidRDefault="00C14C18" w:rsidP="00C14C18">
                      <w:pPr>
                        <w:jc w:val="center"/>
                      </w:pPr>
                      <w:r w:rsidRPr="00B01850">
                        <w:t>DSI</w:t>
                      </w:r>
                    </w:p>
                  </w:txbxContent>
                </v:textbox>
              </v:rect>
            </w:pict>
          </mc:Fallback>
        </mc:AlternateContent>
      </w:r>
      <w:r w:rsidRPr="00B01850">
        <w:rPr>
          <w:noProof/>
          <w14:ligatures w14:val="standardContextual"/>
        </w:rPr>
        <mc:AlternateContent>
          <mc:Choice Requires="wps">
            <w:drawing>
              <wp:anchor distT="0" distB="0" distL="114300" distR="114300" simplePos="0" relativeHeight="251658273" behindDoc="0" locked="0" layoutInCell="1" allowOverlap="1" wp14:anchorId="2C62F67E" wp14:editId="6B96FC8A">
                <wp:simplePos x="0" y="0"/>
                <wp:positionH relativeFrom="column">
                  <wp:posOffset>788670</wp:posOffset>
                </wp:positionH>
                <wp:positionV relativeFrom="paragraph">
                  <wp:posOffset>1997710</wp:posOffset>
                </wp:positionV>
                <wp:extent cx="19050" cy="1974850"/>
                <wp:effectExtent l="57150" t="38100" r="57150" b="44450"/>
                <wp:wrapNone/>
                <wp:docPr id="403860208" name="Connecteur droit 14"/>
                <wp:cNvGraphicFramePr/>
                <a:graphic xmlns:a="http://schemas.openxmlformats.org/drawingml/2006/main">
                  <a:graphicData uri="http://schemas.microsoft.com/office/word/2010/wordprocessingShape">
                    <wps:wsp>
                      <wps:cNvCnPr/>
                      <wps:spPr>
                        <a:xfrm flipH="1">
                          <a:off x="0" y="0"/>
                          <a:ext cx="19050" cy="1974850"/>
                        </a:xfrm>
                        <a:prstGeom prst="line">
                          <a:avLst/>
                        </a:prstGeom>
                        <a:ln w="38100">
                          <a:solidFill>
                            <a:schemeClr val="accent2"/>
                          </a:solidFill>
                          <a:prstDash val="sysDot"/>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97EA7A" id="Connecteur droit 14" o:spid="_x0000_s1026" style="position:absolute;flip:x;z-index:2516951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1pt,157.3pt" to="63.6pt,3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" strokecolor="#c0504d [3205]" strokeweight="3pt">
                <v:stroke dashstyle="1 1" startarrow="block" endarrow="block"/>
              </v:line>
            </w:pict>
          </mc:Fallback>
        </mc:AlternateContent>
      </w:r>
      <w:r w:rsidRPr="00B01850">
        <w:rPr>
          <w:noProof/>
          <w14:ligatures w14:val="standardContextual"/>
        </w:rPr>
        <mc:AlternateContent>
          <mc:Choice Requires="wps">
            <w:drawing>
              <wp:anchor distT="0" distB="0" distL="114300" distR="114300" simplePos="0" relativeHeight="251658281" behindDoc="0" locked="0" layoutInCell="1" allowOverlap="1" wp14:anchorId="1A631FE3" wp14:editId="67CB14B7">
                <wp:simplePos x="0" y="0"/>
                <wp:positionH relativeFrom="column">
                  <wp:posOffset>1495797</wp:posOffset>
                </wp:positionH>
                <wp:positionV relativeFrom="paragraph">
                  <wp:posOffset>3769360</wp:posOffset>
                </wp:positionV>
                <wp:extent cx="556523" cy="495300"/>
                <wp:effectExtent l="38100" t="38100" r="53340" b="38100"/>
                <wp:wrapNone/>
                <wp:docPr id="427641763" name="Connecteur droit 14"/>
                <wp:cNvGraphicFramePr/>
                <a:graphic xmlns:a="http://schemas.openxmlformats.org/drawingml/2006/main">
                  <a:graphicData uri="http://schemas.microsoft.com/office/word/2010/wordprocessingShape">
                    <wps:wsp>
                      <wps:cNvCnPr/>
                      <wps:spPr>
                        <a:xfrm flipH="1">
                          <a:off x="0" y="0"/>
                          <a:ext cx="556523" cy="495300"/>
                        </a:xfrm>
                        <a:prstGeom prst="line">
                          <a:avLst/>
                        </a:prstGeom>
                        <a:ln w="38100">
                          <a:solidFill>
                            <a:schemeClr val="accent2"/>
                          </a:solidFill>
                          <a:prstDash val="sysDot"/>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464BA9" id="Connecteur droit 14" o:spid="_x0000_s1026" style="position:absolute;flip:x;z-index:251703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8pt,296.8pt" to="161.6pt,33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" strokecolor="#c0504d [3205]" strokeweight="3pt">
                <v:stroke dashstyle="1 1" startarrow="block" endarrow="block"/>
              </v:line>
            </w:pict>
          </mc:Fallback>
        </mc:AlternateContent>
      </w:r>
      <w:r w:rsidRPr="00B01850">
        <w:rPr>
          <w:noProof/>
          <w14:ligatures w14:val="standardContextual"/>
        </w:rPr>
        <mc:AlternateContent>
          <mc:Choice Requires="wps">
            <w:drawing>
              <wp:anchor distT="0" distB="0" distL="114300" distR="114300" simplePos="0" relativeHeight="251658277" behindDoc="0" locked="0" layoutInCell="1" allowOverlap="1" wp14:anchorId="74E694BB" wp14:editId="4CE4CB7C">
                <wp:simplePos x="0" y="0"/>
                <wp:positionH relativeFrom="column">
                  <wp:posOffset>4776470</wp:posOffset>
                </wp:positionH>
                <wp:positionV relativeFrom="paragraph">
                  <wp:posOffset>1299210</wp:posOffset>
                </wp:positionV>
                <wp:extent cx="1536700" cy="1555750"/>
                <wp:effectExtent l="57150" t="57150" r="63500" b="63500"/>
                <wp:wrapNone/>
                <wp:docPr id="1655682139" name="Connecteur droit 14"/>
                <wp:cNvGraphicFramePr/>
                <a:graphic xmlns:a="http://schemas.openxmlformats.org/drawingml/2006/main">
                  <a:graphicData uri="http://schemas.microsoft.com/office/word/2010/wordprocessingShape">
                    <wps:wsp>
                      <wps:cNvCnPr/>
                      <wps:spPr>
                        <a:xfrm flipH="1">
                          <a:off x="0" y="0"/>
                          <a:ext cx="1536700" cy="1555750"/>
                        </a:xfrm>
                        <a:prstGeom prst="line">
                          <a:avLst/>
                        </a:prstGeom>
                        <a:ln w="38100">
                          <a:solidFill>
                            <a:srgbClr val="FF0000"/>
                          </a:solidFill>
                          <a:prstDash val="solid"/>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CFE89E" id="Connecteur droit 14" o:spid="_x0000_s1026" style="position:absolute;flip:x;z-index:2516992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6.1pt,102.3pt" to="497.1pt,2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" strokecolor="red" strokeweight="3pt">
                <v:stroke startarrow="oval" endarrow="oval"/>
              </v:line>
            </w:pict>
          </mc:Fallback>
        </mc:AlternateContent>
      </w:r>
      <w:r w:rsidRPr="00B01850">
        <w:rPr>
          <w:noProof/>
          <w14:ligatures w14:val="standardContextual"/>
        </w:rPr>
        <mc:AlternateContent>
          <mc:Choice Requires="wps">
            <w:drawing>
              <wp:anchor distT="0" distB="0" distL="114300" distR="114300" simplePos="0" relativeHeight="251658286" behindDoc="0" locked="0" layoutInCell="1" allowOverlap="1" wp14:anchorId="005F3023" wp14:editId="5EC66B41">
                <wp:simplePos x="0" y="0"/>
                <wp:positionH relativeFrom="column">
                  <wp:posOffset>4824096</wp:posOffset>
                </wp:positionH>
                <wp:positionV relativeFrom="paragraph">
                  <wp:posOffset>2327910</wp:posOffset>
                </wp:positionV>
                <wp:extent cx="1460500" cy="553864"/>
                <wp:effectExtent l="0" t="419100" r="6350" b="417830"/>
                <wp:wrapNone/>
                <wp:docPr id="1847527588" name="Zone de texte 24"/>
                <wp:cNvGraphicFramePr/>
                <a:graphic xmlns:a="http://schemas.openxmlformats.org/drawingml/2006/main">
                  <a:graphicData uri="http://schemas.microsoft.com/office/word/2010/wordprocessingShape">
                    <wps:wsp>
                      <wps:cNvSpPr txBox="1"/>
                      <wps:spPr>
                        <a:xfrm rot="19101472">
                          <a:off x="0" y="0"/>
                          <a:ext cx="1460500" cy="553864"/>
                        </a:xfrm>
                        <a:prstGeom prst="rect">
                          <a:avLst/>
                        </a:prstGeom>
                        <a:solidFill>
                          <a:schemeClr val="lt1"/>
                        </a:solidFill>
                        <a:ln w="6350">
                          <a:noFill/>
                        </a:ln>
                      </wps:spPr>
                      <wps:txbx>
                        <w:txbxContent>
                          <w:p w14:paraId="78D1E44F" w14:textId="77777777" w:rsidR="00C14C18" w:rsidRPr="00B01850" w:rsidRDefault="00C14C18" w:rsidP="00C14C18">
                            <w:pPr>
                              <w:rPr>
                                <w:sz w:val="20"/>
                                <w:szCs w:val="20"/>
                              </w:rPr>
                            </w:pPr>
                            <w:r w:rsidRPr="00B01850">
                              <w:rPr>
                                <w:sz w:val="20"/>
                                <w:szCs w:val="20"/>
                              </w:rPr>
                              <w:t>Echange d’information sur le traitement des réclamations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5F3023" id="Zone de texte 24" o:spid="_x0000_s1040" type="#_x0000_t202" style="position:absolute;left:0;text-align:left;margin-left:379.85pt;margin-top:183.3pt;width:115pt;height:43.6pt;rotation:-2729059fd;z-index:251658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" fillcolor="white [3201]" stroked="f" strokeweight=".5pt">
                <v:textbox>
                  <w:txbxContent>
                    <w:p w14:paraId="78D1E44F" w14:textId="77777777" w:rsidR="00C14C18" w:rsidRPr="00B01850" w:rsidRDefault="00C14C18" w:rsidP="00C14C18">
                      <w:pPr>
                        <w:rPr>
                          <w:sz w:val="20"/>
                          <w:szCs w:val="20"/>
                        </w:rPr>
                      </w:pPr>
                      <w:r w:rsidRPr="00B01850">
                        <w:rPr>
                          <w:sz w:val="20"/>
                          <w:szCs w:val="20"/>
                        </w:rPr>
                        <w:t>Echange d’information sur le traitement des réclamations</w:t>
                      </w:r>
                    </w:p>
                  </w:txbxContent>
                </v:textbox>
              </v:shape>
            </w:pict>
          </mc:Fallback>
        </mc:AlternateContent>
      </w:r>
      <w:r w:rsidRPr="00B01850">
        <w:rPr>
          <w:noProof/>
          <w14:ligatures w14:val="standardContextual"/>
        </w:rPr>
        <mc:AlternateContent>
          <mc:Choice Requires="wps">
            <w:drawing>
              <wp:anchor distT="0" distB="0" distL="114300" distR="114300" simplePos="0" relativeHeight="251658275" behindDoc="0" locked="0" layoutInCell="1" allowOverlap="1" wp14:anchorId="7D0D93D2" wp14:editId="0CECED82">
                <wp:simplePos x="0" y="0"/>
                <wp:positionH relativeFrom="margin">
                  <wp:posOffset>5548630</wp:posOffset>
                </wp:positionH>
                <wp:positionV relativeFrom="paragraph">
                  <wp:posOffset>3004821</wp:posOffset>
                </wp:positionV>
                <wp:extent cx="138115" cy="1479870"/>
                <wp:effectExtent l="0" t="23177" r="0" b="29528"/>
                <wp:wrapNone/>
                <wp:docPr id="540100020" name="Flèche : bas 9"/>
                <wp:cNvGraphicFramePr/>
                <a:graphic xmlns:a="http://schemas.openxmlformats.org/drawingml/2006/main">
                  <a:graphicData uri="http://schemas.microsoft.com/office/word/2010/wordprocessingShape">
                    <wps:wsp>
                      <wps:cNvSpPr/>
                      <wps:spPr>
                        <a:xfrm rot="16200000" flipH="1">
                          <a:off x="0" y="0"/>
                          <a:ext cx="138115" cy="1479870"/>
                        </a:xfrm>
                        <a:prstGeom prst="downArrow">
                          <a:avLst/>
                        </a:prstGeom>
                        <a:solidFill>
                          <a:schemeClr val="accent6"/>
                        </a:solid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A9F0FC" id="Flèche : bas 9" o:spid="_x0000_s1026" type="#_x0000_t67" style="position:absolute;margin-left:436.9pt;margin-top:236.6pt;width:10.9pt;height:116.55pt;rotation:90;flip:x;z-index:25169716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" adj="20592" fillcolor="#f79646 [3209]" strokecolor="#f79646 [3209]" strokeweight="2pt">
                <w10:wrap anchorx="margin"/>
              </v:shape>
            </w:pict>
          </mc:Fallback>
        </mc:AlternateContent>
      </w:r>
      <w:r w:rsidRPr="00B01850">
        <w:rPr>
          <w:noProof/>
          <w14:ligatures w14:val="standardContextual"/>
        </w:rPr>
        <mc:AlternateContent>
          <mc:Choice Requires="wps">
            <w:drawing>
              <wp:anchor distT="0" distB="0" distL="114300" distR="114300" simplePos="0" relativeHeight="251658282" behindDoc="0" locked="0" layoutInCell="1" allowOverlap="1" wp14:anchorId="78603E68" wp14:editId="1F47261A">
                <wp:simplePos x="0" y="0"/>
                <wp:positionH relativeFrom="column">
                  <wp:posOffset>4857010</wp:posOffset>
                </wp:positionH>
                <wp:positionV relativeFrom="paragraph">
                  <wp:posOffset>4080510</wp:posOffset>
                </wp:positionV>
                <wp:extent cx="1377950" cy="482600"/>
                <wp:effectExtent l="0" t="57150" r="31750" b="69850"/>
                <wp:wrapNone/>
                <wp:docPr id="1965104008" name="Connecteur droit 14"/>
                <wp:cNvGraphicFramePr/>
                <a:graphic xmlns:a="http://schemas.openxmlformats.org/drawingml/2006/main">
                  <a:graphicData uri="http://schemas.microsoft.com/office/word/2010/wordprocessingShape">
                    <wps:wsp>
                      <wps:cNvCnPr/>
                      <wps:spPr>
                        <a:xfrm>
                          <a:off x="0" y="0"/>
                          <a:ext cx="1377950" cy="482600"/>
                        </a:xfrm>
                        <a:prstGeom prst="line">
                          <a:avLst/>
                        </a:prstGeom>
                        <a:ln w="38100">
                          <a:solidFill>
                            <a:schemeClr val="accent2"/>
                          </a:solidFill>
                          <a:prstDash val="sysDot"/>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91FDED0" id="Connecteur droit 14" o:spid="_x0000_s1026" style="position:absolute;z-index:251704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45pt,321.3pt" to="490.95pt,35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" strokecolor="#c0504d [3205]" strokeweight="3pt">
                <v:stroke dashstyle="1 1" startarrow="block" endarrow="block"/>
              </v:line>
            </w:pict>
          </mc:Fallback>
        </mc:AlternateContent>
      </w:r>
      <w:r w:rsidRPr="00B01850">
        <w:rPr>
          <w:noProof/>
          <w14:ligatures w14:val="standardContextual"/>
        </w:rPr>
        <mc:AlternateContent>
          <mc:Choice Requires="wps">
            <w:drawing>
              <wp:anchor distT="0" distB="0" distL="114300" distR="114300" simplePos="0" relativeHeight="251658283" behindDoc="0" locked="0" layoutInCell="1" allowOverlap="1" wp14:anchorId="078D72EA" wp14:editId="587E28B7">
                <wp:simplePos x="0" y="0"/>
                <wp:positionH relativeFrom="column">
                  <wp:posOffset>4880580</wp:posOffset>
                </wp:positionH>
                <wp:positionV relativeFrom="paragraph">
                  <wp:posOffset>2416810</wp:posOffset>
                </wp:positionV>
                <wp:extent cx="1572290" cy="1174750"/>
                <wp:effectExtent l="57150" t="57150" r="66040" b="63500"/>
                <wp:wrapNone/>
                <wp:docPr id="1486327785" name="Connecteur droit 14"/>
                <wp:cNvGraphicFramePr/>
                <a:graphic xmlns:a="http://schemas.openxmlformats.org/drawingml/2006/main">
                  <a:graphicData uri="http://schemas.microsoft.com/office/word/2010/wordprocessingShape">
                    <wps:wsp>
                      <wps:cNvCnPr/>
                      <wps:spPr>
                        <a:xfrm flipH="1">
                          <a:off x="0" y="0"/>
                          <a:ext cx="1572290" cy="1174750"/>
                        </a:xfrm>
                        <a:prstGeom prst="line">
                          <a:avLst/>
                        </a:prstGeom>
                        <a:ln w="38100">
                          <a:solidFill>
                            <a:srgbClr val="FF0000"/>
                          </a:solidFill>
                          <a:prstDash val="solid"/>
                          <a:headEnd type="oval" w="med" len="med"/>
                          <a:tailEnd type="oval"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AE6C1D" id="Connecteur droit 14" o:spid="_x0000_s1026" style="position:absolute;flip:x;z-index:2517053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3pt,190.3pt" to="508.1pt,28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" strokecolor="red" strokeweight="3pt">
                <v:stroke startarrow="oval" endarrow="oval"/>
              </v:line>
            </w:pict>
          </mc:Fallback>
        </mc:AlternateContent>
      </w:r>
      <w:r w:rsidRPr="00B01850">
        <w:rPr>
          <w:noProof/>
        </w:rPr>
        <mc:AlternateContent>
          <mc:Choice Requires="wps">
            <w:drawing>
              <wp:anchor distT="0" distB="0" distL="114300" distR="114300" simplePos="0" relativeHeight="251658249" behindDoc="0" locked="0" layoutInCell="1" allowOverlap="1" wp14:anchorId="7AECC6AC" wp14:editId="688EBEA6">
                <wp:simplePos x="0" y="0"/>
                <wp:positionH relativeFrom="column">
                  <wp:posOffset>2137410</wp:posOffset>
                </wp:positionH>
                <wp:positionV relativeFrom="paragraph">
                  <wp:posOffset>2968625</wp:posOffset>
                </wp:positionV>
                <wp:extent cx="2700022" cy="1093470"/>
                <wp:effectExtent l="19050" t="19050" r="24130" b="11430"/>
                <wp:wrapNone/>
                <wp:docPr id="468581004" name="Rectangle 22"/>
                <wp:cNvGraphicFramePr/>
                <a:graphic xmlns:a="http://schemas.openxmlformats.org/drawingml/2006/main">
                  <a:graphicData uri="http://schemas.microsoft.com/office/word/2010/wordprocessingShape">
                    <wps:wsp>
                      <wps:cNvSpPr/>
                      <wps:spPr>
                        <a:xfrm>
                          <a:off x="0" y="0"/>
                          <a:ext cx="2700022" cy="1093470"/>
                        </a:xfrm>
                        <a:prstGeom prst="rect">
                          <a:avLst/>
                        </a:prstGeom>
                        <a:solidFill>
                          <a:srgbClr val="F4B183"/>
                        </a:solidFill>
                        <a:ln w="38103" cap="flat">
                          <a:solidFill>
                            <a:srgbClr val="0070C0"/>
                          </a:solidFill>
                          <a:prstDash val="solid"/>
                          <a:miter/>
                        </a:ln>
                      </wps:spPr>
                      <wps:txbx>
                        <w:txbxContent>
                          <w:p w14:paraId="1055BA76" w14:textId="77777777" w:rsidR="00C14C18" w:rsidRPr="00B01850" w:rsidRDefault="00C14C18" w:rsidP="00C14C18">
                            <w:pPr>
                              <w:pStyle w:val="NoSpacing"/>
                              <w:jc w:val="center"/>
                              <w:rPr>
                                <w:rFonts w:asciiTheme="minorHAnsi" w:hAnsiTheme="minorHAnsi" w:cstheme="minorHAnsi"/>
                                <w:lang w:val="fr-FR"/>
                              </w:rPr>
                            </w:pPr>
                            <w:r w:rsidRPr="00B01850">
                              <w:rPr>
                                <w:b/>
                                <w:bCs/>
                                <w:u w:val="single"/>
                                <w:lang w:val="fr-FR"/>
                              </w:rPr>
                              <w:t xml:space="preserve">ANIES  </w:t>
                            </w:r>
                            <w:r w:rsidRPr="00B01850">
                              <w:rPr>
                                <w:lang w:val="fr-FR"/>
                              </w:rPr>
                              <w:t xml:space="preserve">            </w:t>
                            </w:r>
                            <w:r w:rsidRPr="00B01850">
                              <w:rPr>
                                <w:sz w:val="36"/>
                                <w:szCs w:val="36"/>
                                <w:lang w:val="fr-FR"/>
                              </w:rPr>
                              <w:t xml:space="preserve">                                    </w:t>
                            </w:r>
                            <w:r w:rsidRPr="00B01850">
                              <w:rPr>
                                <w:rFonts w:asciiTheme="minorHAnsi" w:hAnsiTheme="minorHAnsi" w:cstheme="minorHAnsi"/>
                                <w:lang w:val="fr-FR"/>
                              </w:rPr>
                              <w:t>Comité National de Gestion des Réclamations</w:t>
                            </w:r>
                          </w:p>
                          <w:p w14:paraId="43DF068D" w14:textId="77777777" w:rsidR="00C14C18" w:rsidRPr="00B01850" w:rsidRDefault="00C14C18" w:rsidP="00C14C18">
                            <w:pPr>
                              <w:pStyle w:val="NoSpacing"/>
                              <w:rPr>
                                <w:rFonts w:asciiTheme="minorHAnsi" w:hAnsiTheme="minorHAnsi" w:cstheme="minorHAnsi"/>
                                <w:b/>
                                <w:bCs/>
                                <w:lang w:val="fr-FR"/>
                              </w:rPr>
                            </w:pPr>
                            <w:r w:rsidRPr="00B01850">
                              <w:rPr>
                                <w:rFonts w:asciiTheme="minorHAnsi" w:hAnsiTheme="minorHAnsi" w:cstheme="minorHAnsi"/>
                                <w:b/>
                                <w:bCs/>
                                <w:lang w:val="fr-FR"/>
                              </w:rPr>
                              <w:t xml:space="preserve">Gestionnaire des Plaintes : Sauvegarde Sociale assisté de Sauvegarde </w:t>
                            </w:r>
                            <w:proofErr w:type="spellStart"/>
                            <w:r w:rsidRPr="00B01850">
                              <w:rPr>
                                <w:rFonts w:asciiTheme="minorHAnsi" w:hAnsiTheme="minorHAnsi" w:cstheme="minorHAnsi"/>
                                <w:b/>
                                <w:bCs/>
                                <w:lang w:val="fr-FR"/>
                              </w:rPr>
                              <w:t>Env</w:t>
                            </w:r>
                            <w:proofErr w:type="spellEnd"/>
                          </w:p>
                        </w:txbxContent>
                      </wps:txbx>
                      <wps:bodyPr vert="horz" wrap="square" lIns="91440" tIns="45720" rIns="91440" bIns="45720" anchor="ctr" anchorCtr="0" compatLnSpc="1">
                        <a:noAutofit/>
                      </wps:bodyPr>
                    </wps:wsp>
                  </a:graphicData>
                </a:graphic>
              </wp:anchor>
            </w:drawing>
          </mc:Choice>
          <mc:Fallback>
            <w:pict>
              <v:rect w14:anchorId="7AECC6AC" id="Rectangle 22" o:spid="_x0000_s1041" style="position:absolute;left:0;text-align:left;margin-left:168.3pt;margin-top:233.75pt;width:212.6pt;height:86.1pt;z-index:25165824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" fillcolor="#f4b183" strokecolor="#0070c0" strokeweight="1.0584mm">
                <v:textbox>
                  <w:txbxContent>
                    <w:p w14:paraId="1055BA76" w14:textId="77777777" w:rsidR="00C14C18" w:rsidRPr="00B01850" w:rsidRDefault="00C14C18" w:rsidP="00C14C18">
                      <w:pPr>
                        <w:pStyle w:val="NoSpacing"/>
                        <w:jc w:val="center"/>
                        <w:rPr>
                          <w:rFonts w:asciiTheme="minorHAnsi" w:hAnsiTheme="minorHAnsi" w:cstheme="minorHAnsi"/>
                          <w:lang w:val="fr-FR"/>
                        </w:rPr>
                      </w:pPr>
                      <w:r w:rsidRPr="00B01850">
                        <w:rPr>
                          <w:b/>
                          <w:bCs/>
                          <w:u w:val="single"/>
                          <w:lang w:val="fr-FR"/>
                        </w:rPr>
                        <w:t xml:space="preserve">ANIES  </w:t>
                      </w:r>
                      <w:r w:rsidRPr="00B01850">
                        <w:rPr>
                          <w:lang w:val="fr-FR"/>
                        </w:rPr>
                        <w:t xml:space="preserve">            </w:t>
                      </w:r>
                      <w:r w:rsidRPr="00B01850">
                        <w:rPr>
                          <w:sz w:val="36"/>
                          <w:szCs w:val="36"/>
                          <w:lang w:val="fr-FR"/>
                        </w:rPr>
                        <w:t xml:space="preserve">                                    </w:t>
                      </w:r>
                      <w:r w:rsidRPr="00B01850">
                        <w:rPr>
                          <w:rFonts w:asciiTheme="minorHAnsi" w:hAnsiTheme="minorHAnsi" w:cstheme="minorHAnsi"/>
                          <w:lang w:val="fr-FR"/>
                        </w:rPr>
                        <w:t>Comité National de Gestion des Réclamations</w:t>
                      </w:r>
                    </w:p>
                    <w:p w14:paraId="43DF068D" w14:textId="77777777" w:rsidR="00C14C18" w:rsidRPr="00B01850" w:rsidRDefault="00C14C18" w:rsidP="00C14C18">
                      <w:pPr>
                        <w:pStyle w:val="NoSpacing"/>
                        <w:rPr>
                          <w:rFonts w:asciiTheme="minorHAnsi" w:hAnsiTheme="minorHAnsi" w:cstheme="minorHAnsi"/>
                          <w:b/>
                          <w:bCs/>
                          <w:lang w:val="fr-FR"/>
                        </w:rPr>
                      </w:pPr>
                      <w:r w:rsidRPr="00B01850">
                        <w:rPr>
                          <w:rFonts w:asciiTheme="minorHAnsi" w:hAnsiTheme="minorHAnsi" w:cstheme="minorHAnsi"/>
                          <w:b/>
                          <w:bCs/>
                          <w:lang w:val="fr-FR"/>
                        </w:rPr>
                        <w:t xml:space="preserve">Gestionnaire des Plaintes : Sauvegarde Sociale assisté de Sauvegarde </w:t>
                      </w:r>
                      <w:proofErr w:type="spellStart"/>
                      <w:r w:rsidRPr="00B01850">
                        <w:rPr>
                          <w:rFonts w:asciiTheme="minorHAnsi" w:hAnsiTheme="minorHAnsi" w:cstheme="minorHAnsi"/>
                          <w:b/>
                          <w:bCs/>
                          <w:lang w:val="fr-FR"/>
                        </w:rPr>
                        <w:t>Env</w:t>
                      </w:r>
                      <w:proofErr w:type="spellEnd"/>
                    </w:p>
                  </w:txbxContent>
                </v:textbox>
              </v:rect>
            </w:pict>
          </mc:Fallback>
        </mc:AlternateContent>
      </w:r>
      <w:r w:rsidRPr="00B01850">
        <w:rPr>
          <w:noProof/>
          <w14:ligatures w14:val="standardContextual"/>
        </w:rPr>
        <mc:AlternateContent>
          <mc:Choice Requires="wps">
            <w:drawing>
              <wp:anchor distT="0" distB="0" distL="114300" distR="114300" simplePos="0" relativeHeight="251658278" behindDoc="0" locked="0" layoutInCell="1" allowOverlap="1" wp14:anchorId="4734E469" wp14:editId="532B5E85">
                <wp:simplePos x="0" y="0"/>
                <wp:positionH relativeFrom="column">
                  <wp:posOffset>2509520</wp:posOffset>
                </wp:positionH>
                <wp:positionV relativeFrom="paragraph">
                  <wp:posOffset>1258570</wp:posOffset>
                </wp:positionV>
                <wp:extent cx="3003550" cy="406400"/>
                <wp:effectExtent l="0" t="0" r="6350" b="0"/>
                <wp:wrapNone/>
                <wp:docPr id="142609835" name="Zone de texte 21"/>
                <wp:cNvGraphicFramePr/>
                <a:graphic xmlns:a="http://schemas.openxmlformats.org/drawingml/2006/main">
                  <a:graphicData uri="http://schemas.microsoft.com/office/word/2010/wordprocessingShape">
                    <wps:wsp>
                      <wps:cNvSpPr txBox="1"/>
                      <wps:spPr>
                        <a:xfrm>
                          <a:off x="0" y="0"/>
                          <a:ext cx="3003550" cy="406400"/>
                        </a:xfrm>
                        <a:prstGeom prst="rect">
                          <a:avLst/>
                        </a:prstGeom>
                        <a:solidFill>
                          <a:schemeClr val="lt1"/>
                        </a:solidFill>
                        <a:ln w="6350">
                          <a:noFill/>
                        </a:ln>
                      </wps:spPr>
                      <wps:txbx>
                        <w:txbxContent>
                          <w:p w14:paraId="6CC5E165" w14:textId="77777777" w:rsidR="00C14C18" w:rsidRPr="00B01850" w:rsidRDefault="00C14C18" w:rsidP="00C14C18">
                            <w:pPr>
                              <w:rPr>
                                <w:sz w:val="20"/>
                                <w:szCs w:val="20"/>
                              </w:rPr>
                            </w:pPr>
                            <w:r w:rsidRPr="00B01850">
                              <w:rPr>
                                <w:sz w:val="20"/>
                                <w:szCs w:val="20"/>
                              </w:rPr>
                              <w:t xml:space="preserve">Appui et échange d’information pour le traitement des plaintes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4E469" id="Zone de texte 21" o:spid="_x0000_s1042" type="#_x0000_t202" style="position:absolute;left:0;text-align:left;margin-left:197.6pt;margin-top:99.1pt;width:236.5pt;height:32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" fillcolor="white [3201]" stroked="f" strokeweight=".5pt">
                <v:textbox>
                  <w:txbxContent>
                    <w:p w14:paraId="6CC5E165" w14:textId="77777777" w:rsidR="00C14C18" w:rsidRPr="00B01850" w:rsidRDefault="00C14C18" w:rsidP="00C14C18">
                      <w:pPr>
                        <w:rPr>
                          <w:sz w:val="20"/>
                          <w:szCs w:val="20"/>
                        </w:rPr>
                      </w:pPr>
                      <w:r w:rsidRPr="00B01850">
                        <w:rPr>
                          <w:sz w:val="20"/>
                          <w:szCs w:val="20"/>
                        </w:rPr>
                        <w:t xml:space="preserve">Appui et échange d’information pour le traitement des plaintes </w:t>
                      </w:r>
                    </w:p>
                  </w:txbxContent>
                </v:textbox>
              </v:shape>
            </w:pict>
          </mc:Fallback>
        </mc:AlternateContent>
      </w:r>
      <w:r w:rsidRPr="00B01850">
        <w:rPr>
          <w:noProof/>
        </w:rPr>
        <mc:AlternateContent>
          <mc:Choice Requires="wps">
            <w:drawing>
              <wp:anchor distT="0" distB="0" distL="114300" distR="114300" simplePos="0" relativeHeight="251658254" behindDoc="0" locked="0" layoutInCell="1" allowOverlap="1" wp14:anchorId="41D5EE01" wp14:editId="47188676">
                <wp:simplePos x="0" y="0"/>
                <wp:positionH relativeFrom="column">
                  <wp:posOffset>6263322</wp:posOffset>
                </wp:positionH>
                <wp:positionV relativeFrom="paragraph">
                  <wp:posOffset>501881</wp:posOffset>
                </wp:positionV>
                <wp:extent cx="1550035" cy="719455"/>
                <wp:effectExtent l="19050" t="19050" r="12065" b="23495"/>
                <wp:wrapNone/>
                <wp:docPr id="1473243825" name="Rectangle 5"/>
                <wp:cNvGraphicFramePr/>
                <a:graphic xmlns:a="http://schemas.openxmlformats.org/drawingml/2006/main">
                  <a:graphicData uri="http://schemas.microsoft.com/office/word/2010/wordprocessingShape">
                    <wps:wsp>
                      <wps:cNvSpPr/>
                      <wps:spPr>
                        <a:xfrm>
                          <a:off x="0" y="0"/>
                          <a:ext cx="1550035" cy="719455"/>
                        </a:xfrm>
                        <a:prstGeom prst="rect">
                          <a:avLst/>
                        </a:prstGeom>
                        <a:solidFill>
                          <a:srgbClr val="FFFFFF"/>
                        </a:solidFill>
                        <a:ln w="38103" cap="flat">
                          <a:solidFill>
                            <a:srgbClr val="4472C4"/>
                          </a:solidFill>
                          <a:prstDash val="solid"/>
                          <a:miter/>
                        </a:ln>
                      </wps:spPr>
                      <wps:txbx>
                        <w:txbxContent>
                          <w:p w14:paraId="7F55A147" w14:textId="77777777" w:rsidR="00C14C18" w:rsidRPr="00B01850" w:rsidRDefault="00C14C18" w:rsidP="00C14C18">
                            <w:r w:rsidRPr="00B01850">
                              <w:rPr>
                                <w:b/>
                                <w:bCs/>
                                <w:sz w:val="20"/>
                                <w:szCs w:val="20"/>
                              </w:rPr>
                              <w:t xml:space="preserve"> </w:t>
                            </w:r>
                            <w:r w:rsidRPr="00B01850">
                              <w:rPr>
                                <w:b/>
                                <w:bCs/>
                                <w:sz w:val="20"/>
                                <w:szCs w:val="20"/>
                                <w:u w:val="single"/>
                              </w:rPr>
                              <w:t>C. Rurale/</w:t>
                            </w:r>
                            <w:proofErr w:type="spellStart"/>
                            <w:r w:rsidRPr="00B01850">
                              <w:rPr>
                                <w:b/>
                                <w:bCs/>
                                <w:sz w:val="20"/>
                                <w:szCs w:val="20"/>
                                <w:u w:val="single"/>
                              </w:rPr>
                              <w:t>C.Urbaine</w:t>
                            </w:r>
                            <w:proofErr w:type="spellEnd"/>
                          </w:p>
                          <w:p w14:paraId="13192CB0" w14:textId="77777777" w:rsidR="00C14C18" w:rsidRPr="00B01850" w:rsidRDefault="00C14C18" w:rsidP="00C14C18">
                            <w:pPr>
                              <w:rPr>
                                <w:sz w:val="20"/>
                                <w:szCs w:val="20"/>
                              </w:rPr>
                            </w:pPr>
                            <w:r w:rsidRPr="00B01850">
                              <w:rPr>
                                <w:sz w:val="20"/>
                                <w:szCs w:val="20"/>
                              </w:rPr>
                              <w:t xml:space="preserve">Comité de Gestion des Réclamations </w:t>
                            </w:r>
                            <w:r w:rsidRPr="00B01850">
                              <w:rPr>
                                <w:b/>
                                <w:bCs/>
                                <w:sz w:val="20"/>
                                <w:szCs w:val="20"/>
                              </w:rPr>
                              <w:t>(CGR)</w:t>
                            </w:r>
                          </w:p>
                          <w:p w14:paraId="47D41435" w14:textId="77777777" w:rsidR="00C14C18" w:rsidRPr="00B01850" w:rsidRDefault="00C14C18" w:rsidP="00C14C18">
                            <w:pPr>
                              <w:jc w:val="center"/>
                              <w:rPr>
                                <w:sz w:val="20"/>
                                <w:szCs w:val="20"/>
                              </w:rPr>
                            </w:pPr>
                          </w:p>
                        </w:txbxContent>
                      </wps:txbx>
                      <wps:bodyPr vert="horz" wrap="square" lIns="91440" tIns="45720" rIns="91440" bIns="45720" anchor="ctr" anchorCtr="0" compatLnSpc="1">
                        <a:noAutofit/>
                      </wps:bodyPr>
                    </wps:wsp>
                  </a:graphicData>
                </a:graphic>
              </wp:anchor>
            </w:drawing>
          </mc:Choice>
          <mc:Fallback>
            <w:pict>
              <v:rect w14:anchorId="41D5EE01" id="Rectangle 5" o:spid="_x0000_s1043" style="position:absolute;left:0;text-align:left;margin-left:493.15pt;margin-top:39.5pt;width:122.05pt;height:56.65pt;z-index:25165825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" strokecolor="#4472c4" strokeweight="1.0584mm">
                <v:textbox>
                  <w:txbxContent>
                    <w:p w14:paraId="7F55A147" w14:textId="77777777" w:rsidR="00C14C18" w:rsidRPr="00B01850" w:rsidRDefault="00C14C18" w:rsidP="00C14C18">
                      <w:r w:rsidRPr="00B01850">
                        <w:rPr>
                          <w:b/>
                          <w:bCs/>
                          <w:sz w:val="20"/>
                          <w:szCs w:val="20"/>
                        </w:rPr>
                        <w:t xml:space="preserve"> </w:t>
                      </w:r>
                      <w:r w:rsidRPr="00B01850">
                        <w:rPr>
                          <w:b/>
                          <w:bCs/>
                          <w:sz w:val="20"/>
                          <w:szCs w:val="20"/>
                          <w:u w:val="single"/>
                        </w:rPr>
                        <w:t>C. Rurale/</w:t>
                      </w:r>
                      <w:proofErr w:type="spellStart"/>
                      <w:r w:rsidRPr="00B01850">
                        <w:rPr>
                          <w:b/>
                          <w:bCs/>
                          <w:sz w:val="20"/>
                          <w:szCs w:val="20"/>
                          <w:u w:val="single"/>
                        </w:rPr>
                        <w:t>C.Urbaine</w:t>
                      </w:r>
                      <w:proofErr w:type="spellEnd"/>
                    </w:p>
                    <w:p w14:paraId="13192CB0" w14:textId="77777777" w:rsidR="00C14C18" w:rsidRPr="00B01850" w:rsidRDefault="00C14C18" w:rsidP="00C14C18">
                      <w:pPr>
                        <w:rPr>
                          <w:sz w:val="20"/>
                          <w:szCs w:val="20"/>
                        </w:rPr>
                      </w:pPr>
                      <w:r w:rsidRPr="00B01850">
                        <w:rPr>
                          <w:sz w:val="20"/>
                          <w:szCs w:val="20"/>
                        </w:rPr>
                        <w:t xml:space="preserve">Comité de Gestion des Réclamations </w:t>
                      </w:r>
                      <w:r w:rsidRPr="00B01850">
                        <w:rPr>
                          <w:b/>
                          <w:bCs/>
                          <w:sz w:val="20"/>
                          <w:szCs w:val="20"/>
                        </w:rPr>
                        <w:t>(CGR)</w:t>
                      </w:r>
                    </w:p>
                    <w:p w14:paraId="47D41435" w14:textId="77777777" w:rsidR="00C14C18" w:rsidRPr="00B01850" w:rsidRDefault="00C14C18" w:rsidP="00C14C18">
                      <w:pPr>
                        <w:jc w:val="center"/>
                        <w:rPr>
                          <w:sz w:val="20"/>
                          <w:szCs w:val="20"/>
                        </w:rPr>
                      </w:pPr>
                    </w:p>
                  </w:txbxContent>
                </v:textbox>
              </v:rect>
            </w:pict>
          </mc:Fallback>
        </mc:AlternateContent>
      </w:r>
      <w:r w:rsidRPr="00B01850">
        <w:rPr>
          <w:noProof/>
        </w:rPr>
        <mc:AlternateContent>
          <mc:Choice Requires="wps">
            <w:drawing>
              <wp:anchor distT="0" distB="0" distL="114300" distR="114300" simplePos="0" relativeHeight="251658263" behindDoc="0" locked="0" layoutInCell="1" allowOverlap="1" wp14:anchorId="12EB3E80" wp14:editId="65C981F9">
                <wp:simplePos x="0" y="0"/>
                <wp:positionH relativeFrom="column">
                  <wp:posOffset>6959600</wp:posOffset>
                </wp:positionH>
                <wp:positionV relativeFrom="paragraph">
                  <wp:posOffset>334912</wp:posOffset>
                </wp:positionV>
                <wp:extent cx="95250" cy="198120"/>
                <wp:effectExtent l="19050" t="0" r="38100" b="30480"/>
                <wp:wrapNone/>
                <wp:docPr id="1018231500" name="Flèche : bas 1018231500"/>
                <wp:cNvGraphicFramePr/>
                <a:graphic xmlns:a="http://schemas.openxmlformats.org/drawingml/2006/main">
                  <a:graphicData uri="http://schemas.microsoft.com/office/word/2010/wordprocessingShape">
                    <wps:wsp>
                      <wps:cNvSpPr/>
                      <wps:spPr>
                        <a:xfrm>
                          <a:off x="0" y="0"/>
                          <a:ext cx="95250" cy="198120"/>
                        </a:xfrm>
                        <a:prstGeom prst="downArrow">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64850" id="Flèche : bas 1018231500" o:spid="_x0000_s1026" type="#_x0000_t67" style="position:absolute;margin-left:548pt;margin-top:26.35pt;width:7.5pt;height:15.6pt;z-index:2516848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" adj="16408" fillcolor="#f79646 [3209]" strokecolor="#f79646 [3209]" strokeweight="2pt"/>
            </w:pict>
          </mc:Fallback>
        </mc:AlternateContent>
      </w:r>
      <w:r w:rsidRPr="00B01850">
        <w:rPr>
          <w:noProof/>
        </w:rPr>
        <mc:AlternateContent>
          <mc:Choice Requires="wps">
            <w:drawing>
              <wp:anchor distT="0" distB="0" distL="114300" distR="114300" simplePos="0" relativeHeight="251658251" behindDoc="0" locked="0" layoutInCell="1" allowOverlap="1" wp14:anchorId="7E8C269D" wp14:editId="61B24A39">
                <wp:simplePos x="0" y="0"/>
                <wp:positionH relativeFrom="column">
                  <wp:posOffset>1997582</wp:posOffset>
                </wp:positionH>
                <wp:positionV relativeFrom="paragraph">
                  <wp:posOffset>2077720</wp:posOffset>
                </wp:positionV>
                <wp:extent cx="1649730" cy="685800"/>
                <wp:effectExtent l="57150" t="57150" r="7620" b="57150"/>
                <wp:wrapNone/>
                <wp:docPr id="1605652866" name="Explosion : 8 points 27"/>
                <wp:cNvGraphicFramePr/>
                <a:graphic xmlns:a="http://schemas.openxmlformats.org/drawingml/2006/main">
                  <a:graphicData uri="http://schemas.microsoft.com/office/word/2010/wordprocessingShape">
                    <wps:wsp>
                      <wps:cNvSpPr/>
                      <wps:spPr>
                        <a:xfrm>
                          <a:off x="0" y="0"/>
                          <a:ext cx="1649730" cy="685800"/>
                        </a:xfrm>
                        <a:custGeom>
                          <a:avLst/>
                          <a:gdLst>
                            <a:gd name="f0" fmla="val 10800000"/>
                            <a:gd name="f1" fmla="val 5400000"/>
                            <a:gd name="f2" fmla="val 180"/>
                            <a:gd name="f3" fmla="val w"/>
                            <a:gd name="f4" fmla="val h"/>
                            <a:gd name="f5" fmla="val 0"/>
                            <a:gd name="f6" fmla="val 21600"/>
                            <a:gd name="f7" fmla="val 10800"/>
                            <a:gd name="f8" fmla="val 5800"/>
                            <a:gd name="f9" fmla="val 14522"/>
                            <a:gd name="f10" fmla="val 14155"/>
                            <a:gd name="f11" fmla="val 5325"/>
                            <a:gd name="f12" fmla="val 18380"/>
                            <a:gd name="f13" fmla="val 4457"/>
                            <a:gd name="f14" fmla="val 16702"/>
                            <a:gd name="f15" fmla="val 7315"/>
                            <a:gd name="f16" fmla="val 21097"/>
                            <a:gd name="f17" fmla="val 8137"/>
                            <a:gd name="f18" fmla="val 17607"/>
                            <a:gd name="f19" fmla="val 10475"/>
                            <a:gd name="f20" fmla="val 13290"/>
                            <a:gd name="f21" fmla="val 16837"/>
                            <a:gd name="f22" fmla="val 12942"/>
                            <a:gd name="f23" fmla="val 18145"/>
                            <a:gd name="f24" fmla="val 18095"/>
                            <a:gd name="f25" fmla="val 14020"/>
                            <a:gd name="f26" fmla="val 14457"/>
                            <a:gd name="f27" fmla="val 13247"/>
                            <a:gd name="f28" fmla="val 19737"/>
                            <a:gd name="f29" fmla="val 10532"/>
                            <a:gd name="f30" fmla="val 14935"/>
                            <a:gd name="f31" fmla="val 8485"/>
                            <a:gd name="f32" fmla="val 7715"/>
                            <a:gd name="f33" fmla="val 15627"/>
                            <a:gd name="f34" fmla="val 4762"/>
                            <a:gd name="f35" fmla="val 17617"/>
                            <a:gd name="f36" fmla="val 5667"/>
                            <a:gd name="f37" fmla="val 13937"/>
                            <a:gd name="f38" fmla="val 135"/>
                            <a:gd name="f39" fmla="val 14587"/>
                            <a:gd name="f40" fmla="val 3722"/>
                            <a:gd name="f41" fmla="val 11775"/>
                            <a:gd name="f42" fmla="val 8615"/>
                            <a:gd name="f43" fmla="val 4627"/>
                            <a:gd name="f44" fmla="val 7617"/>
                            <a:gd name="f45" fmla="val 370"/>
                            <a:gd name="f46" fmla="val 2295"/>
                            <a:gd name="f47" fmla="val 7312"/>
                            <a:gd name="f48" fmla="val 6320"/>
                            <a:gd name="f49" fmla="val 8352"/>
                            <a:gd name="f50" fmla="+- 0 0 -360"/>
                            <a:gd name="f51" fmla="+- 0 0 -270"/>
                            <a:gd name="f52" fmla="+- 0 0 -180"/>
                            <a:gd name="f53" fmla="+- 0 0 -90"/>
                            <a:gd name="f54" fmla="*/ f3 1 21600"/>
                            <a:gd name="f55" fmla="*/ f4 1 21600"/>
                            <a:gd name="f56" fmla="+- f6 0 f5"/>
                            <a:gd name="f57" fmla="*/ f50 f0 1"/>
                            <a:gd name="f58" fmla="*/ f51 f0 1"/>
                            <a:gd name="f59" fmla="*/ f52 f0 1"/>
                            <a:gd name="f60" fmla="*/ f53 f0 1"/>
                            <a:gd name="f61" fmla="*/ f56 1 21600"/>
                            <a:gd name="f62" fmla="*/ f56 4627 1"/>
                            <a:gd name="f63" fmla="*/ f56 8485 1"/>
                            <a:gd name="f64" fmla="*/ f56 16702 1"/>
                            <a:gd name="f65" fmla="*/ f56 14522 1"/>
                            <a:gd name="f66" fmla="*/ f56 6320 1"/>
                            <a:gd name="f67" fmla="*/ f56 8615 1"/>
                            <a:gd name="f68" fmla="*/ f56 13937 1"/>
                            <a:gd name="f69" fmla="*/ f56 13290 1"/>
                            <a:gd name="f70" fmla="*/ f57 1 f2"/>
                            <a:gd name="f71" fmla="*/ f58 1 f2"/>
                            <a:gd name="f72" fmla="*/ f59 1 f2"/>
                            <a:gd name="f73" fmla="*/ f60 1 f2"/>
                            <a:gd name="f74" fmla="*/ f62 1 21600"/>
                            <a:gd name="f75" fmla="*/ f63 1 21600"/>
                            <a:gd name="f76" fmla="*/ f64 1 21600"/>
                            <a:gd name="f77" fmla="*/ f65 1 21600"/>
                            <a:gd name="f78" fmla="*/ f66 1 21600"/>
                            <a:gd name="f79" fmla="*/ f67 1 21600"/>
                            <a:gd name="f80" fmla="*/ f68 1 21600"/>
                            <a:gd name="f81" fmla="*/ f69 1 21600"/>
                            <a:gd name="f82" fmla="*/ f5 1 f61"/>
                            <a:gd name="f83" fmla="*/ f6 1 f61"/>
                            <a:gd name="f84" fmla="+- f70 0 f1"/>
                            <a:gd name="f85" fmla="+- f71 0 f1"/>
                            <a:gd name="f86" fmla="+- f72 0 f1"/>
                            <a:gd name="f87" fmla="+- f73 0 f1"/>
                            <a:gd name="f88" fmla="*/ f77 1 f61"/>
                            <a:gd name="f89" fmla="*/ f79 1 f61"/>
                            <a:gd name="f90" fmla="*/ f75 1 f61"/>
                            <a:gd name="f91" fmla="*/ f81 1 f61"/>
                            <a:gd name="f92" fmla="*/ f74 1 f61"/>
                            <a:gd name="f93" fmla="*/ f76 1 f61"/>
                            <a:gd name="f94" fmla="*/ f78 1 f61"/>
                            <a:gd name="f95" fmla="*/ f80 1 f61"/>
                            <a:gd name="f96" fmla="*/ f82 f55 1"/>
                            <a:gd name="f97" fmla="*/ f82 f54 1"/>
                            <a:gd name="f98" fmla="*/ f83 f55 1"/>
                            <a:gd name="f99" fmla="*/ f83 f54 1"/>
                            <a:gd name="f100" fmla="*/ f92 f54 1"/>
                            <a:gd name="f101" fmla="*/ f93 f54 1"/>
                            <a:gd name="f102" fmla="*/ f95 f55 1"/>
                            <a:gd name="f103" fmla="*/ f94 f55 1"/>
                            <a:gd name="f104" fmla="*/ f88 f54 1"/>
                            <a:gd name="f105" fmla="*/ f89 f55 1"/>
                            <a:gd name="f106" fmla="*/ f90 f54 1"/>
                            <a:gd name="f107" fmla="*/ f91 f55 1"/>
                          </a:gdLst>
                          <a:ahLst/>
                          <a:cxnLst>
                            <a:cxn ang="3cd4">
                              <a:pos x="hc" y="t"/>
                            </a:cxn>
                            <a:cxn ang="0">
                              <a:pos x="r" y="vc"/>
                            </a:cxn>
                            <a:cxn ang="cd4">
                              <a:pos x="hc" y="b"/>
                            </a:cxn>
                            <a:cxn ang="cd2">
                              <a:pos x="l" y="vc"/>
                            </a:cxn>
                            <a:cxn ang="f84">
                              <a:pos x="f104" y="f96"/>
                            </a:cxn>
                            <a:cxn ang="f85">
                              <a:pos x="f97" y="f105"/>
                            </a:cxn>
                            <a:cxn ang="f86">
                              <a:pos x="f106" y="f98"/>
                            </a:cxn>
                            <a:cxn ang="f87">
                              <a:pos x="f99" y="f107"/>
                            </a:cxn>
                          </a:cxnLst>
                          <a:rect l="f100" t="f103" r="f101" b="f102"/>
                          <a:pathLst>
                            <a:path w="21600" h="21600">
                              <a:moveTo>
                                <a:pt x="f7" y="f8"/>
                              </a:moveTo>
                              <a:lnTo>
                                <a:pt x="f9" y="f5"/>
                              </a:lnTo>
                              <a:lnTo>
                                <a:pt x="f10" y="f11"/>
                              </a:lnTo>
                              <a:lnTo>
                                <a:pt x="f12" y="f13"/>
                              </a:lnTo>
                              <a:lnTo>
                                <a:pt x="f14" y="f15"/>
                              </a:lnTo>
                              <a:lnTo>
                                <a:pt x="f16" y="f17"/>
                              </a:lnTo>
                              <a:lnTo>
                                <a:pt x="f18" y="f19"/>
                              </a:lnTo>
                              <a:lnTo>
                                <a:pt x="f6" y="f20"/>
                              </a:lnTo>
                              <a:lnTo>
                                <a:pt x="f21" y="f22"/>
                              </a:lnTo>
                              <a:lnTo>
                                <a:pt x="f23" y="f24"/>
                              </a:lnTo>
                              <a:lnTo>
                                <a:pt x="f25" y="f26"/>
                              </a:lnTo>
                              <a:lnTo>
                                <a:pt x="f27" y="f28"/>
                              </a:lnTo>
                              <a:lnTo>
                                <a:pt x="f29" y="f30"/>
                              </a:lnTo>
                              <a:lnTo>
                                <a:pt x="f31" y="f6"/>
                              </a:lnTo>
                              <a:lnTo>
                                <a:pt x="f32" y="f33"/>
                              </a:lnTo>
                              <a:lnTo>
                                <a:pt x="f34" y="f35"/>
                              </a:lnTo>
                              <a:lnTo>
                                <a:pt x="f36" y="f37"/>
                              </a:lnTo>
                              <a:lnTo>
                                <a:pt x="f38" y="f39"/>
                              </a:lnTo>
                              <a:lnTo>
                                <a:pt x="f40" y="f41"/>
                              </a:lnTo>
                              <a:lnTo>
                                <a:pt x="f5" y="f42"/>
                              </a:lnTo>
                              <a:lnTo>
                                <a:pt x="f43" y="f44"/>
                              </a:lnTo>
                              <a:lnTo>
                                <a:pt x="f45" y="f46"/>
                              </a:lnTo>
                              <a:lnTo>
                                <a:pt x="f47" y="f48"/>
                              </a:lnTo>
                              <a:lnTo>
                                <a:pt x="f49" y="f46"/>
                              </a:lnTo>
                              <a:close/>
                            </a:path>
                          </a:pathLst>
                        </a:custGeom>
                        <a:solidFill>
                          <a:srgbClr val="FFFFFF"/>
                        </a:solidFill>
                        <a:ln w="28575" cap="flat">
                          <a:solidFill>
                            <a:srgbClr val="4472C4"/>
                          </a:solidFill>
                          <a:prstDash val="solid"/>
                          <a:miter/>
                        </a:ln>
                      </wps:spPr>
                      <wps:txbx>
                        <w:txbxContent>
                          <w:p w14:paraId="6E66621A" w14:textId="77777777" w:rsidR="00C14C18" w:rsidRPr="00B01850" w:rsidRDefault="00C14C18" w:rsidP="00C14C18">
                            <w:pPr>
                              <w:jc w:val="center"/>
                              <w:rPr>
                                <w:sz w:val="20"/>
                                <w:szCs w:val="20"/>
                              </w:rPr>
                            </w:pPr>
                            <w:r w:rsidRPr="00B01850">
                              <w:rPr>
                                <w:sz w:val="20"/>
                                <w:szCs w:val="20"/>
                              </w:rPr>
                              <w:t>STANDARD</w:t>
                            </w:r>
                          </w:p>
                        </w:txbxContent>
                      </wps:txbx>
                      <wps:bodyPr vert="horz" wrap="square" lIns="91440" tIns="45720" rIns="91440" bIns="45720" anchor="ctr" anchorCtr="0" compatLnSpc="1">
                        <a:noAutofit/>
                      </wps:bodyPr>
                    </wps:wsp>
                  </a:graphicData>
                </a:graphic>
                <wp14:sizeRelH relativeFrom="margin">
                  <wp14:pctWidth>0</wp14:pctWidth>
                </wp14:sizeRelH>
                <wp14:sizeRelV relativeFrom="margin">
                  <wp14:pctHeight>0</wp14:pctHeight>
                </wp14:sizeRelV>
              </wp:anchor>
            </w:drawing>
          </mc:Choice>
          <mc:Fallback>
            <w:pict>
              <v:shape w14:anchorId="7E8C269D" id="Explosion : 8 points 27" o:spid="_x0000_s1044" style="position:absolute;left:0;text-align:left;margin-left:157.3pt;margin-top:163.6pt;width:129.9pt;height:54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" adj="-11796480,,5400" path="m10800,5800l14522,r-367,5325l18380,4457,16702,7315r4395,822l17607,10475r3993,2815l16837,12942r1308,5153l14020,14457r-773,5280l10532,14935,8485,21600,7715,15627,4762,17617r905,-3680l135,14587,3722,11775,,8615,4627,7617,370,2295,7312,6320,8352,2295r2448,3505xe" strokecolor="#4472c4" strokeweight="2.25pt">
                <v:stroke joinstyle="miter"/>
                <v:formulas/>
                <v:path arrowok="t" o:connecttype="custom" o:connectlocs="824865,0;1649730,342900;824865,685800;0,342900;1109138,0;0,273526;648054,685800;1649730,421958" o:connectangles="270,0,90,180,270,180,90,0" textboxrect="4627,6320,16702,13937"/>
                <v:textbox>
                  <w:txbxContent>
                    <w:p w14:paraId="6E66621A" w14:textId="77777777" w:rsidR="00C14C18" w:rsidRPr="00B01850" w:rsidRDefault="00C14C18" w:rsidP="00C14C18">
                      <w:pPr>
                        <w:jc w:val="center"/>
                        <w:rPr>
                          <w:sz w:val="20"/>
                          <w:szCs w:val="20"/>
                        </w:rPr>
                      </w:pPr>
                      <w:r w:rsidRPr="00B01850">
                        <w:rPr>
                          <w:sz w:val="20"/>
                          <w:szCs w:val="20"/>
                        </w:rPr>
                        <w:t>STANDARD</w:t>
                      </w:r>
                    </w:p>
                  </w:txbxContent>
                </v:textbox>
              </v:shape>
            </w:pict>
          </mc:Fallback>
        </mc:AlternateContent>
      </w:r>
      <w:r w:rsidRPr="00B01850">
        <w:rPr>
          <w:noProof/>
          <w14:ligatures w14:val="standardContextual"/>
        </w:rPr>
        <mc:AlternateContent>
          <mc:Choice Requires="wps">
            <w:drawing>
              <wp:anchor distT="0" distB="0" distL="114300" distR="114300" simplePos="0" relativeHeight="251658271" behindDoc="0" locked="0" layoutInCell="1" allowOverlap="1" wp14:anchorId="0FD649D9" wp14:editId="2ADBB4D8">
                <wp:simplePos x="0" y="0"/>
                <wp:positionH relativeFrom="column">
                  <wp:posOffset>2378710</wp:posOffset>
                </wp:positionH>
                <wp:positionV relativeFrom="paragraph">
                  <wp:posOffset>300143</wp:posOffset>
                </wp:positionV>
                <wp:extent cx="153378" cy="1918574"/>
                <wp:effectExtent l="361950" t="0" r="361315" b="0"/>
                <wp:wrapNone/>
                <wp:docPr id="711829378" name="Flèche : bas 9"/>
                <wp:cNvGraphicFramePr/>
                <a:graphic xmlns:a="http://schemas.openxmlformats.org/drawingml/2006/main">
                  <a:graphicData uri="http://schemas.microsoft.com/office/word/2010/wordprocessingShape">
                    <wps:wsp>
                      <wps:cNvSpPr/>
                      <wps:spPr>
                        <a:xfrm rot="1419994">
                          <a:off x="0" y="0"/>
                          <a:ext cx="153378" cy="1918574"/>
                        </a:xfrm>
                        <a:prstGeom prst="downArrow">
                          <a:avLst/>
                        </a:prstGeom>
                        <a:solidFill>
                          <a:schemeClr val="accent6"/>
                        </a:solidFill>
                        <a:ln>
                          <a:solidFill>
                            <a:schemeClr val="accent6"/>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8EF801" id="Flèche : bas 9" o:spid="_x0000_s1026" type="#_x0000_t67" style="position:absolute;margin-left:187.3pt;margin-top:23.65pt;width:12.1pt;height:151.05pt;rotation:1551012fd;z-index:2516930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" adj="20737" fillcolor="#f79646 [3209]" strokecolor="#f79646 [3209]" strokeweight="2pt"/>
            </w:pict>
          </mc:Fallback>
        </mc:AlternateContent>
      </w:r>
      <w:r w:rsidRPr="00B01850">
        <w:rPr>
          <w:noProof/>
          <w14:ligatures w14:val="standardContextual"/>
        </w:rPr>
        <mc:AlternateContent>
          <mc:Choice Requires="wps">
            <w:drawing>
              <wp:anchor distT="0" distB="0" distL="114300" distR="114300" simplePos="0" relativeHeight="251658267" behindDoc="0" locked="0" layoutInCell="1" allowOverlap="1" wp14:anchorId="49B57FFC" wp14:editId="52FBC541">
                <wp:simplePos x="0" y="0"/>
                <wp:positionH relativeFrom="column">
                  <wp:posOffset>1544320</wp:posOffset>
                </wp:positionH>
                <wp:positionV relativeFrom="paragraph">
                  <wp:posOffset>1645920</wp:posOffset>
                </wp:positionV>
                <wp:extent cx="4895850" cy="82550"/>
                <wp:effectExtent l="0" t="95250" r="76200" b="107950"/>
                <wp:wrapNone/>
                <wp:docPr id="293271319" name="Connecteur droit avec flèche 8"/>
                <wp:cNvGraphicFramePr/>
                <a:graphic xmlns:a="http://schemas.openxmlformats.org/drawingml/2006/main">
                  <a:graphicData uri="http://schemas.microsoft.com/office/word/2010/wordprocessingShape">
                    <wps:wsp>
                      <wps:cNvCnPr/>
                      <wps:spPr>
                        <a:xfrm>
                          <a:off x="0" y="0"/>
                          <a:ext cx="4895850" cy="82550"/>
                        </a:xfrm>
                        <a:prstGeom prst="straightConnector1">
                          <a:avLst/>
                        </a:prstGeom>
                        <a:ln w="38100">
                          <a:solidFill>
                            <a:schemeClr val="accent2"/>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C116FA" id="Connecteur droit avec flèche 8" o:spid="_x0000_s1026" type="#_x0000_t32" style="position:absolute;margin-left:121.6pt;margin-top:129.6pt;width:385.5pt;height:6.5pt;z-index:2516889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" strokecolor="#c0504d [3205]" strokeweight="3pt">
                <v:stroke dashstyle="3 1" startarrow="block" endarrow="block"/>
              </v:shape>
            </w:pict>
          </mc:Fallback>
        </mc:AlternateContent>
      </w:r>
      <w:r w:rsidRPr="00B01850">
        <w:rPr>
          <w:noProof/>
          <w14:ligatures w14:val="standardContextual"/>
        </w:rPr>
        <mc:AlternateContent>
          <mc:Choice Requires="wps">
            <w:drawing>
              <wp:anchor distT="0" distB="0" distL="114300" distR="114300" simplePos="0" relativeHeight="251658276" behindDoc="0" locked="0" layoutInCell="1" allowOverlap="1" wp14:anchorId="1FCB3F3C" wp14:editId="5345947F">
                <wp:simplePos x="0" y="0"/>
                <wp:positionH relativeFrom="column">
                  <wp:posOffset>6656070</wp:posOffset>
                </wp:positionH>
                <wp:positionV relativeFrom="paragraph">
                  <wp:posOffset>1228725</wp:posOffset>
                </wp:positionV>
                <wp:extent cx="133350" cy="241300"/>
                <wp:effectExtent l="19050" t="19050" r="38100" b="25400"/>
                <wp:wrapNone/>
                <wp:docPr id="1214459548" name="Flèche : haut 17"/>
                <wp:cNvGraphicFramePr/>
                <a:graphic xmlns:a="http://schemas.openxmlformats.org/drawingml/2006/main">
                  <a:graphicData uri="http://schemas.microsoft.com/office/word/2010/wordprocessingShape">
                    <wps:wsp>
                      <wps:cNvSpPr/>
                      <wps:spPr>
                        <a:xfrm>
                          <a:off x="0" y="0"/>
                          <a:ext cx="133350" cy="241300"/>
                        </a:xfrm>
                        <a:prstGeom prst="upArrow">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DE023" id="Flèche : haut 17" o:spid="_x0000_s1026" type="#_x0000_t68" style="position:absolute;margin-left:524.1pt;margin-top:96.75pt;width:10.5pt;height:19pt;z-index:251698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" adj="5968" fillcolor="black [3213]" strokecolor="#0a121c [484]" strokeweight="2pt"/>
            </w:pict>
          </mc:Fallback>
        </mc:AlternateContent>
      </w:r>
      <w:r w:rsidRPr="00B01850">
        <w:rPr>
          <w:noProof/>
        </w:rPr>
        <mc:AlternateContent>
          <mc:Choice Requires="wps">
            <w:drawing>
              <wp:anchor distT="0" distB="0" distL="114300" distR="114300" simplePos="0" relativeHeight="251658262" behindDoc="0" locked="0" layoutInCell="1" allowOverlap="1" wp14:anchorId="2F5EB2B7" wp14:editId="5EFAE381">
                <wp:simplePos x="0" y="0"/>
                <wp:positionH relativeFrom="column">
                  <wp:posOffset>7002780</wp:posOffset>
                </wp:positionH>
                <wp:positionV relativeFrom="paragraph">
                  <wp:posOffset>1259840</wp:posOffset>
                </wp:positionV>
                <wp:extent cx="95250" cy="198120"/>
                <wp:effectExtent l="19050" t="0" r="38100" b="30480"/>
                <wp:wrapNone/>
                <wp:docPr id="543974624" name="Flèche : bas 543974624"/>
                <wp:cNvGraphicFramePr/>
                <a:graphic xmlns:a="http://schemas.openxmlformats.org/drawingml/2006/main">
                  <a:graphicData uri="http://schemas.microsoft.com/office/word/2010/wordprocessingShape">
                    <wps:wsp>
                      <wps:cNvSpPr/>
                      <wps:spPr>
                        <a:xfrm>
                          <a:off x="0" y="0"/>
                          <a:ext cx="95250" cy="198120"/>
                        </a:xfrm>
                        <a:prstGeom prst="downArrow">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65DF7" id="Flèche : bas 543974624" o:spid="_x0000_s1026" type="#_x0000_t67" style="position:absolute;margin-left:551.4pt;margin-top:99.2pt;width:7.5pt;height:15.6pt;z-index:2516838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" adj="16408" fillcolor="#f79646 [3209]" strokecolor="#f79646 [3209]" strokeweight="2pt"/>
            </w:pict>
          </mc:Fallback>
        </mc:AlternateContent>
      </w:r>
      <w:r w:rsidRPr="00B01850">
        <w:rPr>
          <w:noProof/>
          <w14:ligatures w14:val="standardContextual"/>
        </w:rPr>
        <mc:AlternateContent>
          <mc:Choice Requires="wps">
            <w:drawing>
              <wp:anchor distT="0" distB="0" distL="114300" distR="114300" simplePos="0" relativeHeight="251658280" behindDoc="0" locked="0" layoutInCell="1" allowOverlap="1" wp14:anchorId="59F6C193" wp14:editId="6A6D0BF3">
                <wp:simplePos x="0" y="0"/>
                <wp:positionH relativeFrom="column">
                  <wp:posOffset>6565900</wp:posOffset>
                </wp:positionH>
                <wp:positionV relativeFrom="paragraph">
                  <wp:posOffset>266065</wp:posOffset>
                </wp:positionV>
                <wp:extent cx="133350" cy="241300"/>
                <wp:effectExtent l="19050" t="19050" r="38100" b="25400"/>
                <wp:wrapNone/>
                <wp:docPr id="1798015223" name="Flèche : haut 17"/>
                <wp:cNvGraphicFramePr/>
                <a:graphic xmlns:a="http://schemas.openxmlformats.org/drawingml/2006/main">
                  <a:graphicData uri="http://schemas.microsoft.com/office/word/2010/wordprocessingShape">
                    <wps:wsp>
                      <wps:cNvSpPr/>
                      <wps:spPr>
                        <a:xfrm>
                          <a:off x="0" y="0"/>
                          <a:ext cx="133350" cy="241300"/>
                        </a:xfrm>
                        <a:prstGeom prst="upArrow">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61302F" id="Flèche : haut 17" o:spid="_x0000_s1026" type="#_x0000_t68" style="position:absolute;margin-left:517pt;margin-top:20.95pt;width:10.5pt;height:19pt;z-index:2517022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" adj="5968" fillcolor="black [3213]" strokecolor="#0a121c [484]" strokeweight="2pt"/>
            </w:pict>
          </mc:Fallback>
        </mc:AlternateContent>
      </w:r>
      <w:r w:rsidRPr="00B01850">
        <w:rPr>
          <w:noProof/>
          <w14:ligatures w14:val="standardContextual"/>
        </w:rPr>
        <mc:AlternateContent>
          <mc:Choice Requires="wps">
            <w:drawing>
              <wp:anchor distT="0" distB="0" distL="114300" distR="114300" simplePos="0" relativeHeight="251658266" behindDoc="0" locked="0" layoutInCell="1" allowOverlap="1" wp14:anchorId="74706A87" wp14:editId="17B3A38C">
                <wp:simplePos x="0" y="0"/>
                <wp:positionH relativeFrom="column">
                  <wp:posOffset>1487170</wp:posOffset>
                </wp:positionH>
                <wp:positionV relativeFrom="paragraph">
                  <wp:posOffset>902969</wp:posOffset>
                </wp:positionV>
                <wp:extent cx="4692650" cy="45719"/>
                <wp:effectExtent l="0" t="95250" r="88900" b="107315"/>
                <wp:wrapNone/>
                <wp:docPr id="258992412" name="Connecteur droit avec flèche 8"/>
                <wp:cNvGraphicFramePr/>
                <a:graphic xmlns:a="http://schemas.openxmlformats.org/drawingml/2006/main">
                  <a:graphicData uri="http://schemas.microsoft.com/office/word/2010/wordprocessingShape">
                    <wps:wsp>
                      <wps:cNvCnPr/>
                      <wps:spPr>
                        <a:xfrm>
                          <a:off x="0" y="0"/>
                          <a:ext cx="4692650" cy="45719"/>
                        </a:xfrm>
                        <a:prstGeom prst="straightConnector1">
                          <a:avLst/>
                        </a:prstGeom>
                        <a:ln w="38100">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B41125" id="Connecteur droit avec flèche 8" o:spid="_x0000_s1026" type="#_x0000_t32" style="position:absolute;margin-left:117.1pt;margin-top:71.1pt;width:369.5pt;height:3.6pt;z-index:2516879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" strokecolor="#4579b8 [3044]" strokeweight="3pt">
                <v:stroke startarrow="block" endarrow="block"/>
              </v:shape>
            </w:pict>
          </mc:Fallback>
        </mc:AlternateContent>
      </w:r>
      <w:r w:rsidRPr="00B01850">
        <w:rPr>
          <w:noProof/>
          <w14:ligatures w14:val="standardContextual"/>
        </w:rPr>
        <mc:AlternateContent>
          <mc:Choice Requires="wps">
            <w:drawing>
              <wp:anchor distT="0" distB="0" distL="114300" distR="114300" simplePos="0" relativeHeight="251658272" behindDoc="0" locked="0" layoutInCell="1" allowOverlap="1" wp14:anchorId="6195F7EA" wp14:editId="5154C5D7">
                <wp:simplePos x="0" y="0"/>
                <wp:positionH relativeFrom="column">
                  <wp:posOffset>852170</wp:posOffset>
                </wp:positionH>
                <wp:positionV relativeFrom="paragraph">
                  <wp:posOffset>883920</wp:posOffset>
                </wp:positionV>
                <wp:extent cx="12700" cy="558800"/>
                <wp:effectExtent l="95250" t="38100" r="63500" b="50800"/>
                <wp:wrapNone/>
                <wp:docPr id="1434866687" name="Connecteur droit 14"/>
                <wp:cNvGraphicFramePr/>
                <a:graphic xmlns:a="http://schemas.openxmlformats.org/drawingml/2006/main">
                  <a:graphicData uri="http://schemas.microsoft.com/office/word/2010/wordprocessingShape">
                    <wps:wsp>
                      <wps:cNvCnPr/>
                      <wps:spPr>
                        <a:xfrm flipH="1">
                          <a:off x="0" y="0"/>
                          <a:ext cx="12700" cy="558800"/>
                        </a:xfrm>
                        <a:prstGeom prst="line">
                          <a:avLst/>
                        </a:prstGeom>
                        <a:ln w="38100">
                          <a:solidFill>
                            <a:schemeClr val="accent2"/>
                          </a:solidFill>
                          <a:prstDash val="sysDot"/>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ECC890C" id="Connecteur droit 14" o:spid="_x0000_s1026" style="position:absolute;flip:x;z-index:2516940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1pt,69.6pt" to="68.1pt,1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" strokecolor="#c0504d [3205]" strokeweight="3pt">
                <v:stroke dashstyle="1 1" startarrow="block" endarrow="block"/>
              </v:line>
            </w:pict>
          </mc:Fallback>
        </mc:AlternateContent>
      </w:r>
      <w:r w:rsidRPr="00B01850">
        <w:rPr>
          <w:noProof/>
        </w:rPr>
        <mc:AlternateContent>
          <mc:Choice Requires="wps">
            <w:drawing>
              <wp:anchor distT="0" distB="0" distL="114300" distR="114300" simplePos="0" relativeHeight="251658253" behindDoc="0" locked="0" layoutInCell="1" allowOverlap="1" wp14:anchorId="3C36B048" wp14:editId="19159892">
                <wp:simplePos x="0" y="0"/>
                <wp:positionH relativeFrom="column">
                  <wp:posOffset>236220</wp:posOffset>
                </wp:positionH>
                <wp:positionV relativeFrom="paragraph">
                  <wp:posOffset>160020</wp:posOffset>
                </wp:positionV>
                <wp:extent cx="1268730" cy="762000"/>
                <wp:effectExtent l="19050" t="19050" r="26670" b="19050"/>
                <wp:wrapNone/>
                <wp:docPr id="1199156874" name="Rectangle 2"/>
                <wp:cNvGraphicFramePr/>
                <a:graphic xmlns:a="http://schemas.openxmlformats.org/drawingml/2006/main">
                  <a:graphicData uri="http://schemas.microsoft.com/office/word/2010/wordprocessingShape">
                    <wps:wsp>
                      <wps:cNvSpPr/>
                      <wps:spPr>
                        <a:xfrm>
                          <a:off x="0" y="0"/>
                          <a:ext cx="1268730" cy="762000"/>
                        </a:xfrm>
                        <a:prstGeom prst="rect">
                          <a:avLst/>
                        </a:prstGeom>
                        <a:solidFill>
                          <a:srgbClr val="FFFFFF"/>
                        </a:solidFill>
                        <a:ln w="38103" cap="flat">
                          <a:solidFill>
                            <a:srgbClr val="4472C4"/>
                          </a:solidFill>
                          <a:prstDash val="solid"/>
                          <a:miter/>
                        </a:ln>
                      </wps:spPr>
                      <wps:txbx>
                        <w:txbxContent>
                          <w:p w14:paraId="511E61DA" w14:textId="77777777" w:rsidR="00C14C18" w:rsidRPr="00B01850" w:rsidRDefault="00C14C18" w:rsidP="00C14C18">
                            <w:pPr>
                              <w:jc w:val="center"/>
                            </w:pPr>
                            <w:r w:rsidRPr="00B01850">
                              <w:t>AC</w:t>
                            </w:r>
                          </w:p>
                        </w:txbxContent>
                      </wps:txbx>
                      <wps:bodyPr vert="horz" wrap="square" lIns="91440" tIns="45720" rIns="91440" bIns="45720" anchor="ctr" anchorCtr="0" compatLnSpc="1">
                        <a:noAutofit/>
                      </wps:bodyPr>
                    </wps:wsp>
                  </a:graphicData>
                </a:graphic>
                <wp14:sizeRelV relativeFrom="margin">
                  <wp14:pctHeight>0</wp14:pctHeight>
                </wp14:sizeRelV>
              </wp:anchor>
            </w:drawing>
          </mc:Choice>
          <mc:Fallback>
            <w:pict>
              <v:rect w14:anchorId="3C36B048" id="Rectangle 2" o:spid="_x0000_s1045" style="position:absolute;left:0;text-align:left;margin-left:18.6pt;margin-top:12.6pt;width:99.9pt;height:60pt;z-index:25165825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" strokecolor="#4472c4" strokeweight="1.0584mm">
                <v:textbox>
                  <w:txbxContent>
                    <w:p w14:paraId="511E61DA" w14:textId="77777777" w:rsidR="00C14C18" w:rsidRPr="00B01850" w:rsidRDefault="00C14C18" w:rsidP="00C14C18">
                      <w:pPr>
                        <w:jc w:val="center"/>
                      </w:pPr>
                      <w:r w:rsidRPr="00B01850">
                        <w:t>AC</w:t>
                      </w:r>
                    </w:p>
                  </w:txbxContent>
                </v:textbox>
              </v:rect>
            </w:pict>
          </mc:Fallback>
        </mc:AlternateContent>
      </w:r>
      <w:r w:rsidRPr="00B01850">
        <w:rPr>
          <w:noProof/>
        </w:rPr>
        <mc:AlternateContent>
          <mc:Choice Requires="wps">
            <w:drawing>
              <wp:anchor distT="0" distB="0" distL="114300" distR="114300" simplePos="0" relativeHeight="251658255" behindDoc="0" locked="0" layoutInCell="1" allowOverlap="1" wp14:anchorId="6C8AC76B" wp14:editId="23113E6C">
                <wp:simplePos x="0" y="0"/>
                <wp:positionH relativeFrom="column">
                  <wp:posOffset>198120</wp:posOffset>
                </wp:positionH>
                <wp:positionV relativeFrom="paragraph">
                  <wp:posOffset>1450340</wp:posOffset>
                </wp:positionV>
                <wp:extent cx="1265555" cy="492760"/>
                <wp:effectExtent l="19050" t="19050" r="10795" b="21590"/>
                <wp:wrapNone/>
                <wp:docPr id="426838531" name="Rectangle 4"/>
                <wp:cNvGraphicFramePr/>
                <a:graphic xmlns:a="http://schemas.openxmlformats.org/drawingml/2006/main">
                  <a:graphicData uri="http://schemas.microsoft.com/office/word/2010/wordprocessingShape">
                    <wps:wsp>
                      <wps:cNvSpPr/>
                      <wps:spPr>
                        <a:xfrm>
                          <a:off x="0" y="0"/>
                          <a:ext cx="1265555" cy="492760"/>
                        </a:xfrm>
                        <a:prstGeom prst="rect">
                          <a:avLst/>
                        </a:prstGeom>
                        <a:solidFill>
                          <a:srgbClr val="FFFFFF"/>
                        </a:solidFill>
                        <a:ln w="38103" cap="flat">
                          <a:solidFill>
                            <a:srgbClr val="4472C4"/>
                          </a:solidFill>
                          <a:prstDash val="solid"/>
                          <a:miter/>
                        </a:ln>
                      </wps:spPr>
                      <wps:txbx>
                        <w:txbxContent>
                          <w:p w14:paraId="3B50B37C" w14:textId="77777777" w:rsidR="00C14C18" w:rsidRPr="00B01850" w:rsidRDefault="00C14C18" w:rsidP="00C14C18">
                            <w:pPr>
                              <w:jc w:val="center"/>
                            </w:pPr>
                            <w:r w:rsidRPr="00B01850">
                              <w:t>RAC</w:t>
                            </w:r>
                          </w:p>
                          <w:p w14:paraId="2202622F" w14:textId="77777777" w:rsidR="00C14C18" w:rsidRPr="00B01850" w:rsidRDefault="00C14C18" w:rsidP="00C14C18">
                            <w:pPr>
                              <w:jc w:val="center"/>
                            </w:pPr>
                          </w:p>
                        </w:txbxContent>
                      </wps:txbx>
                      <wps:bodyPr vert="horz" wrap="square" lIns="91440" tIns="45720" rIns="91440" bIns="45720" anchor="ctr" anchorCtr="0" compatLnSpc="1">
                        <a:noAutofit/>
                      </wps:bodyPr>
                    </wps:wsp>
                  </a:graphicData>
                </a:graphic>
                <wp14:sizeRelV relativeFrom="margin">
                  <wp14:pctHeight>0</wp14:pctHeight>
                </wp14:sizeRelV>
              </wp:anchor>
            </w:drawing>
          </mc:Choice>
          <mc:Fallback>
            <w:pict>
              <v:rect w14:anchorId="6C8AC76B" id="Rectangle 4" o:spid="_x0000_s1046" style="position:absolute;left:0;text-align:left;margin-left:15.6pt;margin-top:114.2pt;width:99.65pt;height:38.8pt;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" strokecolor="#4472c4" strokeweight="1.0584mm">
                <v:textbox>
                  <w:txbxContent>
                    <w:p w14:paraId="3B50B37C" w14:textId="77777777" w:rsidR="00C14C18" w:rsidRPr="00B01850" w:rsidRDefault="00C14C18" w:rsidP="00C14C18">
                      <w:pPr>
                        <w:jc w:val="center"/>
                      </w:pPr>
                      <w:r w:rsidRPr="00B01850">
                        <w:t>RAC</w:t>
                      </w:r>
                    </w:p>
                    <w:p w14:paraId="2202622F" w14:textId="77777777" w:rsidR="00C14C18" w:rsidRPr="00B01850" w:rsidRDefault="00C14C18" w:rsidP="00C14C18">
                      <w:pPr>
                        <w:jc w:val="center"/>
                      </w:pPr>
                    </w:p>
                  </w:txbxContent>
                </v:textbox>
              </v:rect>
            </w:pict>
          </mc:Fallback>
        </mc:AlternateContent>
      </w:r>
    </w:p>
    <w:p w14:paraId="2EDC1B56" w14:textId="543CE822" w:rsidR="008B6D3D" w:rsidRPr="00B01850" w:rsidRDefault="00FF1DB9" w:rsidP="008B6D3D">
      <w:pPr>
        <w:pStyle w:val="Heading1"/>
        <w:rPr>
          <w:rFonts w:ascii="Arial" w:hAnsi="Arial" w:cs="Arial"/>
          <w:color w:val="auto"/>
          <w:sz w:val="22"/>
          <w:szCs w:val="22"/>
        </w:rPr>
      </w:pPr>
      <w:bookmarkStart w:id="217" w:name="_Toc1151255604"/>
      <w:bookmarkStart w:id="218" w:name="_Hlk196718902"/>
      <w:bookmarkStart w:id="219" w:name="_Toc197382163"/>
      <w:r w:rsidRPr="00B01850">
        <w:rPr>
          <w:rFonts w:ascii="Arial" w:hAnsi="Arial" w:cs="Arial"/>
          <w:color w:val="auto"/>
          <w:sz w:val="22"/>
          <w:szCs w:val="22"/>
        </w:rPr>
        <w:lastRenderedPageBreak/>
        <w:t>Annexe 5 : Cadre de gestion des déchets</w:t>
      </w:r>
      <w:bookmarkEnd w:id="217"/>
      <w:bookmarkEnd w:id="219"/>
    </w:p>
    <w:bookmarkEnd w:id="218"/>
    <w:p w14:paraId="396072B5" w14:textId="77777777" w:rsidR="002834E3" w:rsidRPr="00B01850" w:rsidRDefault="002834E3" w:rsidP="00DD3BBD">
      <w:pPr>
        <w:spacing w:after="0" w:line="240" w:lineRule="auto"/>
        <w:jc w:val="both"/>
        <w:rPr>
          <w:rFonts w:ascii="Arial" w:hAnsi="Arial" w:cs="Arial"/>
        </w:rPr>
      </w:pPr>
    </w:p>
    <w:p w14:paraId="7EC0AAB3" w14:textId="725E428A" w:rsidR="00060CE3" w:rsidRPr="00B01850" w:rsidRDefault="00060CE3" w:rsidP="00214DCC">
      <w:pPr>
        <w:pStyle w:val="ListParagraph"/>
        <w:numPr>
          <w:ilvl w:val="0"/>
          <w:numId w:val="132"/>
        </w:numPr>
        <w:spacing w:before="120" w:after="120" w:line="240" w:lineRule="auto"/>
        <w:contextualSpacing w:val="0"/>
        <w:jc w:val="both"/>
        <w:rPr>
          <w:rFonts w:ascii="Arial" w:hAnsi="Arial" w:cs="Arial"/>
          <w:b/>
          <w:bCs/>
        </w:rPr>
      </w:pPr>
      <w:r w:rsidRPr="00B01850">
        <w:rPr>
          <w:rFonts w:ascii="Arial" w:hAnsi="Arial" w:cs="Arial"/>
          <w:b/>
          <w:bCs/>
        </w:rPr>
        <w:t>Généralité sur le cadre de gestion des déchets</w:t>
      </w:r>
    </w:p>
    <w:p w14:paraId="42D25104" w14:textId="63F9BC7B" w:rsidR="00291D86" w:rsidRPr="00B01850" w:rsidRDefault="0045055B" w:rsidP="2507F65D">
      <w:pPr>
        <w:spacing w:after="0" w:line="240" w:lineRule="auto"/>
        <w:jc w:val="both"/>
        <w:rPr>
          <w:rFonts w:ascii="Arial" w:hAnsi="Arial" w:cs="Arial"/>
        </w:rPr>
      </w:pPr>
      <w:r w:rsidRPr="00B01850">
        <w:rPr>
          <w:rFonts w:ascii="Arial" w:hAnsi="Arial" w:cs="Arial"/>
        </w:rPr>
        <w:t xml:space="preserve">Le présent cadre de gestion des déchets décrit le contexte, </w:t>
      </w:r>
      <w:r w:rsidR="00DD3BBD" w:rsidRPr="00B01850">
        <w:rPr>
          <w:rFonts w:ascii="Arial" w:hAnsi="Arial" w:cs="Arial"/>
        </w:rPr>
        <w:t>défini</w:t>
      </w:r>
      <w:r w:rsidRPr="00B01850">
        <w:rPr>
          <w:rFonts w:ascii="Arial" w:hAnsi="Arial" w:cs="Arial"/>
        </w:rPr>
        <w:t xml:space="preserve">t </w:t>
      </w:r>
      <w:r w:rsidR="00DD3BBD" w:rsidRPr="00B01850">
        <w:rPr>
          <w:rFonts w:ascii="Arial" w:hAnsi="Arial" w:cs="Arial"/>
        </w:rPr>
        <w:t xml:space="preserve">les objectifs à atteindre, formule des stratégies appropriées et identifie les moyens de mise en œuvre nécessaires. Ce Cadre </w:t>
      </w:r>
      <w:r w:rsidR="00291D86" w:rsidRPr="00B01850">
        <w:rPr>
          <w:rFonts w:ascii="Arial" w:hAnsi="Arial" w:cs="Arial"/>
        </w:rPr>
        <w:t xml:space="preserve">qui est d’ordre, orientera les actions des acteurs pour réduire, réutiliser, </w:t>
      </w:r>
      <w:r w:rsidR="00DD3BBD" w:rsidRPr="00B01850">
        <w:rPr>
          <w:rFonts w:ascii="Arial" w:hAnsi="Arial" w:cs="Arial"/>
        </w:rPr>
        <w:t>recycl</w:t>
      </w:r>
      <w:r w:rsidR="00291D86" w:rsidRPr="00B01850">
        <w:rPr>
          <w:rFonts w:ascii="Arial" w:hAnsi="Arial" w:cs="Arial"/>
        </w:rPr>
        <w:t xml:space="preserve">er et dans la mesure du possible </w:t>
      </w:r>
      <w:r w:rsidR="00DD3BBD" w:rsidRPr="00B01850">
        <w:rPr>
          <w:rFonts w:ascii="Arial" w:hAnsi="Arial" w:cs="Arial"/>
        </w:rPr>
        <w:t>élimin</w:t>
      </w:r>
      <w:r w:rsidR="00291D86" w:rsidRPr="00B01850">
        <w:rPr>
          <w:rFonts w:ascii="Arial" w:hAnsi="Arial" w:cs="Arial"/>
        </w:rPr>
        <w:t xml:space="preserve">er les déchets produits durant les </w:t>
      </w:r>
      <w:r w:rsidR="00DD3BBD" w:rsidRPr="00B01850">
        <w:rPr>
          <w:rFonts w:ascii="Arial" w:hAnsi="Arial" w:cs="Arial"/>
        </w:rPr>
        <w:t xml:space="preserve">activités du </w:t>
      </w:r>
      <w:r w:rsidR="00291D86" w:rsidRPr="00B01850">
        <w:rPr>
          <w:rFonts w:ascii="Arial" w:hAnsi="Arial" w:cs="Arial"/>
        </w:rPr>
        <w:t xml:space="preserve">CERP. Ces déchets proviendraient des </w:t>
      </w:r>
      <w:r w:rsidR="00DD3BBD" w:rsidRPr="00B01850">
        <w:rPr>
          <w:rFonts w:ascii="Arial" w:hAnsi="Arial" w:cs="Arial"/>
        </w:rPr>
        <w:t xml:space="preserve">emballages </w:t>
      </w:r>
      <w:r w:rsidR="00291D86" w:rsidRPr="00B01850">
        <w:rPr>
          <w:rFonts w:ascii="Arial" w:hAnsi="Arial" w:cs="Arial"/>
        </w:rPr>
        <w:t xml:space="preserve">des </w:t>
      </w:r>
      <w:r w:rsidR="00DD3BBD" w:rsidRPr="00B01850">
        <w:rPr>
          <w:rFonts w:ascii="Arial" w:hAnsi="Arial" w:cs="Arial"/>
        </w:rPr>
        <w:t>approvisionnement</w:t>
      </w:r>
      <w:r w:rsidR="00291D86" w:rsidRPr="00B01850">
        <w:rPr>
          <w:rFonts w:ascii="Arial" w:hAnsi="Arial" w:cs="Arial"/>
        </w:rPr>
        <w:t>s</w:t>
      </w:r>
      <w:r w:rsidR="00DD3BBD" w:rsidRPr="00B01850">
        <w:rPr>
          <w:rFonts w:ascii="Arial" w:hAnsi="Arial" w:cs="Arial"/>
        </w:rPr>
        <w:t xml:space="preserve"> en </w:t>
      </w:r>
      <w:r w:rsidR="00291D86" w:rsidRPr="00B01850">
        <w:rPr>
          <w:rFonts w:ascii="Arial" w:hAnsi="Arial" w:cs="Arial"/>
        </w:rPr>
        <w:t xml:space="preserve">produits </w:t>
      </w:r>
      <w:r w:rsidR="00DD3BBD" w:rsidRPr="00B01850">
        <w:rPr>
          <w:rFonts w:ascii="Arial" w:hAnsi="Arial" w:cs="Arial"/>
        </w:rPr>
        <w:t>aliment</w:t>
      </w:r>
      <w:r w:rsidR="00291D86" w:rsidRPr="00B01850">
        <w:rPr>
          <w:rFonts w:ascii="Arial" w:hAnsi="Arial" w:cs="Arial"/>
        </w:rPr>
        <w:t>aire</w:t>
      </w:r>
      <w:r w:rsidR="00DD3BBD" w:rsidRPr="00B01850">
        <w:rPr>
          <w:rFonts w:ascii="Arial" w:hAnsi="Arial" w:cs="Arial"/>
        </w:rPr>
        <w:t xml:space="preserve">s et en eau, </w:t>
      </w:r>
      <w:r w:rsidR="00291D86" w:rsidRPr="00B01850">
        <w:rPr>
          <w:rFonts w:ascii="Arial" w:hAnsi="Arial" w:cs="Arial"/>
        </w:rPr>
        <w:t xml:space="preserve">des </w:t>
      </w:r>
      <w:r w:rsidR="00DD3BBD" w:rsidRPr="00B01850">
        <w:rPr>
          <w:rFonts w:ascii="Arial" w:hAnsi="Arial" w:cs="Arial"/>
        </w:rPr>
        <w:t>procédures connexes de manutention, d</w:t>
      </w:r>
      <w:r w:rsidR="00291D86" w:rsidRPr="00B01850">
        <w:rPr>
          <w:rFonts w:ascii="Arial" w:hAnsi="Arial" w:cs="Arial"/>
        </w:rPr>
        <w:t>u</w:t>
      </w:r>
      <w:r w:rsidR="00DD3BBD" w:rsidRPr="00B01850">
        <w:rPr>
          <w:rFonts w:ascii="Arial" w:hAnsi="Arial" w:cs="Arial"/>
        </w:rPr>
        <w:t xml:space="preserve"> stockage, d</w:t>
      </w:r>
      <w:r w:rsidR="00291D86" w:rsidRPr="00B01850">
        <w:rPr>
          <w:rFonts w:ascii="Arial" w:hAnsi="Arial" w:cs="Arial"/>
        </w:rPr>
        <w:t>u</w:t>
      </w:r>
      <w:r w:rsidR="00DD3BBD" w:rsidRPr="00B01850">
        <w:rPr>
          <w:rFonts w:ascii="Arial" w:hAnsi="Arial" w:cs="Arial"/>
        </w:rPr>
        <w:t xml:space="preserve"> transport et d'élimination.</w:t>
      </w:r>
    </w:p>
    <w:p w14:paraId="1BF6D6A5" w14:textId="27703471" w:rsidR="00DD3BBD" w:rsidRPr="00B01850" w:rsidRDefault="00291D86" w:rsidP="2507F65D">
      <w:pPr>
        <w:spacing w:after="0" w:line="240" w:lineRule="auto"/>
        <w:jc w:val="both"/>
        <w:rPr>
          <w:rFonts w:ascii="Arial" w:hAnsi="Arial" w:cs="Arial"/>
        </w:rPr>
      </w:pPr>
      <w:r w:rsidRPr="00B01850">
        <w:rPr>
          <w:rFonts w:ascii="Arial" w:hAnsi="Arial" w:cs="Arial"/>
        </w:rPr>
        <w:t xml:space="preserve">A cet effet, une bonne </w:t>
      </w:r>
      <w:r w:rsidR="00DD3BBD" w:rsidRPr="00B01850">
        <w:rPr>
          <w:rFonts w:ascii="Arial" w:hAnsi="Arial" w:cs="Arial"/>
        </w:rPr>
        <w:t xml:space="preserve">planification </w:t>
      </w:r>
      <w:r w:rsidRPr="00B01850">
        <w:rPr>
          <w:rFonts w:ascii="Arial" w:hAnsi="Arial" w:cs="Arial"/>
        </w:rPr>
        <w:t xml:space="preserve">du processus de </w:t>
      </w:r>
      <w:r w:rsidR="00DD3BBD" w:rsidRPr="00B01850">
        <w:rPr>
          <w:rFonts w:ascii="Arial" w:hAnsi="Arial" w:cs="Arial"/>
        </w:rPr>
        <w:t>gestion des déchets consiste</w:t>
      </w:r>
      <w:r w:rsidRPr="00B01850">
        <w:rPr>
          <w:rFonts w:ascii="Arial" w:hAnsi="Arial" w:cs="Arial"/>
        </w:rPr>
        <w:t xml:space="preserve">rait </w:t>
      </w:r>
      <w:r w:rsidR="00DD3BBD" w:rsidRPr="00B01850">
        <w:rPr>
          <w:rFonts w:ascii="Arial" w:hAnsi="Arial" w:cs="Arial"/>
        </w:rPr>
        <w:t>à détailler</w:t>
      </w:r>
      <w:r w:rsidRPr="00B01850">
        <w:rPr>
          <w:rFonts w:ascii="Arial" w:hAnsi="Arial" w:cs="Arial"/>
        </w:rPr>
        <w:t xml:space="preserve"> </w:t>
      </w:r>
      <w:r w:rsidR="00DD3BBD" w:rsidRPr="00B01850">
        <w:rPr>
          <w:rFonts w:ascii="Arial" w:hAnsi="Arial" w:cs="Arial"/>
        </w:rPr>
        <w:t xml:space="preserve">les types de déchets </w:t>
      </w:r>
      <w:r w:rsidRPr="00B01850">
        <w:rPr>
          <w:rFonts w:ascii="Arial" w:hAnsi="Arial" w:cs="Arial"/>
        </w:rPr>
        <w:t xml:space="preserve">susceptibles d’être produits </w:t>
      </w:r>
      <w:r w:rsidR="00DD3BBD" w:rsidRPr="00B01850">
        <w:rPr>
          <w:rFonts w:ascii="Arial" w:hAnsi="Arial" w:cs="Arial"/>
        </w:rPr>
        <w:t>et leur</w:t>
      </w:r>
      <w:r w:rsidRPr="00B01850">
        <w:rPr>
          <w:rFonts w:ascii="Arial" w:hAnsi="Arial" w:cs="Arial"/>
        </w:rPr>
        <w:t>s</w:t>
      </w:r>
      <w:r w:rsidR="00DD3BBD" w:rsidRPr="00B01850">
        <w:rPr>
          <w:rFonts w:ascii="Arial" w:hAnsi="Arial" w:cs="Arial"/>
        </w:rPr>
        <w:t xml:space="preserve"> origine</w:t>
      </w:r>
      <w:r w:rsidRPr="00B01850">
        <w:rPr>
          <w:rFonts w:ascii="Arial" w:hAnsi="Arial" w:cs="Arial"/>
        </w:rPr>
        <w:t>s</w:t>
      </w:r>
      <w:r w:rsidR="00DD3BBD" w:rsidRPr="00B01850">
        <w:rPr>
          <w:rFonts w:ascii="Arial" w:hAnsi="Arial" w:cs="Arial"/>
        </w:rPr>
        <w:t xml:space="preserve">, les mesures </w:t>
      </w:r>
      <w:r w:rsidRPr="00B01850">
        <w:rPr>
          <w:rFonts w:ascii="Arial" w:hAnsi="Arial" w:cs="Arial"/>
        </w:rPr>
        <w:t>prévues p</w:t>
      </w:r>
      <w:r w:rsidR="00DD3BBD" w:rsidRPr="00B01850">
        <w:rPr>
          <w:rFonts w:ascii="Arial" w:hAnsi="Arial" w:cs="Arial"/>
        </w:rPr>
        <w:t>our réduire le</w:t>
      </w:r>
      <w:r w:rsidRPr="00B01850">
        <w:rPr>
          <w:rFonts w:ascii="Arial" w:hAnsi="Arial" w:cs="Arial"/>
        </w:rPr>
        <w:t>ur</w:t>
      </w:r>
      <w:r w:rsidR="00DD3BBD" w:rsidRPr="00B01850">
        <w:rPr>
          <w:rFonts w:ascii="Arial" w:hAnsi="Arial" w:cs="Arial"/>
        </w:rPr>
        <w:t xml:space="preserve"> niveau et les plans d'élimination des déchets</w:t>
      </w:r>
      <w:r w:rsidRPr="00B01850">
        <w:rPr>
          <w:rFonts w:ascii="Arial" w:hAnsi="Arial" w:cs="Arial"/>
        </w:rPr>
        <w:t xml:space="preserve"> spécifiques</w:t>
      </w:r>
      <w:r w:rsidR="00DD3BBD" w:rsidRPr="00B01850">
        <w:rPr>
          <w:rFonts w:ascii="Arial" w:hAnsi="Arial" w:cs="Arial"/>
        </w:rPr>
        <w:t xml:space="preserve">. </w:t>
      </w:r>
    </w:p>
    <w:p w14:paraId="67953142" w14:textId="77777777" w:rsidR="00DD3BBD" w:rsidRPr="00B01850" w:rsidRDefault="00DD3BBD" w:rsidP="00DD3BBD">
      <w:pPr>
        <w:spacing w:after="0" w:line="240" w:lineRule="auto"/>
        <w:jc w:val="both"/>
        <w:rPr>
          <w:rFonts w:ascii="Arial" w:hAnsi="Arial" w:cs="Arial"/>
        </w:rPr>
      </w:pPr>
    </w:p>
    <w:p w14:paraId="618FAF74" w14:textId="288B466F" w:rsidR="00DD3BBD" w:rsidRPr="00B01850" w:rsidRDefault="000336DA" w:rsidP="00DD3BBD">
      <w:pPr>
        <w:spacing w:after="0" w:line="240" w:lineRule="auto"/>
        <w:jc w:val="both"/>
        <w:rPr>
          <w:rFonts w:ascii="Arial" w:hAnsi="Arial" w:cs="Arial"/>
        </w:rPr>
      </w:pPr>
      <w:r w:rsidRPr="00B01850">
        <w:rPr>
          <w:rFonts w:ascii="Arial" w:hAnsi="Arial" w:cs="Arial"/>
        </w:rPr>
        <w:t xml:space="preserve">Ainsi, ce cadre de gestion des déchets s’appuiera sur les dispositions nationales, le cadre environnemental et social </w:t>
      </w:r>
      <w:r w:rsidR="00C92BF7" w:rsidRPr="00B01850">
        <w:rPr>
          <w:rFonts w:ascii="Arial" w:hAnsi="Arial" w:cs="Arial"/>
        </w:rPr>
        <w:t xml:space="preserve">(CES) </w:t>
      </w:r>
      <w:r w:rsidRPr="00B01850">
        <w:rPr>
          <w:rFonts w:ascii="Arial" w:hAnsi="Arial" w:cs="Arial"/>
        </w:rPr>
        <w:t xml:space="preserve">de </w:t>
      </w:r>
      <w:r w:rsidR="00C92BF7" w:rsidRPr="00B01850">
        <w:rPr>
          <w:rFonts w:ascii="Arial" w:hAnsi="Arial" w:cs="Arial"/>
        </w:rPr>
        <w:t xml:space="preserve">la </w:t>
      </w:r>
      <w:r w:rsidRPr="00B01850">
        <w:rPr>
          <w:rFonts w:ascii="Arial" w:hAnsi="Arial" w:cs="Arial"/>
        </w:rPr>
        <w:t xml:space="preserve">Banque mondiale ainsi que des </w:t>
      </w:r>
      <w:r w:rsidR="00DD3BBD" w:rsidRPr="00B01850">
        <w:rPr>
          <w:rFonts w:ascii="Arial" w:hAnsi="Arial" w:cs="Arial"/>
        </w:rPr>
        <w:t xml:space="preserve">Directives </w:t>
      </w:r>
      <w:r w:rsidR="00C92BF7" w:rsidRPr="00B01850">
        <w:rPr>
          <w:rFonts w:ascii="Arial" w:hAnsi="Arial" w:cs="Arial"/>
        </w:rPr>
        <w:t xml:space="preserve">relatives à la </w:t>
      </w:r>
      <w:r w:rsidR="00DD3BBD" w:rsidRPr="00B01850">
        <w:rPr>
          <w:rFonts w:ascii="Arial" w:hAnsi="Arial" w:cs="Arial"/>
        </w:rPr>
        <w:t>gestion des déchets.</w:t>
      </w:r>
    </w:p>
    <w:p w14:paraId="65766CD5" w14:textId="19F10D09" w:rsidR="00DD3BBD" w:rsidRPr="00B01850" w:rsidRDefault="00DD3BBD" w:rsidP="00DD3BBD">
      <w:pPr>
        <w:spacing w:after="0" w:line="240" w:lineRule="auto"/>
        <w:jc w:val="both"/>
        <w:rPr>
          <w:rFonts w:ascii="Arial" w:hAnsi="Arial" w:cs="Arial"/>
        </w:rPr>
      </w:pPr>
      <w:r w:rsidRPr="00B01850">
        <w:rPr>
          <w:rFonts w:ascii="Arial" w:hAnsi="Arial" w:cs="Arial"/>
        </w:rPr>
        <w:t xml:space="preserve"> </w:t>
      </w:r>
    </w:p>
    <w:p w14:paraId="18D97230" w14:textId="74B70DFC" w:rsidR="00DD3BBD" w:rsidRPr="00B01850" w:rsidRDefault="00661936" w:rsidP="00DD3BBD">
      <w:pPr>
        <w:spacing w:after="0" w:line="240" w:lineRule="auto"/>
        <w:jc w:val="both"/>
        <w:rPr>
          <w:rFonts w:ascii="Arial" w:hAnsi="Arial" w:cs="Arial"/>
        </w:rPr>
      </w:pPr>
      <w:r w:rsidRPr="00B01850">
        <w:rPr>
          <w:rFonts w:ascii="Arial" w:hAnsi="Arial" w:cs="Arial"/>
        </w:rPr>
        <w:t xml:space="preserve">Signalons que cette annexe </w:t>
      </w:r>
      <w:r w:rsidR="00DD3BBD" w:rsidRPr="00B01850">
        <w:rPr>
          <w:rFonts w:ascii="Arial" w:hAnsi="Arial" w:cs="Arial"/>
        </w:rPr>
        <w:t>traite uniquement de la manipulation et de la gestion des déchets non dangereux.</w:t>
      </w:r>
      <w:r w:rsidR="009A6626" w:rsidRPr="00B01850">
        <w:rPr>
          <w:rFonts w:ascii="Arial" w:hAnsi="Arial" w:cs="Arial"/>
        </w:rPr>
        <w:t xml:space="preserve"> Il </w:t>
      </w:r>
      <w:r w:rsidR="00DD3BBD" w:rsidRPr="00B01850">
        <w:rPr>
          <w:rFonts w:ascii="Arial" w:hAnsi="Arial" w:cs="Arial"/>
        </w:rPr>
        <w:t xml:space="preserve">facilitera </w:t>
      </w:r>
      <w:r w:rsidR="009A6626" w:rsidRPr="00B01850">
        <w:rPr>
          <w:rFonts w:ascii="Arial" w:hAnsi="Arial" w:cs="Arial"/>
        </w:rPr>
        <w:t xml:space="preserve">aux acteurs de mise en œuvre du projet, </w:t>
      </w:r>
      <w:r w:rsidR="00DD3BBD" w:rsidRPr="00B01850">
        <w:rPr>
          <w:rFonts w:ascii="Arial" w:hAnsi="Arial" w:cs="Arial"/>
        </w:rPr>
        <w:t>l'élaboration de</w:t>
      </w:r>
      <w:r w:rsidR="009A6626" w:rsidRPr="00B01850">
        <w:rPr>
          <w:rFonts w:ascii="Arial" w:hAnsi="Arial" w:cs="Arial"/>
        </w:rPr>
        <w:t>s</w:t>
      </w:r>
      <w:r w:rsidR="00DD3BBD" w:rsidRPr="00B01850">
        <w:rPr>
          <w:rFonts w:ascii="Arial" w:hAnsi="Arial" w:cs="Arial"/>
        </w:rPr>
        <w:t xml:space="preserve"> plans de gestion des déchets </w:t>
      </w:r>
      <w:r w:rsidR="009A6626" w:rsidRPr="00B01850">
        <w:rPr>
          <w:rFonts w:ascii="Arial" w:hAnsi="Arial" w:cs="Arial"/>
        </w:rPr>
        <w:t>spécifiques à chaque secteur d’</w:t>
      </w:r>
      <w:r w:rsidR="00DD3BBD" w:rsidRPr="00B01850">
        <w:rPr>
          <w:rFonts w:ascii="Arial" w:hAnsi="Arial" w:cs="Arial"/>
        </w:rPr>
        <w:t>activit</w:t>
      </w:r>
      <w:r w:rsidR="009A6626" w:rsidRPr="00B01850">
        <w:rPr>
          <w:rFonts w:ascii="Arial" w:hAnsi="Arial" w:cs="Arial"/>
        </w:rPr>
        <w:t>é</w:t>
      </w:r>
      <w:r w:rsidR="00DD3BBD" w:rsidRPr="00B01850">
        <w:rPr>
          <w:rFonts w:ascii="Arial" w:hAnsi="Arial" w:cs="Arial"/>
        </w:rPr>
        <w:t xml:space="preserve">. </w:t>
      </w:r>
      <w:r w:rsidR="009A6626" w:rsidRPr="00B01850">
        <w:rPr>
          <w:rFonts w:ascii="Arial" w:hAnsi="Arial" w:cs="Arial"/>
        </w:rPr>
        <w:t xml:space="preserve">L’UGP du projet NAFA, les entreprises partenaires et sous-traitantes sont contraintes s’en approprier et respecter les engagements pris à cet effet. Car, le </w:t>
      </w:r>
      <w:r w:rsidR="00DD3BBD" w:rsidRPr="00B01850">
        <w:rPr>
          <w:rFonts w:ascii="Arial" w:hAnsi="Arial" w:cs="Arial"/>
        </w:rPr>
        <w:t xml:space="preserve">Cadre </w:t>
      </w:r>
      <w:r w:rsidR="009A6626" w:rsidRPr="00B01850">
        <w:rPr>
          <w:rFonts w:ascii="Arial" w:hAnsi="Arial" w:cs="Arial"/>
        </w:rPr>
        <w:t xml:space="preserve">de gestion des déchets </w:t>
      </w:r>
      <w:r w:rsidR="00DD3BBD" w:rsidRPr="00B01850">
        <w:rPr>
          <w:rFonts w:ascii="Arial" w:hAnsi="Arial" w:cs="Arial"/>
        </w:rPr>
        <w:t>est un document contraignant</w:t>
      </w:r>
      <w:r w:rsidR="009A6626" w:rsidRPr="00B01850">
        <w:rPr>
          <w:rFonts w:ascii="Arial" w:hAnsi="Arial" w:cs="Arial"/>
        </w:rPr>
        <w:t>,</w:t>
      </w:r>
      <w:r w:rsidR="00DD3BBD" w:rsidRPr="00B01850">
        <w:rPr>
          <w:rFonts w:ascii="Arial" w:hAnsi="Arial" w:cs="Arial"/>
        </w:rPr>
        <w:t xml:space="preserve"> juridiquement reconnu </w:t>
      </w:r>
      <w:r w:rsidR="009A6626" w:rsidRPr="00B01850">
        <w:rPr>
          <w:rFonts w:ascii="Arial" w:hAnsi="Arial" w:cs="Arial"/>
        </w:rPr>
        <w:t xml:space="preserve">donc </w:t>
      </w:r>
      <w:r w:rsidR="00DD3BBD" w:rsidRPr="00B01850">
        <w:rPr>
          <w:rFonts w:ascii="Arial" w:hAnsi="Arial" w:cs="Arial"/>
        </w:rPr>
        <w:t>doit être mis en œuvre au même titre que tout autre document contractuel juridiquement contraignant.</w:t>
      </w:r>
    </w:p>
    <w:p w14:paraId="68FE5EF2" w14:textId="77777777" w:rsidR="00DD3BBD" w:rsidRPr="00B01850" w:rsidRDefault="00DD3BBD" w:rsidP="00DD3BBD">
      <w:pPr>
        <w:spacing w:after="0" w:line="240" w:lineRule="auto"/>
        <w:jc w:val="both"/>
        <w:rPr>
          <w:rFonts w:ascii="Arial" w:hAnsi="Arial" w:cs="Arial"/>
        </w:rPr>
      </w:pPr>
    </w:p>
    <w:p w14:paraId="018D5D02" w14:textId="521A8D10" w:rsidR="00DD3BBD" w:rsidRPr="00B01850" w:rsidRDefault="009A6626" w:rsidP="2507F65D">
      <w:pPr>
        <w:spacing w:after="0" w:line="240" w:lineRule="auto"/>
        <w:jc w:val="both"/>
        <w:rPr>
          <w:rFonts w:ascii="Arial" w:hAnsi="Arial" w:cs="Arial"/>
        </w:rPr>
      </w:pPr>
      <w:r w:rsidRPr="00B01850">
        <w:rPr>
          <w:rFonts w:ascii="Arial" w:hAnsi="Arial" w:cs="Arial"/>
        </w:rPr>
        <w:t>L’UCP du projet NAFA à la diffusion de l’ensemble des documents de sauvegarde environnementale et sociale y compris le présent Cadre de gestion des déchets auprès de l’ensemble des parties prenantes du projet</w:t>
      </w:r>
      <w:r w:rsidR="00A81575" w:rsidRPr="00B01850">
        <w:rPr>
          <w:rFonts w:ascii="Arial" w:hAnsi="Arial" w:cs="Arial"/>
        </w:rPr>
        <w:t xml:space="preserve">. </w:t>
      </w:r>
      <w:r w:rsidRPr="00B01850">
        <w:rPr>
          <w:rFonts w:ascii="Arial" w:hAnsi="Arial" w:cs="Arial"/>
        </w:rPr>
        <w:t xml:space="preserve">Des renforcements de capacités et communications spécifiques seront organisés pour s’assurer que </w:t>
      </w:r>
      <w:r w:rsidR="00A81575" w:rsidRPr="00B01850">
        <w:rPr>
          <w:rFonts w:ascii="Arial" w:hAnsi="Arial" w:cs="Arial"/>
        </w:rPr>
        <w:t xml:space="preserve">le contenu de tous les instruments est bien compris et que chaque partie prenante comprend parfaitement son rôle </w:t>
      </w:r>
      <w:r w:rsidRPr="00B01850">
        <w:rPr>
          <w:rFonts w:ascii="Arial" w:hAnsi="Arial" w:cs="Arial"/>
        </w:rPr>
        <w:t xml:space="preserve">et ses responsabilités </w:t>
      </w:r>
      <w:r w:rsidR="00A81575" w:rsidRPr="00B01850">
        <w:rPr>
          <w:rFonts w:ascii="Arial" w:hAnsi="Arial" w:cs="Arial"/>
        </w:rPr>
        <w:t xml:space="preserve">et qu'elle </w:t>
      </w:r>
      <w:r w:rsidRPr="00B01850">
        <w:rPr>
          <w:rFonts w:ascii="Arial" w:hAnsi="Arial" w:cs="Arial"/>
        </w:rPr>
        <w:t xml:space="preserve">dispose des </w:t>
      </w:r>
      <w:r w:rsidR="00A81575" w:rsidRPr="00B01850">
        <w:rPr>
          <w:rFonts w:ascii="Arial" w:hAnsi="Arial" w:cs="Arial"/>
        </w:rPr>
        <w:t>capacité</w:t>
      </w:r>
      <w:r w:rsidRPr="00B01850">
        <w:rPr>
          <w:rFonts w:ascii="Arial" w:hAnsi="Arial" w:cs="Arial"/>
        </w:rPr>
        <w:t>s</w:t>
      </w:r>
      <w:r w:rsidR="00A81575" w:rsidRPr="00B01850">
        <w:rPr>
          <w:rFonts w:ascii="Arial" w:hAnsi="Arial" w:cs="Arial"/>
        </w:rPr>
        <w:t xml:space="preserve"> </w:t>
      </w:r>
      <w:r w:rsidRPr="00B01850">
        <w:rPr>
          <w:rFonts w:ascii="Arial" w:hAnsi="Arial" w:cs="Arial"/>
        </w:rPr>
        <w:t>nécessaires pour les assumer.</w:t>
      </w:r>
    </w:p>
    <w:p w14:paraId="2735C934" w14:textId="77777777" w:rsidR="00DD3BBD" w:rsidRPr="00B01850" w:rsidRDefault="00DD3BBD" w:rsidP="00DD3BBD">
      <w:pPr>
        <w:spacing w:after="0" w:line="240" w:lineRule="auto"/>
        <w:jc w:val="both"/>
        <w:rPr>
          <w:rFonts w:ascii="Arial" w:hAnsi="Arial" w:cs="Arial"/>
        </w:rPr>
      </w:pPr>
    </w:p>
    <w:p w14:paraId="105A6F17" w14:textId="03882F27" w:rsidR="00030D25" w:rsidRPr="00B01850" w:rsidRDefault="009A6626" w:rsidP="009A6626">
      <w:pPr>
        <w:pBdr>
          <w:top w:val="single" w:sz="4" w:space="1" w:color="auto"/>
          <w:left w:val="single" w:sz="4" w:space="4" w:color="auto"/>
          <w:bottom w:val="single" w:sz="4" w:space="1" w:color="auto"/>
          <w:right w:val="single" w:sz="4" w:space="4" w:color="auto"/>
        </w:pBdr>
        <w:shd w:val="clear" w:color="auto" w:fill="FDE9D9" w:themeFill="accent6" w:themeFillTint="33"/>
        <w:spacing w:after="0" w:line="240" w:lineRule="auto"/>
        <w:jc w:val="both"/>
        <w:rPr>
          <w:rFonts w:ascii="Arial" w:hAnsi="Arial" w:cs="Arial"/>
        </w:rPr>
      </w:pPr>
      <w:r w:rsidRPr="00B01850">
        <w:rPr>
          <w:rFonts w:ascii="Arial" w:hAnsi="Arial" w:cs="Arial"/>
        </w:rPr>
        <w:t xml:space="preserve">En plus, </w:t>
      </w:r>
      <w:r w:rsidR="00030D25" w:rsidRPr="00B01850">
        <w:rPr>
          <w:rFonts w:ascii="Arial" w:hAnsi="Arial" w:cs="Arial"/>
        </w:rPr>
        <w:t>dès la mise en vigueur du CERP, le projet élaborera un cadre spécifique de lutte contre les infections et de gestion des déchets médicaux.</w:t>
      </w:r>
    </w:p>
    <w:p w14:paraId="19E564D8" w14:textId="77777777" w:rsidR="00030D25" w:rsidRPr="00B01850" w:rsidRDefault="00030D25" w:rsidP="00DD3BBD">
      <w:pPr>
        <w:spacing w:after="0" w:line="240" w:lineRule="auto"/>
        <w:jc w:val="both"/>
        <w:rPr>
          <w:rFonts w:ascii="Arial" w:eastAsia="Calibri" w:hAnsi="Arial" w:cs="Arial"/>
        </w:rPr>
      </w:pPr>
    </w:p>
    <w:p w14:paraId="5574A190" w14:textId="1310B8A8" w:rsidR="00DD3BBD" w:rsidRPr="00B01850" w:rsidRDefault="00DD3BBD" w:rsidP="00DD3BBD">
      <w:pPr>
        <w:spacing w:after="0" w:line="240" w:lineRule="auto"/>
        <w:jc w:val="both"/>
        <w:rPr>
          <w:rFonts w:ascii="Arial" w:eastAsia="Calibri" w:hAnsi="Arial" w:cs="Arial"/>
        </w:rPr>
      </w:pPr>
      <w:r w:rsidRPr="00B01850">
        <w:rPr>
          <w:rFonts w:ascii="Arial" w:eastAsia="Calibri" w:hAnsi="Arial" w:cs="Arial"/>
        </w:rPr>
        <w:t xml:space="preserve">Ce plan a été élaboré pour expliquer la gestion des différents types de déchets qui seront générés pendant la mise en œuvre du </w:t>
      </w:r>
      <w:r w:rsidR="008811D5" w:rsidRPr="00B01850">
        <w:rPr>
          <w:rFonts w:ascii="Arial" w:eastAsia="Calibri" w:hAnsi="Arial" w:cs="Arial"/>
        </w:rPr>
        <w:t xml:space="preserve">CERP. </w:t>
      </w:r>
      <w:r w:rsidRPr="00B01850">
        <w:rPr>
          <w:rFonts w:ascii="Arial" w:eastAsia="Calibri" w:hAnsi="Arial" w:cs="Arial"/>
        </w:rPr>
        <w:t xml:space="preserve">Les </w:t>
      </w:r>
      <w:r w:rsidR="003B1C6F" w:rsidRPr="00B01850">
        <w:rPr>
          <w:rFonts w:ascii="Arial" w:eastAsia="Calibri" w:hAnsi="Arial" w:cs="Arial"/>
        </w:rPr>
        <w:t xml:space="preserve">types de déchets susceptibles d’être produits sont : </w:t>
      </w:r>
      <w:r w:rsidRPr="00B01850">
        <w:rPr>
          <w:rFonts w:ascii="Arial" w:eastAsia="Calibri" w:hAnsi="Arial" w:cs="Arial"/>
        </w:rPr>
        <w:t xml:space="preserve">morceaux d'emballage </w:t>
      </w:r>
      <w:r w:rsidR="003B1C6F" w:rsidRPr="00B01850">
        <w:rPr>
          <w:rFonts w:ascii="Arial" w:eastAsia="Calibri" w:hAnsi="Arial" w:cs="Arial"/>
        </w:rPr>
        <w:t>de</w:t>
      </w:r>
      <w:r w:rsidRPr="00B01850">
        <w:rPr>
          <w:rFonts w:ascii="Arial" w:eastAsia="Calibri" w:hAnsi="Arial" w:cs="Arial"/>
        </w:rPr>
        <w:t xml:space="preserve"> nourriture</w:t>
      </w:r>
      <w:r w:rsidR="003B1C6F" w:rsidRPr="00B01850">
        <w:rPr>
          <w:rFonts w:ascii="Arial" w:eastAsia="Calibri" w:hAnsi="Arial" w:cs="Arial"/>
        </w:rPr>
        <w:t>s</w:t>
      </w:r>
      <w:r w:rsidRPr="00B01850">
        <w:rPr>
          <w:rFonts w:ascii="Arial" w:eastAsia="Calibri" w:hAnsi="Arial" w:cs="Arial"/>
        </w:rPr>
        <w:t xml:space="preserve"> et </w:t>
      </w:r>
      <w:r w:rsidR="003B1C6F" w:rsidRPr="00B01850">
        <w:rPr>
          <w:rFonts w:ascii="Arial" w:eastAsia="Calibri" w:hAnsi="Arial" w:cs="Arial"/>
        </w:rPr>
        <w:t>d’</w:t>
      </w:r>
      <w:r w:rsidRPr="00B01850">
        <w:rPr>
          <w:rFonts w:ascii="Arial" w:eastAsia="Calibri" w:hAnsi="Arial" w:cs="Arial"/>
        </w:rPr>
        <w:t>eau,</w:t>
      </w:r>
      <w:r w:rsidR="003B1C6F" w:rsidRPr="00B01850">
        <w:rPr>
          <w:rFonts w:ascii="Arial" w:eastAsia="Calibri" w:hAnsi="Arial" w:cs="Arial"/>
        </w:rPr>
        <w:t xml:space="preserve"> les </w:t>
      </w:r>
      <w:r w:rsidRPr="00B01850">
        <w:rPr>
          <w:rFonts w:ascii="Arial" w:eastAsia="Calibri" w:hAnsi="Arial" w:cs="Arial"/>
        </w:rPr>
        <w:t>déchets généraux produits par le travail de bureau</w:t>
      </w:r>
      <w:r w:rsidR="003B1C6F" w:rsidRPr="00B01850">
        <w:rPr>
          <w:rFonts w:ascii="Arial" w:eastAsia="Calibri" w:hAnsi="Arial" w:cs="Arial"/>
        </w:rPr>
        <w:t>,</w:t>
      </w:r>
      <w:r w:rsidRPr="00B01850">
        <w:rPr>
          <w:rFonts w:ascii="Arial" w:eastAsia="Calibri" w:hAnsi="Arial" w:cs="Arial"/>
        </w:rPr>
        <w:t xml:space="preserve"> petites quantités de conteneurs en plastique usagés pour les huiles et les lubrifiants, filtres et courroies brisés, pneus endommagés</w:t>
      </w:r>
      <w:r w:rsidR="001751C7" w:rsidRPr="00B01850">
        <w:rPr>
          <w:rFonts w:ascii="Arial" w:eastAsia="Calibri" w:hAnsi="Arial" w:cs="Arial"/>
        </w:rPr>
        <w:t>,</w:t>
      </w:r>
      <w:r w:rsidRPr="00B01850">
        <w:rPr>
          <w:rFonts w:ascii="Arial" w:eastAsia="Calibri" w:hAnsi="Arial" w:cs="Arial"/>
        </w:rPr>
        <w:t xml:space="preserve"> papier, bouteilles, canettes, plastiques</w:t>
      </w:r>
      <w:r w:rsidR="001751C7" w:rsidRPr="00B01850">
        <w:rPr>
          <w:rFonts w:ascii="Arial" w:eastAsia="Calibri" w:hAnsi="Arial" w:cs="Arial"/>
        </w:rPr>
        <w:t>. L</w:t>
      </w:r>
      <w:r w:rsidRPr="00B01850">
        <w:rPr>
          <w:rFonts w:ascii="Arial" w:eastAsia="Calibri" w:hAnsi="Arial" w:cs="Arial"/>
        </w:rPr>
        <w:t>es</w:t>
      </w:r>
      <w:r w:rsidR="001751C7" w:rsidRPr="00B01850">
        <w:rPr>
          <w:rFonts w:ascii="Arial" w:eastAsia="Calibri" w:hAnsi="Arial" w:cs="Arial"/>
        </w:rPr>
        <w:t xml:space="preserve"> </w:t>
      </w:r>
      <w:r w:rsidRPr="00B01850">
        <w:rPr>
          <w:rFonts w:ascii="Arial" w:eastAsia="Calibri" w:hAnsi="Arial" w:cs="Arial"/>
        </w:rPr>
        <w:t xml:space="preserve">déchets liés aux fournitures médicales </w:t>
      </w:r>
      <w:r w:rsidR="001751C7" w:rsidRPr="00B01850">
        <w:rPr>
          <w:rFonts w:ascii="Arial" w:eastAsia="Calibri" w:hAnsi="Arial" w:cs="Arial"/>
        </w:rPr>
        <w:t xml:space="preserve">comme indiqués plus haut </w:t>
      </w:r>
      <w:r w:rsidRPr="00B01850">
        <w:rPr>
          <w:rFonts w:ascii="Arial" w:eastAsia="Calibri" w:hAnsi="Arial" w:cs="Arial"/>
        </w:rPr>
        <w:t xml:space="preserve">font l'objet d'un plan distinct. </w:t>
      </w:r>
    </w:p>
    <w:p w14:paraId="7666F633" w14:textId="77777777" w:rsidR="00DD3BBD" w:rsidRPr="00B01850" w:rsidRDefault="00DD3BBD" w:rsidP="00DD3BBD">
      <w:pPr>
        <w:spacing w:after="0" w:line="240" w:lineRule="auto"/>
        <w:jc w:val="both"/>
        <w:rPr>
          <w:rFonts w:ascii="Arial" w:eastAsia="Calibri" w:hAnsi="Arial" w:cs="Arial"/>
        </w:rPr>
      </w:pPr>
    </w:p>
    <w:p w14:paraId="0E4C478C" w14:textId="77777777" w:rsidR="0076248F" w:rsidRPr="00B01850" w:rsidRDefault="00DD3BBD" w:rsidP="00DD3BBD">
      <w:pPr>
        <w:spacing w:after="0" w:line="240" w:lineRule="auto"/>
        <w:jc w:val="both"/>
        <w:rPr>
          <w:rFonts w:ascii="Arial" w:eastAsia="Calibri" w:hAnsi="Arial" w:cs="Arial"/>
        </w:rPr>
      </w:pPr>
      <w:r w:rsidRPr="00B01850">
        <w:rPr>
          <w:rFonts w:ascii="Arial" w:eastAsia="Calibri" w:hAnsi="Arial" w:cs="Arial"/>
        </w:rPr>
        <w:t xml:space="preserve">Ce cadre </w:t>
      </w:r>
      <w:r w:rsidR="00F03C9B" w:rsidRPr="00B01850">
        <w:rPr>
          <w:rFonts w:ascii="Arial" w:eastAsia="Calibri" w:hAnsi="Arial" w:cs="Arial"/>
        </w:rPr>
        <w:t xml:space="preserve">encadrera la gestion des </w:t>
      </w:r>
      <w:r w:rsidRPr="00B01850">
        <w:rPr>
          <w:rFonts w:ascii="Arial" w:eastAsia="Calibri" w:hAnsi="Arial" w:cs="Arial"/>
        </w:rPr>
        <w:t>risques de destruction et/ou de pollution de l'environnement.</w:t>
      </w:r>
      <w:r w:rsidR="00D43F00" w:rsidRPr="00B01850">
        <w:rPr>
          <w:rFonts w:ascii="Arial" w:eastAsia="Calibri" w:hAnsi="Arial" w:cs="Arial"/>
        </w:rPr>
        <w:t xml:space="preserve"> A cet effet, il permet de p</w:t>
      </w:r>
      <w:r w:rsidRPr="00B01850">
        <w:rPr>
          <w:rFonts w:ascii="Arial" w:eastAsia="Calibri" w:hAnsi="Arial" w:cs="Arial"/>
          <w:iCs/>
        </w:rPr>
        <w:t>révenir tout impact négatif sur les conditions environnementales locales de</w:t>
      </w:r>
      <w:r w:rsidR="00CD27A4" w:rsidRPr="00B01850">
        <w:rPr>
          <w:rFonts w:ascii="Arial" w:eastAsia="Calibri" w:hAnsi="Arial" w:cs="Arial"/>
          <w:iCs/>
        </w:rPr>
        <w:t>s</w:t>
      </w:r>
      <w:r w:rsidRPr="00B01850">
        <w:rPr>
          <w:rFonts w:ascii="Arial" w:eastAsia="Calibri" w:hAnsi="Arial" w:cs="Arial"/>
          <w:iCs/>
        </w:rPr>
        <w:t xml:space="preserve"> activité</w:t>
      </w:r>
      <w:r w:rsidR="00CD27A4" w:rsidRPr="00B01850">
        <w:rPr>
          <w:rFonts w:ascii="Arial" w:eastAsia="Calibri" w:hAnsi="Arial" w:cs="Arial"/>
          <w:iCs/>
        </w:rPr>
        <w:t>s</w:t>
      </w:r>
      <w:r w:rsidRPr="00B01850">
        <w:rPr>
          <w:rFonts w:ascii="Arial" w:eastAsia="Calibri" w:hAnsi="Arial" w:cs="Arial"/>
          <w:iCs/>
        </w:rPr>
        <w:t xml:space="preserve"> </w:t>
      </w:r>
      <w:r w:rsidR="00CD27A4" w:rsidRPr="00B01850">
        <w:rPr>
          <w:rFonts w:ascii="Arial" w:eastAsia="Calibri" w:hAnsi="Arial" w:cs="Arial"/>
          <w:iCs/>
        </w:rPr>
        <w:t xml:space="preserve">du projet susceptibles de </w:t>
      </w:r>
      <w:r w:rsidRPr="00B01850">
        <w:rPr>
          <w:rFonts w:ascii="Arial" w:eastAsia="Calibri" w:hAnsi="Arial" w:cs="Arial"/>
          <w:iCs/>
        </w:rPr>
        <w:t>génér</w:t>
      </w:r>
      <w:r w:rsidR="00CD27A4" w:rsidRPr="00B01850">
        <w:rPr>
          <w:rFonts w:ascii="Arial" w:eastAsia="Calibri" w:hAnsi="Arial" w:cs="Arial"/>
          <w:iCs/>
        </w:rPr>
        <w:t xml:space="preserve">er les </w:t>
      </w:r>
      <w:r w:rsidRPr="00B01850">
        <w:rPr>
          <w:rFonts w:ascii="Arial" w:eastAsia="Calibri" w:hAnsi="Arial" w:cs="Arial"/>
          <w:iCs/>
        </w:rPr>
        <w:t xml:space="preserve">déchets en appliquant les principes et les </w:t>
      </w:r>
      <w:r w:rsidR="0076248F" w:rsidRPr="00B01850">
        <w:rPr>
          <w:rFonts w:ascii="Arial" w:eastAsia="Calibri" w:hAnsi="Arial" w:cs="Arial"/>
          <w:iCs/>
        </w:rPr>
        <w:t>bonnes</w:t>
      </w:r>
      <w:r w:rsidRPr="00B01850">
        <w:rPr>
          <w:rFonts w:ascii="Arial" w:eastAsia="Calibri" w:hAnsi="Arial" w:cs="Arial"/>
          <w:iCs/>
        </w:rPr>
        <w:t xml:space="preserve"> pratiques</w:t>
      </w:r>
      <w:r w:rsidR="0076248F" w:rsidRPr="00B01850">
        <w:rPr>
          <w:rFonts w:ascii="Arial" w:eastAsia="Calibri" w:hAnsi="Arial" w:cs="Arial"/>
          <w:iCs/>
        </w:rPr>
        <w:t xml:space="preserve"> de gestion des déchets</w:t>
      </w:r>
      <w:r w:rsidR="0076248F" w:rsidRPr="00B01850">
        <w:rPr>
          <w:rFonts w:ascii="Arial" w:eastAsia="Calibri" w:hAnsi="Arial" w:cs="Arial"/>
        </w:rPr>
        <w:t>.</w:t>
      </w:r>
    </w:p>
    <w:p w14:paraId="06EB6C4F" w14:textId="61D48F49" w:rsidR="00DD3BBD" w:rsidRPr="00B01850" w:rsidRDefault="00DD3BBD" w:rsidP="0076248F">
      <w:pPr>
        <w:spacing w:before="240" w:after="120" w:line="240" w:lineRule="auto"/>
        <w:jc w:val="both"/>
        <w:rPr>
          <w:rFonts w:ascii="Arial" w:eastAsia="Calibri" w:hAnsi="Arial" w:cs="Arial"/>
        </w:rPr>
      </w:pPr>
      <w:r w:rsidRPr="00B01850">
        <w:rPr>
          <w:rFonts w:ascii="Arial" w:eastAsia="Calibri" w:hAnsi="Arial" w:cs="Arial"/>
          <w:bCs/>
        </w:rPr>
        <w:t>Les objectifs sont les suivants :</w:t>
      </w:r>
    </w:p>
    <w:p w14:paraId="10A6B638" w14:textId="186E2CA1" w:rsidR="00DD3BBD" w:rsidRPr="00B01850" w:rsidRDefault="00DD3BBD" w:rsidP="00214DCC">
      <w:pPr>
        <w:pStyle w:val="ListParagraph"/>
        <w:numPr>
          <w:ilvl w:val="0"/>
          <w:numId w:val="157"/>
        </w:numPr>
        <w:spacing w:after="0" w:line="240" w:lineRule="auto"/>
        <w:jc w:val="both"/>
        <w:rPr>
          <w:rFonts w:ascii="Arial" w:eastAsia="Batang" w:hAnsi="Arial" w:cs="Arial"/>
        </w:rPr>
      </w:pPr>
      <w:r w:rsidRPr="00B01850">
        <w:rPr>
          <w:rFonts w:ascii="Arial" w:eastAsia="Batang" w:hAnsi="Arial" w:cs="Arial"/>
        </w:rPr>
        <w:lastRenderedPageBreak/>
        <w:t>Réduire la production de</w:t>
      </w:r>
      <w:r w:rsidR="00060CE3" w:rsidRPr="00B01850">
        <w:rPr>
          <w:rFonts w:ascii="Arial" w:eastAsia="Batang" w:hAnsi="Arial" w:cs="Arial"/>
        </w:rPr>
        <w:t>s</w:t>
      </w:r>
      <w:r w:rsidRPr="00B01850">
        <w:rPr>
          <w:rFonts w:ascii="Arial" w:eastAsia="Batang" w:hAnsi="Arial" w:cs="Arial"/>
        </w:rPr>
        <w:t xml:space="preserve"> déchets, conformément aux principes de la hiérarchie des déchet</w:t>
      </w:r>
      <w:r w:rsidR="00060CE3" w:rsidRPr="00B01850">
        <w:rPr>
          <w:rFonts w:ascii="Arial" w:eastAsia="Batang" w:hAnsi="Arial" w:cs="Arial"/>
        </w:rPr>
        <w:t xml:space="preserve">s dont </w:t>
      </w:r>
      <w:r w:rsidRPr="00B01850">
        <w:rPr>
          <w:rFonts w:ascii="Arial" w:eastAsia="Batang" w:hAnsi="Arial" w:cs="Arial"/>
        </w:rPr>
        <w:t>réduire, réutiliser et recycler.</w:t>
      </w:r>
    </w:p>
    <w:p w14:paraId="05124480" w14:textId="4F45715F" w:rsidR="00DD3BBD" w:rsidRPr="00B01850" w:rsidRDefault="00060CE3" w:rsidP="00214DCC">
      <w:pPr>
        <w:pStyle w:val="ListParagraph"/>
        <w:numPr>
          <w:ilvl w:val="0"/>
          <w:numId w:val="157"/>
        </w:numPr>
        <w:spacing w:after="0" w:line="240" w:lineRule="auto"/>
        <w:jc w:val="both"/>
        <w:rPr>
          <w:rFonts w:ascii="Arial" w:eastAsia="Batang" w:hAnsi="Arial" w:cs="Arial"/>
        </w:rPr>
      </w:pPr>
      <w:r w:rsidRPr="00B01850">
        <w:rPr>
          <w:rFonts w:ascii="Arial" w:eastAsia="Batang" w:hAnsi="Arial" w:cs="Arial"/>
        </w:rPr>
        <w:t>Gérer les différents types de déchets en se c</w:t>
      </w:r>
      <w:r w:rsidR="00DD3BBD" w:rsidRPr="00B01850">
        <w:rPr>
          <w:rFonts w:ascii="Arial" w:eastAsia="Batang" w:hAnsi="Arial" w:cs="Arial"/>
        </w:rPr>
        <w:t>onform</w:t>
      </w:r>
      <w:r w:rsidRPr="00B01850">
        <w:rPr>
          <w:rFonts w:ascii="Arial" w:eastAsia="Batang" w:hAnsi="Arial" w:cs="Arial"/>
        </w:rPr>
        <w:t xml:space="preserve">ant à la </w:t>
      </w:r>
      <w:r w:rsidR="00DD3BBD" w:rsidRPr="00B01850">
        <w:rPr>
          <w:rFonts w:ascii="Arial" w:eastAsia="Batang" w:hAnsi="Arial" w:cs="Arial"/>
        </w:rPr>
        <w:t>réglementation</w:t>
      </w:r>
      <w:r w:rsidRPr="00B01850">
        <w:rPr>
          <w:rFonts w:ascii="Arial" w:eastAsia="Batang" w:hAnsi="Arial" w:cs="Arial"/>
        </w:rPr>
        <w:t xml:space="preserve"> nationale, les </w:t>
      </w:r>
      <w:r w:rsidR="00DD3BBD" w:rsidRPr="00B01850">
        <w:rPr>
          <w:rFonts w:ascii="Arial" w:eastAsia="Batang" w:hAnsi="Arial" w:cs="Arial"/>
        </w:rPr>
        <w:t>normes pertinentes</w:t>
      </w:r>
      <w:r w:rsidRPr="00B01850">
        <w:rPr>
          <w:rFonts w:ascii="Arial" w:eastAsia="Batang" w:hAnsi="Arial" w:cs="Arial"/>
        </w:rPr>
        <w:t xml:space="preserve"> et les bonnes pratiques</w:t>
      </w:r>
      <w:r w:rsidR="00DD3BBD" w:rsidRPr="00B01850">
        <w:rPr>
          <w:rFonts w:ascii="Arial" w:eastAsia="Batang" w:hAnsi="Arial" w:cs="Arial"/>
        </w:rPr>
        <w:t>.</w:t>
      </w:r>
    </w:p>
    <w:p w14:paraId="628502D7" w14:textId="77777777" w:rsidR="00DD3BBD" w:rsidRPr="00B01850" w:rsidRDefault="00DD3BBD" w:rsidP="00214DCC">
      <w:pPr>
        <w:pStyle w:val="ListParagraph"/>
        <w:numPr>
          <w:ilvl w:val="0"/>
          <w:numId w:val="157"/>
        </w:numPr>
        <w:spacing w:after="0" w:line="240" w:lineRule="auto"/>
        <w:jc w:val="both"/>
        <w:rPr>
          <w:rFonts w:ascii="Arial" w:hAnsi="Arial" w:cs="Arial"/>
        </w:rPr>
      </w:pPr>
      <w:r w:rsidRPr="00B01850">
        <w:rPr>
          <w:rFonts w:ascii="Arial" w:hAnsi="Arial" w:cs="Arial"/>
        </w:rPr>
        <w:t>Réutiliser, réduire ou recycler les matériaux lorsque cela est possible ;</w:t>
      </w:r>
    </w:p>
    <w:p w14:paraId="23CACD98" w14:textId="77777777" w:rsidR="00DD3BBD" w:rsidRPr="00B01850" w:rsidRDefault="00DD3BBD" w:rsidP="00214DCC">
      <w:pPr>
        <w:pStyle w:val="ListParagraph"/>
        <w:numPr>
          <w:ilvl w:val="0"/>
          <w:numId w:val="157"/>
        </w:numPr>
        <w:spacing w:after="0" w:line="240" w:lineRule="auto"/>
        <w:jc w:val="both"/>
        <w:rPr>
          <w:rFonts w:ascii="Arial" w:hAnsi="Arial" w:cs="Arial"/>
        </w:rPr>
      </w:pPr>
      <w:r w:rsidRPr="00B01850">
        <w:rPr>
          <w:rFonts w:ascii="Arial" w:hAnsi="Arial" w:cs="Arial"/>
        </w:rPr>
        <w:t>Promouvoir la sensibilisation et le respect des procédures appropriées de gestion des déchets ;</w:t>
      </w:r>
    </w:p>
    <w:p w14:paraId="24AC83B9" w14:textId="4C9CFE1D" w:rsidR="00060CE3" w:rsidRPr="00B01850" w:rsidRDefault="00060CE3" w:rsidP="00214DCC">
      <w:pPr>
        <w:pStyle w:val="ListParagraph"/>
        <w:numPr>
          <w:ilvl w:val="0"/>
          <w:numId w:val="157"/>
        </w:numPr>
        <w:spacing w:after="0" w:line="240" w:lineRule="auto"/>
        <w:jc w:val="both"/>
        <w:rPr>
          <w:rFonts w:ascii="Arial" w:hAnsi="Arial" w:cs="Arial"/>
        </w:rPr>
      </w:pPr>
      <w:r w:rsidRPr="00B01850">
        <w:rPr>
          <w:rFonts w:ascii="Arial" w:hAnsi="Arial" w:cs="Arial"/>
        </w:rPr>
        <w:t>Former les différents acteurs impliqués dans la mise en œuvre du projet sur les questions d gestion des déchets ;</w:t>
      </w:r>
    </w:p>
    <w:p w14:paraId="5A5648D0" w14:textId="49DAA506" w:rsidR="00A81575" w:rsidRPr="00B01850" w:rsidRDefault="00060CE3" w:rsidP="00214DCC">
      <w:pPr>
        <w:pStyle w:val="ListParagraph"/>
        <w:numPr>
          <w:ilvl w:val="0"/>
          <w:numId w:val="157"/>
        </w:numPr>
        <w:spacing w:after="0" w:line="240" w:lineRule="auto"/>
        <w:jc w:val="both"/>
        <w:rPr>
          <w:rFonts w:ascii="Arial" w:hAnsi="Arial" w:cs="Arial"/>
        </w:rPr>
      </w:pPr>
      <w:r w:rsidRPr="00B01850">
        <w:rPr>
          <w:rFonts w:ascii="Arial" w:hAnsi="Arial" w:cs="Arial"/>
        </w:rPr>
        <w:t>G</w:t>
      </w:r>
      <w:r w:rsidR="00DD3BBD" w:rsidRPr="00B01850">
        <w:rPr>
          <w:rFonts w:ascii="Arial" w:hAnsi="Arial" w:cs="Arial"/>
        </w:rPr>
        <w:t>érer</w:t>
      </w:r>
      <w:r w:rsidRPr="00B01850">
        <w:rPr>
          <w:rFonts w:ascii="Arial" w:hAnsi="Arial" w:cs="Arial"/>
        </w:rPr>
        <w:t xml:space="preserve"> </w:t>
      </w:r>
      <w:r w:rsidR="00DD3BBD" w:rsidRPr="00B01850">
        <w:rPr>
          <w:rFonts w:ascii="Arial" w:hAnsi="Arial" w:cs="Arial"/>
        </w:rPr>
        <w:t>les déchets aussi près que possible de la source ;</w:t>
      </w:r>
    </w:p>
    <w:p w14:paraId="01BA68D7" w14:textId="23714EED" w:rsidR="00DD3BBD" w:rsidRPr="00B01850" w:rsidRDefault="00060CE3" w:rsidP="00214DCC">
      <w:pPr>
        <w:pStyle w:val="ListParagraph"/>
        <w:numPr>
          <w:ilvl w:val="0"/>
          <w:numId w:val="158"/>
        </w:numPr>
        <w:spacing w:before="120" w:after="120" w:line="240" w:lineRule="auto"/>
        <w:contextualSpacing w:val="0"/>
        <w:jc w:val="both"/>
        <w:rPr>
          <w:rFonts w:ascii="Arial" w:eastAsiaTheme="minorHAnsi" w:hAnsi="Arial" w:cs="Arial"/>
          <w:color w:val="1D1B11" w:themeColor="background2" w:themeShade="1A"/>
        </w:rPr>
      </w:pPr>
      <w:r w:rsidRPr="00B01850">
        <w:rPr>
          <w:rFonts w:ascii="Arial" w:hAnsi="Arial" w:cs="Arial"/>
          <w:b/>
        </w:rPr>
        <w:t>Types de déchets et gestion</w:t>
      </w:r>
    </w:p>
    <w:p w14:paraId="012F47AF" w14:textId="77777777" w:rsidR="00AC7B7F" w:rsidRPr="00B01850" w:rsidRDefault="00DD3BBD" w:rsidP="00DD3BBD">
      <w:pPr>
        <w:spacing w:after="0" w:line="240" w:lineRule="auto"/>
        <w:jc w:val="both"/>
        <w:rPr>
          <w:rFonts w:ascii="Arial" w:hAnsi="Arial" w:cs="Arial"/>
        </w:rPr>
      </w:pPr>
      <w:r w:rsidRPr="00B01850">
        <w:rPr>
          <w:rFonts w:ascii="Arial" w:hAnsi="Arial" w:cs="Arial"/>
        </w:rPr>
        <w:t>Ce</w:t>
      </w:r>
      <w:r w:rsidR="00AC7B7F" w:rsidRPr="00B01850">
        <w:rPr>
          <w:rFonts w:ascii="Arial" w:hAnsi="Arial" w:cs="Arial"/>
        </w:rPr>
        <w:t xml:space="preserve"> cadre </w:t>
      </w:r>
      <w:r w:rsidRPr="00B01850">
        <w:rPr>
          <w:rFonts w:ascii="Arial" w:hAnsi="Arial" w:cs="Arial"/>
        </w:rPr>
        <w:t xml:space="preserve">décrit les déchets non dangereux comme des déchets qui ne nuisent ni à la personne ni à la santé environnementale. Ces </w:t>
      </w:r>
      <w:r w:rsidR="00AC7B7F" w:rsidRPr="00B01850">
        <w:rPr>
          <w:rFonts w:ascii="Arial" w:hAnsi="Arial" w:cs="Arial"/>
        </w:rPr>
        <w:t xml:space="preserve">types de </w:t>
      </w:r>
      <w:r w:rsidRPr="00B01850">
        <w:rPr>
          <w:rFonts w:ascii="Arial" w:hAnsi="Arial" w:cs="Arial"/>
        </w:rPr>
        <w:t xml:space="preserve">déchets </w:t>
      </w:r>
      <w:r w:rsidR="00AC7B7F" w:rsidRPr="00B01850">
        <w:rPr>
          <w:rFonts w:ascii="Arial" w:hAnsi="Arial" w:cs="Arial"/>
        </w:rPr>
        <w:t xml:space="preserve">sont classés en deux catégories dont ; (i) </w:t>
      </w:r>
      <w:r w:rsidRPr="00B01850">
        <w:rPr>
          <w:rFonts w:ascii="Arial" w:hAnsi="Arial" w:cs="Arial"/>
        </w:rPr>
        <w:t xml:space="preserve">déchets biodégradables et </w:t>
      </w:r>
      <w:r w:rsidR="00AC7B7F" w:rsidRPr="00B01850">
        <w:rPr>
          <w:rFonts w:ascii="Arial" w:hAnsi="Arial" w:cs="Arial"/>
        </w:rPr>
        <w:t xml:space="preserve">(ii) déchets </w:t>
      </w:r>
      <w:r w:rsidRPr="00B01850">
        <w:rPr>
          <w:rFonts w:ascii="Arial" w:hAnsi="Arial" w:cs="Arial"/>
        </w:rPr>
        <w:t>non biodégradables.</w:t>
      </w:r>
    </w:p>
    <w:p w14:paraId="5A34F1E8" w14:textId="77777777" w:rsidR="00AC7B7F" w:rsidRPr="00B01850" w:rsidRDefault="00AC7B7F" w:rsidP="00214DCC">
      <w:pPr>
        <w:pStyle w:val="ListParagraph"/>
        <w:numPr>
          <w:ilvl w:val="0"/>
          <w:numId w:val="159"/>
        </w:numPr>
        <w:spacing w:before="120" w:after="0" w:line="240" w:lineRule="auto"/>
        <w:ind w:left="994"/>
        <w:contextualSpacing w:val="0"/>
        <w:jc w:val="both"/>
        <w:rPr>
          <w:rFonts w:ascii="Arial" w:hAnsi="Arial" w:cs="Arial"/>
        </w:rPr>
      </w:pPr>
      <w:r w:rsidRPr="00B01850">
        <w:rPr>
          <w:rFonts w:ascii="Arial" w:hAnsi="Arial" w:cs="Arial"/>
        </w:rPr>
        <w:t xml:space="preserve">Les </w:t>
      </w:r>
      <w:r w:rsidR="00DD3BBD" w:rsidRPr="00B01850">
        <w:rPr>
          <w:rFonts w:ascii="Arial" w:hAnsi="Arial" w:cs="Arial"/>
        </w:rPr>
        <w:t>déchets biodégradables comprennent toute matière organique qui peut être décomposée en dioxyde de carbone, en eau, en méthane, en compost, en humus et en molécules organiques simples par des micro-organismes.</w:t>
      </w:r>
    </w:p>
    <w:p w14:paraId="6A0FBBB1" w14:textId="77777777" w:rsidR="00AC7B7F" w:rsidRPr="00B01850" w:rsidRDefault="00DD3BBD" w:rsidP="00214DCC">
      <w:pPr>
        <w:pStyle w:val="ListParagraph"/>
        <w:numPr>
          <w:ilvl w:val="0"/>
          <w:numId w:val="159"/>
        </w:numPr>
        <w:spacing w:after="0" w:line="240" w:lineRule="auto"/>
        <w:jc w:val="both"/>
        <w:rPr>
          <w:rFonts w:ascii="Arial" w:hAnsi="Arial" w:cs="Arial"/>
        </w:rPr>
      </w:pPr>
      <w:r w:rsidRPr="00B01850">
        <w:rPr>
          <w:rFonts w:ascii="Arial" w:hAnsi="Arial" w:cs="Arial"/>
        </w:rPr>
        <w:t>Les déchets non biodégradables sont ceux qui ne peuvent pas être décomposés ou dissous par des agents naturels.</w:t>
      </w:r>
    </w:p>
    <w:p w14:paraId="6754A0EC" w14:textId="4C19258A" w:rsidR="00DD3BBD" w:rsidRPr="00B01850" w:rsidRDefault="00AC7B7F" w:rsidP="00AC7B7F">
      <w:pPr>
        <w:spacing w:after="0" w:line="240" w:lineRule="auto"/>
        <w:jc w:val="both"/>
        <w:rPr>
          <w:rFonts w:ascii="Arial" w:hAnsi="Arial" w:cs="Arial"/>
        </w:rPr>
      </w:pPr>
      <w:r w:rsidRPr="00B01850">
        <w:rPr>
          <w:rFonts w:ascii="Arial" w:hAnsi="Arial" w:cs="Arial"/>
        </w:rPr>
        <w:t xml:space="preserve">Ainsi, durant la mise en œuvre du projet, des </w:t>
      </w:r>
      <w:r w:rsidR="00DD3BBD" w:rsidRPr="00B01850">
        <w:rPr>
          <w:rFonts w:ascii="Arial" w:hAnsi="Arial" w:cs="Arial"/>
        </w:rPr>
        <w:t xml:space="preserve">déchets seront produits à partir de sources telles que les </w:t>
      </w:r>
      <w:r w:rsidR="00FC3923" w:rsidRPr="00B01850">
        <w:rPr>
          <w:rFonts w:ascii="Arial" w:hAnsi="Arial" w:cs="Arial"/>
        </w:rPr>
        <w:t>activités techniques de bureau ou de mobilisation du personnel, les déplacement</w:t>
      </w:r>
      <w:r w:rsidR="004E61F6" w:rsidRPr="00B01850">
        <w:rPr>
          <w:rFonts w:ascii="Arial" w:hAnsi="Arial" w:cs="Arial"/>
        </w:rPr>
        <w:t>s</w:t>
      </w:r>
      <w:r w:rsidR="00FC3923" w:rsidRPr="00B01850">
        <w:rPr>
          <w:rFonts w:ascii="Arial" w:hAnsi="Arial" w:cs="Arial"/>
        </w:rPr>
        <w:t xml:space="preserve"> vers les communautés touchées par une catastrophe, la fourniture de biens et services, l’alimentation du personnel et des ménages </w:t>
      </w:r>
      <w:r w:rsidR="004E61F6" w:rsidRPr="00B01850">
        <w:rPr>
          <w:rFonts w:ascii="Arial" w:hAnsi="Arial" w:cs="Arial"/>
        </w:rPr>
        <w:t xml:space="preserve">affectés, les campements crées pour installer les communautés affectées </w:t>
      </w:r>
      <w:r w:rsidR="00DD3BBD" w:rsidRPr="00B01850">
        <w:rPr>
          <w:rFonts w:ascii="Arial" w:hAnsi="Arial" w:cs="Arial"/>
        </w:rPr>
        <w:t xml:space="preserve">et les chantiers de distribution. </w:t>
      </w:r>
    </w:p>
    <w:p w14:paraId="2298A618" w14:textId="0EB2172B" w:rsidR="00DD3BBD" w:rsidRPr="00B01850" w:rsidRDefault="00DD3BBD" w:rsidP="00DD3BBD">
      <w:pPr>
        <w:spacing w:after="0" w:line="240" w:lineRule="auto"/>
        <w:jc w:val="both"/>
        <w:rPr>
          <w:rFonts w:ascii="Arial" w:hAnsi="Arial" w:cs="Arial"/>
        </w:rPr>
      </w:pPr>
    </w:p>
    <w:p w14:paraId="748BE52F" w14:textId="243E89D2" w:rsidR="00A81575" w:rsidRPr="00B01850" w:rsidRDefault="00A81575" w:rsidP="00A81575">
      <w:pPr>
        <w:pStyle w:val="Caption"/>
        <w:rPr>
          <w:rFonts w:ascii="Arial" w:hAnsi="Arial" w:cs="Arial"/>
          <w:b/>
          <w:bCs/>
          <w:i w:val="0"/>
          <w:iCs w:val="0"/>
          <w:color w:val="auto"/>
          <w:sz w:val="22"/>
          <w:szCs w:val="22"/>
        </w:rPr>
      </w:pPr>
      <w:bookmarkStart w:id="220" w:name="_Toc178919548"/>
      <w:bookmarkStart w:id="221" w:name="_Toc178919710"/>
      <w:r w:rsidRPr="00B01850">
        <w:rPr>
          <w:rFonts w:ascii="Arial" w:hAnsi="Arial" w:cs="Arial"/>
          <w:i w:val="0"/>
          <w:iCs w:val="0"/>
          <w:color w:val="auto"/>
          <w:sz w:val="22"/>
          <w:szCs w:val="22"/>
        </w:rPr>
        <w:t>Table</w:t>
      </w:r>
      <w:r w:rsidR="00594A10" w:rsidRPr="00B01850">
        <w:rPr>
          <w:rFonts w:ascii="Arial" w:hAnsi="Arial" w:cs="Arial"/>
          <w:i w:val="0"/>
          <w:iCs w:val="0"/>
          <w:color w:val="auto"/>
          <w:sz w:val="22"/>
          <w:szCs w:val="22"/>
        </w:rPr>
        <w:t>… :</w:t>
      </w:r>
      <w:r w:rsidRPr="00B01850">
        <w:rPr>
          <w:rFonts w:ascii="Arial" w:hAnsi="Arial" w:cs="Arial"/>
          <w:i w:val="0"/>
          <w:iCs w:val="0"/>
          <w:color w:val="auto"/>
          <w:sz w:val="22"/>
          <w:szCs w:val="22"/>
        </w:rPr>
        <w:t xml:space="preserve"> Modes de gestion proposés pour les déchets produits</w:t>
      </w:r>
      <w:bookmarkEnd w:id="220"/>
      <w:bookmarkEnd w:id="221"/>
    </w:p>
    <w:tbl>
      <w:tblPr>
        <w:tblStyle w:val="TableGrid"/>
        <w:tblW w:w="0" w:type="auto"/>
        <w:tblLook w:val="04A0" w:firstRow="1" w:lastRow="0" w:firstColumn="1" w:lastColumn="0" w:noHBand="0" w:noVBand="1"/>
      </w:tblPr>
      <w:tblGrid>
        <w:gridCol w:w="4675"/>
        <w:gridCol w:w="4675"/>
      </w:tblGrid>
      <w:tr w:rsidR="00DD3BBD" w:rsidRPr="00B01850" w14:paraId="27FABC7E" w14:textId="77777777" w:rsidTr="004E61F6">
        <w:tc>
          <w:tcPr>
            <w:tcW w:w="4675" w:type="dxa"/>
            <w:shd w:val="clear" w:color="auto" w:fill="FDE9D9" w:themeFill="accent6" w:themeFillTint="33"/>
          </w:tcPr>
          <w:p w14:paraId="55289B51" w14:textId="5465B858" w:rsidR="00DD3BBD" w:rsidRPr="00B01850" w:rsidRDefault="00DD3BBD" w:rsidP="004E61F6">
            <w:pPr>
              <w:jc w:val="center"/>
              <w:rPr>
                <w:rFonts w:ascii="Arial" w:hAnsi="Arial" w:cs="Arial"/>
                <w:i/>
                <w:iCs/>
                <w:sz w:val="22"/>
                <w:szCs w:val="22"/>
              </w:rPr>
            </w:pPr>
            <w:r w:rsidRPr="00B01850">
              <w:rPr>
                <w:rFonts w:ascii="Arial" w:hAnsi="Arial" w:cs="Arial"/>
                <w:i/>
                <w:iCs/>
                <w:sz w:val="22"/>
                <w:szCs w:val="22"/>
              </w:rPr>
              <w:t>Type de déchet</w:t>
            </w:r>
          </w:p>
        </w:tc>
        <w:tc>
          <w:tcPr>
            <w:tcW w:w="4675" w:type="dxa"/>
            <w:shd w:val="clear" w:color="auto" w:fill="FDE9D9" w:themeFill="accent6" w:themeFillTint="33"/>
          </w:tcPr>
          <w:p w14:paraId="11DB5FE6" w14:textId="77777777" w:rsidR="00DD3BBD" w:rsidRPr="00B01850" w:rsidRDefault="00DD3BBD" w:rsidP="004E61F6">
            <w:pPr>
              <w:jc w:val="center"/>
              <w:rPr>
                <w:rFonts w:ascii="Arial" w:hAnsi="Arial" w:cs="Arial"/>
                <w:i/>
                <w:iCs/>
                <w:sz w:val="22"/>
                <w:szCs w:val="22"/>
              </w:rPr>
            </w:pPr>
            <w:r w:rsidRPr="00B01850">
              <w:rPr>
                <w:rFonts w:ascii="Arial" w:hAnsi="Arial" w:cs="Arial"/>
                <w:i/>
                <w:iCs/>
                <w:sz w:val="22"/>
                <w:szCs w:val="22"/>
              </w:rPr>
              <w:t>Mesures de gestion</w:t>
            </w:r>
          </w:p>
        </w:tc>
      </w:tr>
      <w:tr w:rsidR="00DD3BBD" w:rsidRPr="00B01850" w14:paraId="2F74E3CF" w14:textId="77777777">
        <w:tc>
          <w:tcPr>
            <w:tcW w:w="4675" w:type="dxa"/>
          </w:tcPr>
          <w:p w14:paraId="1DD081BE" w14:textId="77777777" w:rsidR="00DD3BBD" w:rsidRPr="00B01850" w:rsidRDefault="00DD3BBD" w:rsidP="00DD3BBD">
            <w:pPr>
              <w:jc w:val="both"/>
              <w:rPr>
                <w:rFonts w:ascii="Arial" w:hAnsi="Arial" w:cs="Arial"/>
                <w:sz w:val="22"/>
                <w:szCs w:val="22"/>
              </w:rPr>
            </w:pPr>
            <w:r w:rsidRPr="00B01850">
              <w:rPr>
                <w:rFonts w:ascii="Arial" w:hAnsi="Arial" w:cs="Arial"/>
                <w:sz w:val="22"/>
                <w:szCs w:val="22"/>
              </w:rPr>
              <w:t>Gaspillage alimentaire</w:t>
            </w:r>
          </w:p>
        </w:tc>
        <w:tc>
          <w:tcPr>
            <w:tcW w:w="4675" w:type="dxa"/>
          </w:tcPr>
          <w:p w14:paraId="630E1CD4" w14:textId="77777777" w:rsidR="00DD3BBD" w:rsidRPr="00B01850" w:rsidRDefault="00DD3BBD" w:rsidP="00DD3BBD">
            <w:pPr>
              <w:jc w:val="both"/>
              <w:rPr>
                <w:rFonts w:ascii="Arial" w:hAnsi="Arial" w:cs="Arial"/>
                <w:sz w:val="22"/>
                <w:szCs w:val="22"/>
              </w:rPr>
            </w:pPr>
            <w:proofErr w:type="spellStart"/>
            <w:r w:rsidRPr="00B01850">
              <w:rPr>
                <w:rFonts w:ascii="Arial" w:hAnsi="Arial" w:cs="Arial"/>
                <w:sz w:val="22"/>
                <w:szCs w:val="22"/>
              </w:rPr>
              <w:t>Composting</w:t>
            </w:r>
            <w:proofErr w:type="spellEnd"/>
            <w:r w:rsidRPr="00B01850">
              <w:rPr>
                <w:rFonts w:ascii="Arial" w:hAnsi="Arial" w:cs="Arial"/>
                <w:sz w:val="22"/>
                <w:szCs w:val="22"/>
              </w:rPr>
              <w:t>, dispose</w:t>
            </w:r>
          </w:p>
        </w:tc>
      </w:tr>
      <w:tr w:rsidR="00DD3BBD" w:rsidRPr="00B01850" w14:paraId="762963EB" w14:textId="77777777">
        <w:tc>
          <w:tcPr>
            <w:tcW w:w="4675" w:type="dxa"/>
          </w:tcPr>
          <w:p w14:paraId="6D0255C3" w14:textId="77777777" w:rsidR="00DD3BBD" w:rsidRPr="00B01850" w:rsidRDefault="00DD3BBD" w:rsidP="00DD3BBD">
            <w:pPr>
              <w:jc w:val="both"/>
              <w:rPr>
                <w:rFonts w:ascii="Arial" w:hAnsi="Arial" w:cs="Arial"/>
                <w:sz w:val="22"/>
                <w:szCs w:val="22"/>
              </w:rPr>
            </w:pPr>
            <w:r w:rsidRPr="00B01850">
              <w:rPr>
                <w:rFonts w:ascii="Arial" w:hAnsi="Arial" w:cs="Arial"/>
                <w:sz w:val="22"/>
                <w:szCs w:val="22"/>
              </w:rPr>
              <w:t>Papier et carton</w:t>
            </w:r>
          </w:p>
        </w:tc>
        <w:tc>
          <w:tcPr>
            <w:tcW w:w="4675" w:type="dxa"/>
          </w:tcPr>
          <w:p w14:paraId="0DA10AD6" w14:textId="77777777" w:rsidR="00DD3BBD" w:rsidRPr="00B01850" w:rsidRDefault="00DD3BBD" w:rsidP="00DD3BBD">
            <w:pPr>
              <w:jc w:val="both"/>
              <w:rPr>
                <w:rFonts w:ascii="Arial" w:hAnsi="Arial" w:cs="Arial"/>
                <w:sz w:val="22"/>
                <w:szCs w:val="22"/>
              </w:rPr>
            </w:pPr>
            <w:r w:rsidRPr="00B01850">
              <w:rPr>
                <w:rFonts w:ascii="Arial" w:hAnsi="Arial" w:cs="Arial"/>
                <w:sz w:val="22"/>
                <w:szCs w:val="22"/>
              </w:rPr>
              <w:t>Recycler</w:t>
            </w:r>
          </w:p>
        </w:tc>
      </w:tr>
      <w:tr w:rsidR="00DD3BBD" w:rsidRPr="00B01850" w14:paraId="1FAFF684" w14:textId="77777777">
        <w:tc>
          <w:tcPr>
            <w:tcW w:w="4675" w:type="dxa"/>
          </w:tcPr>
          <w:p w14:paraId="2CEB26B5" w14:textId="5C8E2AB9" w:rsidR="00DD3BBD" w:rsidRPr="00B01850" w:rsidRDefault="004E61F6" w:rsidP="00DD3BBD">
            <w:pPr>
              <w:jc w:val="both"/>
              <w:rPr>
                <w:rFonts w:ascii="Arial" w:hAnsi="Arial" w:cs="Arial"/>
                <w:sz w:val="22"/>
                <w:szCs w:val="22"/>
              </w:rPr>
            </w:pPr>
            <w:r w:rsidRPr="00B01850">
              <w:rPr>
                <w:rFonts w:ascii="Arial" w:hAnsi="Arial" w:cs="Arial"/>
                <w:sz w:val="22"/>
                <w:szCs w:val="22"/>
              </w:rPr>
              <w:t>Eau</w:t>
            </w:r>
          </w:p>
        </w:tc>
        <w:tc>
          <w:tcPr>
            <w:tcW w:w="4675" w:type="dxa"/>
          </w:tcPr>
          <w:p w14:paraId="5438BCCD" w14:textId="04A54C1D" w:rsidR="00DD3BBD" w:rsidRPr="00B01850" w:rsidRDefault="004E61F6" w:rsidP="00DD3BBD">
            <w:pPr>
              <w:jc w:val="both"/>
              <w:rPr>
                <w:rFonts w:ascii="Arial" w:hAnsi="Arial" w:cs="Arial"/>
                <w:sz w:val="22"/>
                <w:szCs w:val="22"/>
              </w:rPr>
            </w:pPr>
            <w:r w:rsidRPr="00B01850">
              <w:rPr>
                <w:rFonts w:ascii="Arial" w:hAnsi="Arial" w:cs="Arial"/>
                <w:sz w:val="22"/>
                <w:szCs w:val="22"/>
              </w:rPr>
              <w:t>Gestion et bonne orientation</w:t>
            </w:r>
          </w:p>
        </w:tc>
      </w:tr>
      <w:tr w:rsidR="00DD3BBD" w:rsidRPr="00B01850" w14:paraId="7F8444A7" w14:textId="77777777">
        <w:tc>
          <w:tcPr>
            <w:tcW w:w="4675" w:type="dxa"/>
          </w:tcPr>
          <w:p w14:paraId="3C90EAF6" w14:textId="0FD58A22" w:rsidR="00DD3BBD" w:rsidRPr="00B01850" w:rsidRDefault="00FC3923" w:rsidP="00DD3BBD">
            <w:pPr>
              <w:jc w:val="both"/>
              <w:rPr>
                <w:rFonts w:ascii="Arial" w:hAnsi="Arial" w:cs="Arial"/>
                <w:sz w:val="22"/>
                <w:szCs w:val="22"/>
              </w:rPr>
            </w:pPr>
            <w:r w:rsidRPr="00B01850">
              <w:rPr>
                <w:rFonts w:ascii="Arial" w:hAnsi="Arial" w:cs="Arial"/>
                <w:sz w:val="22"/>
                <w:szCs w:val="22"/>
              </w:rPr>
              <w:t>Matière</w:t>
            </w:r>
            <w:r w:rsidR="00DD3BBD" w:rsidRPr="00B01850">
              <w:rPr>
                <w:rFonts w:ascii="Arial" w:hAnsi="Arial" w:cs="Arial"/>
                <w:sz w:val="22"/>
                <w:szCs w:val="22"/>
              </w:rPr>
              <w:t xml:space="preserve"> plastique</w:t>
            </w:r>
          </w:p>
        </w:tc>
        <w:tc>
          <w:tcPr>
            <w:tcW w:w="4675" w:type="dxa"/>
          </w:tcPr>
          <w:p w14:paraId="1E92C45F" w14:textId="77777777" w:rsidR="00DD3BBD" w:rsidRPr="00B01850" w:rsidRDefault="00DD3BBD" w:rsidP="00DD3BBD">
            <w:pPr>
              <w:jc w:val="both"/>
              <w:rPr>
                <w:rFonts w:ascii="Arial" w:hAnsi="Arial" w:cs="Arial"/>
                <w:sz w:val="22"/>
                <w:szCs w:val="22"/>
              </w:rPr>
            </w:pPr>
            <w:proofErr w:type="spellStart"/>
            <w:r w:rsidRPr="00B01850">
              <w:rPr>
                <w:rFonts w:ascii="Arial" w:hAnsi="Arial" w:cs="Arial"/>
                <w:sz w:val="22"/>
                <w:szCs w:val="22"/>
              </w:rPr>
              <w:t>Reuse</w:t>
            </w:r>
            <w:proofErr w:type="spellEnd"/>
            <w:r w:rsidRPr="00B01850">
              <w:rPr>
                <w:rFonts w:ascii="Arial" w:hAnsi="Arial" w:cs="Arial"/>
                <w:sz w:val="22"/>
                <w:szCs w:val="22"/>
              </w:rPr>
              <w:t>, Dispose, Recycle</w:t>
            </w:r>
          </w:p>
        </w:tc>
      </w:tr>
      <w:tr w:rsidR="00DD3BBD" w:rsidRPr="00B01850" w14:paraId="3364EFB1" w14:textId="77777777">
        <w:tc>
          <w:tcPr>
            <w:tcW w:w="4675" w:type="dxa"/>
          </w:tcPr>
          <w:p w14:paraId="104ABA33" w14:textId="77777777" w:rsidR="00DD3BBD" w:rsidRPr="00B01850" w:rsidRDefault="00DD3BBD" w:rsidP="00DD3BBD">
            <w:pPr>
              <w:jc w:val="both"/>
              <w:rPr>
                <w:rFonts w:ascii="Arial" w:hAnsi="Arial" w:cs="Arial"/>
                <w:sz w:val="22"/>
                <w:szCs w:val="22"/>
              </w:rPr>
            </w:pPr>
            <w:r w:rsidRPr="00B01850">
              <w:rPr>
                <w:rFonts w:ascii="Arial" w:hAnsi="Arial" w:cs="Arial"/>
                <w:sz w:val="22"/>
                <w:szCs w:val="22"/>
              </w:rPr>
              <w:t>Déchets de bureau</w:t>
            </w:r>
          </w:p>
        </w:tc>
        <w:tc>
          <w:tcPr>
            <w:tcW w:w="4675" w:type="dxa"/>
          </w:tcPr>
          <w:p w14:paraId="1DD5F000" w14:textId="77777777" w:rsidR="00DD3BBD" w:rsidRPr="00B01850" w:rsidRDefault="00DD3BBD" w:rsidP="00DD3BBD">
            <w:pPr>
              <w:jc w:val="both"/>
              <w:rPr>
                <w:rFonts w:ascii="Arial" w:hAnsi="Arial" w:cs="Arial"/>
                <w:sz w:val="22"/>
                <w:szCs w:val="22"/>
              </w:rPr>
            </w:pPr>
            <w:r w:rsidRPr="00B01850">
              <w:rPr>
                <w:rFonts w:ascii="Arial" w:hAnsi="Arial" w:cs="Arial"/>
                <w:sz w:val="22"/>
                <w:szCs w:val="22"/>
              </w:rPr>
              <w:t>Recycle, dispose.</w:t>
            </w:r>
          </w:p>
        </w:tc>
      </w:tr>
      <w:tr w:rsidR="004E61F6" w:rsidRPr="00B01850" w14:paraId="1023CDA1" w14:textId="77777777" w:rsidTr="004E61F6">
        <w:tc>
          <w:tcPr>
            <w:tcW w:w="4675" w:type="dxa"/>
          </w:tcPr>
          <w:p w14:paraId="1F341EAD" w14:textId="77777777" w:rsidR="004E61F6" w:rsidRPr="00B01850" w:rsidRDefault="004E61F6" w:rsidP="007F0004">
            <w:pPr>
              <w:jc w:val="both"/>
              <w:rPr>
                <w:rFonts w:ascii="Arial" w:hAnsi="Arial" w:cs="Arial"/>
                <w:sz w:val="22"/>
                <w:szCs w:val="22"/>
              </w:rPr>
            </w:pPr>
            <w:r w:rsidRPr="00B01850">
              <w:rPr>
                <w:rFonts w:ascii="Arial" w:hAnsi="Arial" w:cs="Arial"/>
                <w:sz w:val="22"/>
                <w:szCs w:val="22"/>
              </w:rPr>
              <w:t>Bois traité (poteaux, traverses)</w:t>
            </w:r>
          </w:p>
        </w:tc>
        <w:tc>
          <w:tcPr>
            <w:tcW w:w="4675" w:type="dxa"/>
          </w:tcPr>
          <w:p w14:paraId="2D898799" w14:textId="77777777" w:rsidR="004E61F6" w:rsidRPr="00B01850" w:rsidRDefault="004E61F6" w:rsidP="007F0004">
            <w:pPr>
              <w:jc w:val="both"/>
              <w:rPr>
                <w:rFonts w:ascii="Arial" w:hAnsi="Arial" w:cs="Arial"/>
                <w:sz w:val="22"/>
                <w:szCs w:val="22"/>
              </w:rPr>
            </w:pPr>
            <w:proofErr w:type="spellStart"/>
            <w:r w:rsidRPr="00B01850">
              <w:rPr>
                <w:rFonts w:ascii="Arial" w:hAnsi="Arial" w:cs="Arial"/>
                <w:sz w:val="22"/>
                <w:szCs w:val="22"/>
              </w:rPr>
              <w:t>Reuse</w:t>
            </w:r>
            <w:proofErr w:type="spellEnd"/>
            <w:r w:rsidRPr="00B01850">
              <w:rPr>
                <w:rFonts w:ascii="Arial" w:hAnsi="Arial" w:cs="Arial"/>
                <w:sz w:val="22"/>
                <w:szCs w:val="22"/>
              </w:rPr>
              <w:t xml:space="preserve">, </w:t>
            </w:r>
            <w:proofErr w:type="spellStart"/>
            <w:r w:rsidRPr="00B01850">
              <w:rPr>
                <w:rFonts w:ascii="Arial" w:hAnsi="Arial" w:cs="Arial"/>
                <w:sz w:val="22"/>
                <w:szCs w:val="22"/>
              </w:rPr>
              <w:t>donate</w:t>
            </w:r>
            <w:proofErr w:type="spellEnd"/>
            <w:r w:rsidRPr="00B01850">
              <w:rPr>
                <w:rFonts w:ascii="Arial" w:hAnsi="Arial" w:cs="Arial"/>
                <w:sz w:val="22"/>
                <w:szCs w:val="22"/>
              </w:rPr>
              <w:t xml:space="preserve">, dispose </w:t>
            </w:r>
          </w:p>
        </w:tc>
      </w:tr>
      <w:tr w:rsidR="004E61F6" w:rsidRPr="00B01850" w14:paraId="1104C9BC" w14:textId="77777777" w:rsidTr="004E61F6">
        <w:tc>
          <w:tcPr>
            <w:tcW w:w="4675" w:type="dxa"/>
          </w:tcPr>
          <w:p w14:paraId="6A95F67C" w14:textId="77777777" w:rsidR="004E61F6" w:rsidRPr="00B01850" w:rsidRDefault="004E61F6" w:rsidP="00923492">
            <w:pPr>
              <w:jc w:val="both"/>
              <w:rPr>
                <w:rFonts w:ascii="Arial" w:hAnsi="Arial" w:cs="Arial"/>
                <w:sz w:val="22"/>
                <w:szCs w:val="22"/>
              </w:rPr>
            </w:pPr>
            <w:r w:rsidRPr="00B01850">
              <w:rPr>
                <w:rFonts w:ascii="Arial" w:hAnsi="Arial" w:cs="Arial"/>
                <w:sz w:val="22"/>
                <w:szCs w:val="22"/>
              </w:rPr>
              <w:t xml:space="preserve">Bois (bois d'œuvre, déblais, souches, etc.) </w:t>
            </w:r>
          </w:p>
        </w:tc>
        <w:tc>
          <w:tcPr>
            <w:tcW w:w="4675" w:type="dxa"/>
          </w:tcPr>
          <w:p w14:paraId="161DD1C2" w14:textId="77777777" w:rsidR="004E61F6" w:rsidRPr="00B01850" w:rsidRDefault="004E61F6" w:rsidP="00923492">
            <w:pPr>
              <w:jc w:val="both"/>
              <w:rPr>
                <w:rFonts w:ascii="Arial" w:hAnsi="Arial" w:cs="Arial"/>
                <w:sz w:val="22"/>
                <w:szCs w:val="22"/>
              </w:rPr>
            </w:pPr>
            <w:proofErr w:type="spellStart"/>
            <w:r w:rsidRPr="00B01850">
              <w:rPr>
                <w:rFonts w:ascii="Arial" w:hAnsi="Arial" w:cs="Arial"/>
                <w:sz w:val="22"/>
                <w:szCs w:val="22"/>
              </w:rPr>
              <w:t>Reuse</w:t>
            </w:r>
            <w:proofErr w:type="spellEnd"/>
            <w:r w:rsidRPr="00B01850">
              <w:rPr>
                <w:rFonts w:ascii="Arial" w:hAnsi="Arial" w:cs="Arial"/>
                <w:sz w:val="22"/>
                <w:szCs w:val="22"/>
              </w:rPr>
              <w:t xml:space="preserve">, </w:t>
            </w:r>
            <w:proofErr w:type="spellStart"/>
            <w:r w:rsidRPr="00B01850">
              <w:rPr>
                <w:rFonts w:ascii="Arial" w:hAnsi="Arial" w:cs="Arial"/>
                <w:sz w:val="22"/>
                <w:szCs w:val="22"/>
              </w:rPr>
              <w:t>donate</w:t>
            </w:r>
            <w:proofErr w:type="spellEnd"/>
            <w:r w:rsidRPr="00B01850">
              <w:rPr>
                <w:rFonts w:ascii="Arial" w:hAnsi="Arial" w:cs="Arial"/>
                <w:sz w:val="22"/>
                <w:szCs w:val="22"/>
              </w:rPr>
              <w:t>, dispose</w:t>
            </w:r>
          </w:p>
        </w:tc>
      </w:tr>
    </w:tbl>
    <w:p w14:paraId="36F767FA" w14:textId="77777777" w:rsidR="00DD3BBD" w:rsidRPr="00B01850" w:rsidRDefault="00DD3BBD" w:rsidP="00DD3BBD">
      <w:pPr>
        <w:spacing w:after="0" w:line="240" w:lineRule="auto"/>
        <w:jc w:val="both"/>
        <w:rPr>
          <w:rFonts w:ascii="Arial" w:hAnsi="Arial" w:cs="Arial"/>
        </w:rPr>
      </w:pPr>
    </w:p>
    <w:p w14:paraId="4C5CB511" w14:textId="4AE74DE4" w:rsidR="00DD3BBD" w:rsidRPr="00B01850" w:rsidRDefault="00A81575" w:rsidP="00214DCC">
      <w:pPr>
        <w:pStyle w:val="ListParagraph"/>
        <w:numPr>
          <w:ilvl w:val="0"/>
          <w:numId w:val="160"/>
        </w:numPr>
        <w:spacing w:after="0" w:line="240" w:lineRule="auto"/>
        <w:jc w:val="both"/>
        <w:rPr>
          <w:rFonts w:ascii="Arial" w:hAnsi="Arial" w:cs="Arial"/>
          <w:b/>
        </w:rPr>
      </w:pPr>
      <w:r w:rsidRPr="00B01850">
        <w:rPr>
          <w:rFonts w:ascii="Arial" w:hAnsi="Arial" w:cs="Arial"/>
          <w:b/>
        </w:rPr>
        <w:t>Plan de gestion des déchets</w:t>
      </w:r>
    </w:p>
    <w:p w14:paraId="4202C79A" w14:textId="77777777" w:rsidR="00A81575" w:rsidRPr="00B01850" w:rsidRDefault="00A81575" w:rsidP="00DD3BBD">
      <w:pPr>
        <w:spacing w:after="0" w:line="240" w:lineRule="auto"/>
        <w:jc w:val="both"/>
        <w:rPr>
          <w:rFonts w:ascii="Arial" w:hAnsi="Arial" w:cs="Arial"/>
          <w:bCs/>
          <w:i/>
          <w:iCs/>
        </w:rPr>
      </w:pPr>
      <w:bookmarkStart w:id="222" w:name="_Toc524107000"/>
      <w:bookmarkStart w:id="223" w:name="_Toc124425209"/>
    </w:p>
    <w:p w14:paraId="3CA85C0F" w14:textId="53F2BFCC" w:rsidR="00DD3BBD" w:rsidRPr="00B01850" w:rsidRDefault="00DD3BBD" w:rsidP="00DD3BBD">
      <w:pPr>
        <w:spacing w:after="0" w:line="240" w:lineRule="auto"/>
        <w:jc w:val="both"/>
        <w:rPr>
          <w:rFonts w:ascii="Arial" w:hAnsi="Arial" w:cs="Arial"/>
          <w:color w:val="000000" w:themeColor="text1"/>
        </w:rPr>
      </w:pPr>
      <w:r w:rsidRPr="00B01850">
        <w:rPr>
          <w:rFonts w:ascii="Arial" w:hAnsi="Arial" w:cs="Arial"/>
          <w:bCs/>
          <w:i/>
          <w:iCs/>
        </w:rPr>
        <w:t>Processus de gestion des déchets :</w:t>
      </w:r>
      <w:r w:rsidRPr="001415C5">
        <w:rPr>
          <w:rFonts w:ascii="Arial" w:hAnsi="Arial" w:cs="Arial"/>
          <w:bCs/>
        </w:rPr>
        <w:t xml:space="preserve"> </w:t>
      </w:r>
      <w:bookmarkEnd w:id="222"/>
      <w:bookmarkEnd w:id="223"/>
      <w:r w:rsidR="001415C5" w:rsidRPr="001415C5">
        <w:rPr>
          <w:rFonts w:ascii="Arial" w:hAnsi="Arial" w:cs="Arial"/>
          <w:bCs/>
        </w:rPr>
        <w:t xml:space="preserve">les acteurs </w:t>
      </w:r>
      <w:r w:rsidR="001415C5">
        <w:rPr>
          <w:rFonts w:ascii="Arial" w:hAnsi="Arial" w:cs="Arial"/>
        </w:rPr>
        <w:t>de mise en œuvre s’assurerons de faire la situation de la gestion de gestion des déchets avant le début des interventions du projet. En effet, t</w:t>
      </w:r>
      <w:r w:rsidRPr="00B01850">
        <w:rPr>
          <w:rFonts w:ascii="Arial" w:hAnsi="Arial" w:cs="Arial"/>
          <w:color w:val="000000" w:themeColor="text1"/>
        </w:rPr>
        <w:t xml:space="preserve">ous les déchets identifiés </w:t>
      </w:r>
      <w:r w:rsidR="001415C5">
        <w:rPr>
          <w:rFonts w:ascii="Arial" w:hAnsi="Arial" w:cs="Arial"/>
          <w:color w:val="000000" w:themeColor="text1"/>
        </w:rPr>
        <w:t xml:space="preserve">le début des activités du CERP </w:t>
      </w:r>
      <w:r w:rsidRPr="00B01850">
        <w:rPr>
          <w:rFonts w:ascii="Arial" w:hAnsi="Arial" w:cs="Arial"/>
          <w:color w:val="000000" w:themeColor="text1"/>
        </w:rPr>
        <w:t>seront documentés</w:t>
      </w:r>
      <w:r w:rsidR="001415C5">
        <w:rPr>
          <w:rFonts w:ascii="Arial" w:hAnsi="Arial" w:cs="Arial"/>
          <w:color w:val="000000" w:themeColor="text1"/>
        </w:rPr>
        <w:t xml:space="preserve"> avec des pr</w:t>
      </w:r>
      <w:r w:rsidRPr="00B01850">
        <w:rPr>
          <w:rFonts w:ascii="Arial" w:hAnsi="Arial" w:cs="Arial"/>
          <w:color w:val="000000" w:themeColor="text1"/>
        </w:rPr>
        <w:t>euves picturales prises si nécessaire</w:t>
      </w:r>
      <w:r w:rsidR="001415C5">
        <w:rPr>
          <w:rFonts w:ascii="Arial" w:hAnsi="Arial" w:cs="Arial"/>
          <w:color w:val="000000" w:themeColor="text1"/>
        </w:rPr>
        <w:t xml:space="preserve"> et transmis à l’UGP</w:t>
      </w:r>
      <w:r w:rsidRPr="00B01850">
        <w:rPr>
          <w:rFonts w:ascii="Arial" w:hAnsi="Arial" w:cs="Arial"/>
          <w:color w:val="000000" w:themeColor="text1"/>
        </w:rPr>
        <w:t xml:space="preserve">. </w:t>
      </w:r>
    </w:p>
    <w:p w14:paraId="4B95A409" w14:textId="77777777" w:rsidR="00A81575" w:rsidRPr="00B01850" w:rsidRDefault="00A81575" w:rsidP="00DD3BBD">
      <w:pPr>
        <w:spacing w:after="0" w:line="240" w:lineRule="auto"/>
        <w:jc w:val="both"/>
        <w:rPr>
          <w:rFonts w:ascii="Arial" w:hAnsi="Arial" w:cs="Arial"/>
          <w:b/>
          <w:bCs/>
        </w:rPr>
      </w:pPr>
    </w:p>
    <w:p w14:paraId="046CF9DC" w14:textId="695DA61F" w:rsidR="00DD3BBD" w:rsidRPr="004A57D9" w:rsidRDefault="00DD3BBD" w:rsidP="004A57D9">
      <w:pPr>
        <w:spacing w:after="0" w:line="240" w:lineRule="auto"/>
        <w:jc w:val="both"/>
        <w:rPr>
          <w:rFonts w:ascii="Arial" w:hAnsi="Arial" w:cs="Arial"/>
        </w:rPr>
      </w:pPr>
      <w:bookmarkStart w:id="224" w:name="_Toc524107003"/>
      <w:bookmarkStart w:id="225" w:name="_Toc124425211"/>
      <w:r w:rsidRPr="00B01850">
        <w:rPr>
          <w:rFonts w:ascii="Arial" w:hAnsi="Arial" w:cs="Arial"/>
          <w:bCs/>
          <w:i/>
          <w:iCs/>
        </w:rPr>
        <w:t>Évitement et minimisation des déchets :</w:t>
      </w:r>
      <w:bookmarkEnd w:id="224"/>
      <w:bookmarkEnd w:id="225"/>
      <w:r w:rsidR="004A57D9">
        <w:rPr>
          <w:rFonts w:ascii="Arial" w:hAnsi="Arial" w:cs="Arial"/>
          <w:b/>
          <w:bCs/>
        </w:rPr>
        <w:t xml:space="preserve"> </w:t>
      </w:r>
      <w:r w:rsidR="004A57D9">
        <w:rPr>
          <w:rFonts w:ascii="Arial" w:hAnsi="Arial" w:cs="Arial"/>
        </w:rPr>
        <w:t>l’UGP et ses partenaires s’appuieront sur le principe d’éviter de produire des déchets tant que cela s’avère possible à travers l’utilisation des emballages recyclables ou tout autre mesure empêchant au projet et à ses partenaires de garder les déchets.</w:t>
      </w:r>
    </w:p>
    <w:p w14:paraId="74746BAF" w14:textId="77777777" w:rsidR="00A81575" w:rsidRPr="00B01850" w:rsidRDefault="00A81575" w:rsidP="00DD3BBD">
      <w:pPr>
        <w:spacing w:after="0" w:line="240" w:lineRule="auto"/>
        <w:jc w:val="both"/>
        <w:rPr>
          <w:rFonts w:ascii="Arial" w:hAnsi="Arial" w:cs="Arial"/>
          <w:b/>
          <w:bCs/>
        </w:rPr>
      </w:pPr>
      <w:bookmarkStart w:id="226" w:name="_Toc524107004"/>
      <w:bookmarkStart w:id="227" w:name="_Toc124425212"/>
    </w:p>
    <w:p w14:paraId="5A4703CE" w14:textId="77777777" w:rsidR="00DF0086" w:rsidRDefault="00DD3BBD" w:rsidP="00DD3BBD">
      <w:pPr>
        <w:spacing w:after="0" w:line="240" w:lineRule="auto"/>
        <w:jc w:val="both"/>
        <w:rPr>
          <w:rFonts w:ascii="Arial" w:hAnsi="Arial" w:cs="Arial"/>
        </w:rPr>
      </w:pPr>
      <w:r w:rsidRPr="00635ECD">
        <w:rPr>
          <w:rFonts w:ascii="Arial" w:hAnsi="Arial" w:cs="Arial"/>
          <w:i/>
          <w:iCs/>
        </w:rPr>
        <w:lastRenderedPageBreak/>
        <w:t>Points de collecte des déchets :</w:t>
      </w:r>
      <w:r w:rsidRPr="00635ECD">
        <w:rPr>
          <w:rFonts w:ascii="Arial" w:hAnsi="Arial" w:cs="Arial"/>
        </w:rPr>
        <w:t xml:space="preserve"> </w:t>
      </w:r>
      <w:bookmarkEnd w:id="226"/>
      <w:bookmarkEnd w:id="227"/>
      <w:r w:rsidR="00635ECD" w:rsidRPr="00635ECD">
        <w:rPr>
          <w:rFonts w:ascii="Arial" w:hAnsi="Arial" w:cs="Arial"/>
        </w:rPr>
        <w:t xml:space="preserve">dans l’organisation de l’espace de gestion des déchets, </w:t>
      </w:r>
      <w:r w:rsidR="00635ECD">
        <w:rPr>
          <w:rFonts w:ascii="Arial" w:hAnsi="Arial" w:cs="Arial"/>
        </w:rPr>
        <w:t>le</w:t>
      </w:r>
      <w:r w:rsidRPr="00B01850">
        <w:rPr>
          <w:rFonts w:ascii="Arial" w:hAnsi="Arial" w:cs="Arial"/>
        </w:rPr>
        <w:t xml:space="preserve"> principal point de collecte des déchets </w:t>
      </w:r>
      <w:r w:rsidR="00635ECD">
        <w:rPr>
          <w:rFonts w:ascii="Arial" w:hAnsi="Arial" w:cs="Arial"/>
        </w:rPr>
        <w:t xml:space="preserve">devra être </w:t>
      </w:r>
      <w:r w:rsidRPr="00B01850">
        <w:rPr>
          <w:rFonts w:ascii="Arial" w:hAnsi="Arial" w:cs="Arial"/>
        </w:rPr>
        <w:t xml:space="preserve">facilement accessible à l'intérieur de la zone principale. </w:t>
      </w:r>
      <w:r w:rsidR="00DF0086">
        <w:rPr>
          <w:rFonts w:ascii="Arial" w:hAnsi="Arial" w:cs="Arial"/>
        </w:rPr>
        <w:t>Son choix tiendra compte</w:t>
      </w:r>
      <w:r w:rsidRPr="00B01850">
        <w:rPr>
          <w:rFonts w:ascii="Arial" w:hAnsi="Arial" w:cs="Arial"/>
        </w:rPr>
        <w:t xml:space="preserve"> de</w:t>
      </w:r>
      <w:r w:rsidR="00DF0086">
        <w:rPr>
          <w:rFonts w:ascii="Arial" w:hAnsi="Arial" w:cs="Arial"/>
        </w:rPr>
        <w:t> :</w:t>
      </w:r>
      <w:r w:rsidRPr="00B01850">
        <w:rPr>
          <w:rFonts w:ascii="Arial" w:hAnsi="Arial" w:cs="Arial"/>
        </w:rPr>
        <w:t xml:space="preserve"> la direction des vents dominants, des schémas d'écoulement </w:t>
      </w:r>
      <w:r w:rsidR="00DF0086">
        <w:rPr>
          <w:rFonts w:ascii="Arial" w:hAnsi="Arial" w:cs="Arial"/>
        </w:rPr>
        <w:t xml:space="preserve">des eaux </w:t>
      </w:r>
      <w:r w:rsidRPr="00B01850">
        <w:rPr>
          <w:rFonts w:ascii="Arial" w:hAnsi="Arial" w:cs="Arial"/>
        </w:rPr>
        <w:t>de surface, la topographie et du contexte visuel et, dans la mesure du possible</w:t>
      </w:r>
      <w:r w:rsidR="00DF0086">
        <w:rPr>
          <w:rFonts w:ascii="Arial" w:hAnsi="Arial" w:cs="Arial"/>
        </w:rPr>
        <w:t xml:space="preserve"> ou il </w:t>
      </w:r>
      <w:r w:rsidRPr="00B01850">
        <w:rPr>
          <w:rFonts w:ascii="Arial" w:hAnsi="Arial" w:cs="Arial"/>
        </w:rPr>
        <w:t xml:space="preserve">causera le moins de nuisances possible aux propriétés adjacentes. </w:t>
      </w:r>
    </w:p>
    <w:p w14:paraId="787F2372" w14:textId="65E88ED6" w:rsidR="00DD3BBD" w:rsidRPr="00B01850" w:rsidRDefault="00DF0086" w:rsidP="00DF0086">
      <w:pPr>
        <w:pBdr>
          <w:top w:val="single" w:sz="4" w:space="1" w:color="auto"/>
          <w:left w:val="single" w:sz="4" w:space="4" w:color="auto"/>
          <w:bottom w:val="single" w:sz="4" w:space="1" w:color="auto"/>
          <w:right w:val="single" w:sz="4" w:space="4" w:color="auto"/>
        </w:pBdr>
        <w:shd w:val="clear" w:color="auto" w:fill="FDE9D9" w:themeFill="accent6" w:themeFillTint="33"/>
        <w:spacing w:after="0" w:line="240" w:lineRule="auto"/>
        <w:jc w:val="both"/>
        <w:rPr>
          <w:rFonts w:ascii="Arial" w:hAnsi="Arial" w:cs="Arial"/>
          <w:b/>
          <w:bCs/>
        </w:rPr>
      </w:pPr>
      <w:r>
        <w:rPr>
          <w:rFonts w:ascii="Arial" w:hAnsi="Arial" w:cs="Arial"/>
        </w:rPr>
        <w:t xml:space="preserve">Par ailleurs, il faudra </w:t>
      </w:r>
      <w:r w:rsidR="00DD3BBD" w:rsidRPr="00B01850">
        <w:rPr>
          <w:rFonts w:ascii="Arial" w:hAnsi="Arial" w:cs="Arial"/>
        </w:rPr>
        <w:t>veiller à ce que la zone d'élimination des déchets ne soit pas située à proximité de zones de drainage, de zones humides ou de puits et de forages.</w:t>
      </w:r>
    </w:p>
    <w:p w14:paraId="4EDABD4D" w14:textId="5C3D24F8" w:rsidR="00DD3BBD" w:rsidRPr="005749FF" w:rsidRDefault="00DD3BBD" w:rsidP="005749FF">
      <w:pPr>
        <w:spacing w:before="120" w:after="0" w:line="240" w:lineRule="auto"/>
        <w:jc w:val="both"/>
        <w:rPr>
          <w:rFonts w:ascii="Arial" w:hAnsi="Arial" w:cs="Arial"/>
        </w:rPr>
      </w:pPr>
      <w:r w:rsidRPr="00B01850">
        <w:rPr>
          <w:rFonts w:ascii="Arial" w:hAnsi="Arial" w:cs="Arial"/>
        </w:rPr>
        <w:t>La zone de déchets sélectionnée comprendra une zone confinée et un bouclage. La zone de déchets permettra de séparer les déchets</w:t>
      </w:r>
      <w:r w:rsidR="005749FF">
        <w:rPr>
          <w:rFonts w:ascii="Arial" w:hAnsi="Arial" w:cs="Arial"/>
        </w:rPr>
        <w:t xml:space="preserve"> en deux catégories : </w:t>
      </w:r>
      <w:r w:rsidRPr="00B01850">
        <w:rPr>
          <w:rFonts w:ascii="Arial" w:hAnsi="Arial" w:cs="Arial"/>
        </w:rPr>
        <w:t xml:space="preserve">déchets non dangereux et </w:t>
      </w:r>
      <w:r w:rsidR="005749FF">
        <w:rPr>
          <w:rFonts w:ascii="Arial" w:hAnsi="Arial" w:cs="Arial"/>
        </w:rPr>
        <w:t xml:space="preserve">déchets </w:t>
      </w:r>
      <w:r w:rsidRPr="00B01850">
        <w:rPr>
          <w:rFonts w:ascii="Arial" w:hAnsi="Arial" w:cs="Arial"/>
        </w:rPr>
        <w:t>dangereux. Les déchets non dangereux seront en outre divisés en déchets organiques et non organiques. Les déchets organiques seront constitués des déchets alimentaires ménagers généraux.</w:t>
      </w:r>
      <w:r w:rsidR="005749FF">
        <w:rPr>
          <w:rFonts w:ascii="Arial" w:hAnsi="Arial" w:cs="Arial"/>
        </w:rPr>
        <w:t xml:space="preserve"> Quant aux </w:t>
      </w:r>
      <w:r w:rsidRPr="005749FF">
        <w:rPr>
          <w:rFonts w:ascii="Arial" w:hAnsi="Arial" w:cs="Arial"/>
        </w:rPr>
        <w:t>déchets non organiques</w:t>
      </w:r>
      <w:r w:rsidR="005749FF">
        <w:rPr>
          <w:rFonts w:ascii="Arial" w:hAnsi="Arial" w:cs="Arial"/>
        </w:rPr>
        <w:t xml:space="preserve">, ils </w:t>
      </w:r>
      <w:r w:rsidRPr="005749FF">
        <w:rPr>
          <w:rFonts w:ascii="Arial" w:hAnsi="Arial" w:cs="Arial"/>
        </w:rPr>
        <w:t>comprendront :</w:t>
      </w:r>
      <w:r w:rsidR="00234FA0" w:rsidRPr="005749FF">
        <w:rPr>
          <w:rFonts w:ascii="Arial" w:hAnsi="Arial" w:cs="Arial"/>
        </w:rPr>
        <w:t xml:space="preserve"> les v</w:t>
      </w:r>
      <w:r w:rsidRPr="005749FF">
        <w:rPr>
          <w:rFonts w:ascii="Arial" w:hAnsi="Arial" w:cs="Arial"/>
        </w:rPr>
        <w:t>erre</w:t>
      </w:r>
      <w:r w:rsidR="00234FA0" w:rsidRPr="005749FF">
        <w:rPr>
          <w:rFonts w:ascii="Arial" w:hAnsi="Arial" w:cs="Arial"/>
        </w:rPr>
        <w:t>s, les p</w:t>
      </w:r>
      <w:r w:rsidRPr="005749FF">
        <w:rPr>
          <w:rFonts w:ascii="Arial" w:hAnsi="Arial" w:cs="Arial"/>
        </w:rPr>
        <w:t>lastique</w:t>
      </w:r>
      <w:r w:rsidR="00234FA0" w:rsidRPr="005749FF">
        <w:rPr>
          <w:rFonts w:ascii="Arial" w:hAnsi="Arial" w:cs="Arial"/>
        </w:rPr>
        <w:t xml:space="preserve">s </w:t>
      </w:r>
      <w:r w:rsidRPr="005749FF">
        <w:rPr>
          <w:rFonts w:ascii="Arial" w:hAnsi="Arial" w:cs="Arial"/>
        </w:rPr>
        <w:t>et</w:t>
      </w:r>
      <w:r w:rsidR="00234FA0" w:rsidRPr="005749FF">
        <w:rPr>
          <w:rFonts w:ascii="Arial" w:hAnsi="Arial" w:cs="Arial"/>
        </w:rPr>
        <w:t xml:space="preserve"> les m</w:t>
      </w:r>
      <w:r w:rsidRPr="005749FF">
        <w:rPr>
          <w:rFonts w:ascii="Arial" w:hAnsi="Arial" w:cs="Arial"/>
        </w:rPr>
        <w:t>éta</w:t>
      </w:r>
      <w:r w:rsidR="00234FA0" w:rsidRPr="005749FF">
        <w:rPr>
          <w:rFonts w:ascii="Arial" w:hAnsi="Arial" w:cs="Arial"/>
        </w:rPr>
        <w:t>ux</w:t>
      </w:r>
      <w:r w:rsidRPr="005749FF">
        <w:rPr>
          <w:rFonts w:ascii="Arial" w:hAnsi="Arial" w:cs="Arial"/>
        </w:rPr>
        <w:t>.</w:t>
      </w:r>
    </w:p>
    <w:p w14:paraId="389D0B17" w14:textId="6FEB7323" w:rsidR="00DD3BBD" w:rsidRPr="00B01850" w:rsidRDefault="00234FA0" w:rsidP="007F38AE">
      <w:pPr>
        <w:pBdr>
          <w:top w:val="single" w:sz="4" w:space="1" w:color="auto"/>
          <w:left w:val="single" w:sz="4" w:space="4" w:color="auto"/>
          <w:bottom w:val="single" w:sz="4" w:space="1" w:color="auto"/>
          <w:right w:val="single" w:sz="4" w:space="4" w:color="auto"/>
        </w:pBdr>
        <w:shd w:val="clear" w:color="auto" w:fill="FDE9D9" w:themeFill="accent6" w:themeFillTint="33"/>
        <w:spacing w:before="120" w:after="0" w:line="240" w:lineRule="auto"/>
        <w:jc w:val="both"/>
        <w:rPr>
          <w:rFonts w:ascii="Arial" w:hAnsi="Arial" w:cs="Arial"/>
        </w:rPr>
      </w:pPr>
      <w:r w:rsidRPr="00BD5402">
        <w:rPr>
          <w:rFonts w:ascii="Arial" w:hAnsi="Arial" w:cs="Arial"/>
        </w:rPr>
        <w:t>L</w:t>
      </w:r>
      <w:r w:rsidR="00DD3BBD" w:rsidRPr="00BD5402">
        <w:rPr>
          <w:rFonts w:ascii="Arial" w:hAnsi="Arial" w:cs="Arial"/>
        </w:rPr>
        <w:t xml:space="preserve">es conteneurs de déchets </w:t>
      </w:r>
      <w:r w:rsidRPr="00BD5402">
        <w:rPr>
          <w:rFonts w:ascii="Arial" w:hAnsi="Arial" w:cs="Arial"/>
        </w:rPr>
        <w:t xml:space="preserve">utilisés dans le cadre de la mise en œuvre du projet </w:t>
      </w:r>
      <w:r w:rsidR="00DD3BBD" w:rsidRPr="00BD5402">
        <w:rPr>
          <w:rFonts w:ascii="Arial" w:hAnsi="Arial" w:cs="Arial"/>
        </w:rPr>
        <w:t xml:space="preserve">(poubelles, bennes, fûts, etc.) </w:t>
      </w:r>
      <w:r w:rsidR="00616CF7" w:rsidRPr="00BD5402">
        <w:rPr>
          <w:rFonts w:ascii="Arial" w:hAnsi="Arial" w:cs="Arial"/>
        </w:rPr>
        <w:t xml:space="preserve">porteront des </w:t>
      </w:r>
      <w:r w:rsidR="00DD3BBD" w:rsidRPr="00BD5402">
        <w:rPr>
          <w:rFonts w:ascii="Arial" w:hAnsi="Arial" w:cs="Arial"/>
        </w:rPr>
        <w:t>étiquet</w:t>
      </w:r>
      <w:r w:rsidR="00616CF7" w:rsidRPr="00BD5402">
        <w:rPr>
          <w:rFonts w:ascii="Arial" w:hAnsi="Arial" w:cs="Arial"/>
        </w:rPr>
        <w:t xml:space="preserve">tes </w:t>
      </w:r>
      <w:r w:rsidR="00DD3BBD" w:rsidRPr="00BD5402">
        <w:rPr>
          <w:rFonts w:ascii="Arial" w:hAnsi="Arial" w:cs="Arial"/>
        </w:rPr>
        <w:t>visibles indiqu</w:t>
      </w:r>
      <w:r w:rsidR="00616CF7" w:rsidRPr="00BD5402">
        <w:rPr>
          <w:rFonts w:ascii="Arial" w:hAnsi="Arial" w:cs="Arial"/>
        </w:rPr>
        <w:t xml:space="preserve">ant </w:t>
      </w:r>
      <w:r w:rsidR="00DD3BBD" w:rsidRPr="00BD5402">
        <w:rPr>
          <w:rFonts w:ascii="Arial" w:hAnsi="Arial" w:cs="Arial"/>
        </w:rPr>
        <w:t xml:space="preserve">les </w:t>
      </w:r>
      <w:r w:rsidR="00616CF7" w:rsidRPr="00BD5402">
        <w:rPr>
          <w:rFonts w:ascii="Arial" w:hAnsi="Arial" w:cs="Arial"/>
        </w:rPr>
        <w:t xml:space="preserve">types de </w:t>
      </w:r>
      <w:r w:rsidR="00DD3BBD" w:rsidRPr="00BD5402">
        <w:rPr>
          <w:rFonts w:ascii="Arial" w:hAnsi="Arial" w:cs="Arial"/>
        </w:rPr>
        <w:t>déchets qu'ils contiennent.</w:t>
      </w:r>
    </w:p>
    <w:p w14:paraId="7245DAD6" w14:textId="1BB075F7" w:rsidR="00DD3BBD" w:rsidRPr="00B01850" w:rsidRDefault="00DD3BBD" w:rsidP="002D07FC">
      <w:pPr>
        <w:spacing w:before="120" w:after="0" w:line="240" w:lineRule="auto"/>
        <w:jc w:val="both"/>
        <w:rPr>
          <w:rFonts w:ascii="Arial" w:hAnsi="Arial" w:cs="Arial"/>
          <w:b/>
          <w:bCs/>
        </w:rPr>
      </w:pPr>
      <w:bookmarkStart w:id="228" w:name="_Toc524107005"/>
      <w:bookmarkStart w:id="229" w:name="_Toc124425213"/>
      <w:r w:rsidRPr="00B01850">
        <w:rPr>
          <w:rFonts w:ascii="Arial" w:hAnsi="Arial" w:cs="Arial"/>
          <w:bCs/>
          <w:i/>
          <w:iCs/>
        </w:rPr>
        <w:t>Traitement et élimination des déchets :</w:t>
      </w:r>
      <w:r w:rsidRPr="00B01850">
        <w:rPr>
          <w:rFonts w:ascii="Arial" w:hAnsi="Arial" w:cs="Arial"/>
          <w:b/>
          <w:bCs/>
        </w:rPr>
        <w:t xml:space="preserve"> </w:t>
      </w:r>
      <w:bookmarkEnd w:id="228"/>
      <w:bookmarkEnd w:id="229"/>
      <w:r w:rsidRPr="00B01850">
        <w:rPr>
          <w:rFonts w:ascii="Arial" w:hAnsi="Arial" w:cs="Arial"/>
        </w:rPr>
        <w:t>Si les déchets produits ne peuvent pas être réutilisés ou recyclés, ils seront éliminés dans une installation d'élimination des déchets suivant les directives d</w:t>
      </w:r>
      <w:r w:rsidR="00E60EEA">
        <w:rPr>
          <w:rFonts w:ascii="Arial" w:hAnsi="Arial" w:cs="Arial"/>
        </w:rPr>
        <w:t>es autorités chargées de l’hygiène publique.</w:t>
      </w:r>
    </w:p>
    <w:p w14:paraId="1BA40F74" w14:textId="288E3A73" w:rsidR="00DD3BBD" w:rsidRPr="00B01850" w:rsidRDefault="00DD3BBD" w:rsidP="002D07FC">
      <w:pPr>
        <w:spacing w:before="120" w:after="0" w:line="240" w:lineRule="auto"/>
        <w:jc w:val="both"/>
        <w:rPr>
          <w:rFonts w:ascii="Arial" w:hAnsi="Arial" w:cs="Arial"/>
          <w:b/>
          <w:bCs/>
        </w:rPr>
      </w:pPr>
      <w:r w:rsidRPr="00B01850">
        <w:rPr>
          <w:rFonts w:ascii="Arial" w:hAnsi="Arial" w:cs="Arial"/>
          <w:bCs/>
          <w:i/>
          <w:iCs/>
        </w:rPr>
        <w:t>Option d'élimination des déchets non dangereux non organiques :</w:t>
      </w:r>
      <w:r w:rsidRPr="00B01850">
        <w:rPr>
          <w:rFonts w:ascii="Arial" w:hAnsi="Arial" w:cs="Arial"/>
          <w:b/>
          <w:bCs/>
        </w:rPr>
        <w:t xml:space="preserve"> </w:t>
      </w:r>
      <w:r w:rsidRPr="00B01850">
        <w:rPr>
          <w:rFonts w:ascii="Arial" w:hAnsi="Arial" w:cs="Arial"/>
        </w:rPr>
        <w:t>L</w:t>
      </w:r>
      <w:r w:rsidR="00851D01">
        <w:rPr>
          <w:rFonts w:ascii="Arial" w:hAnsi="Arial" w:cs="Arial"/>
        </w:rPr>
        <w:t>es d</w:t>
      </w:r>
      <w:r w:rsidRPr="00B01850">
        <w:rPr>
          <w:rFonts w:ascii="Arial" w:hAnsi="Arial" w:cs="Arial"/>
        </w:rPr>
        <w:t xml:space="preserve">échets non dangereux non organiques du camp </w:t>
      </w:r>
      <w:r w:rsidR="009C6900">
        <w:rPr>
          <w:rFonts w:ascii="Arial" w:hAnsi="Arial" w:cs="Arial"/>
        </w:rPr>
        <w:t xml:space="preserve">doivent être </w:t>
      </w:r>
      <w:r w:rsidRPr="00B01850">
        <w:rPr>
          <w:rFonts w:ascii="Arial" w:hAnsi="Arial" w:cs="Arial"/>
        </w:rPr>
        <w:t>recyclables. S'ils ne sont pas recyclables ou trop sales pour être recyclés, ils doivent être éliminés dans une décharge.</w:t>
      </w:r>
    </w:p>
    <w:p w14:paraId="7393BEB8" w14:textId="5289803E" w:rsidR="00DD3BBD" w:rsidRPr="00B01850" w:rsidRDefault="00DD3BBD" w:rsidP="00DD3BBD">
      <w:pPr>
        <w:spacing w:after="0" w:line="240" w:lineRule="auto"/>
        <w:jc w:val="both"/>
        <w:rPr>
          <w:rFonts w:ascii="Arial" w:hAnsi="Arial" w:cs="Arial"/>
        </w:rPr>
      </w:pPr>
    </w:p>
    <w:p w14:paraId="0F5D59A8" w14:textId="550BAD1A" w:rsidR="00A81575" w:rsidRPr="00B01850" w:rsidRDefault="00A81575" w:rsidP="00214DCC">
      <w:pPr>
        <w:pStyle w:val="Caption"/>
        <w:numPr>
          <w:ilvl w:val="0"/>
          <w:numId w:val="161"/>
        </w:numPr>
        <w:spacing w:after="0"/>
        <w:rPr>
          <w:rFonts w:ascii="Arial" w:hAnsi="Arial" w:cs="Arial"/>
          <w:b/>
          <w:bCs/>
          <w:i w:val="0"/>
          <w:iCs w:val="0"/>
          <w:color w:val="auto"/>
          <w:sz w:val="22"/>
          <w:szCs w:val="22"/>
        </w:rPr>
      </w:pPr>
      <w:bookmarkStart w:id="230" w:name="_Toc178919549"/>
      <w:bookmarkStart w:id="231" w:name="_Toc178919711"/>
      <w:r w:rsidRPr="00B01850">
        <w:rPr>
          <w:rFonts w:ascii="Arial" w:hAnsi="Arial" w:cs="Arial"/>
          <w:i w:val="0"/>
          <w:iCs w:val="0"/>
          <w:color w:val="auto"/>
          <w:sz w:val="22"/>
          <w:szCs w:val="22"/>
        </w:rPr>
        <w:t>Table</w:t>
      </w:r>
      <w:r w:rsidR="00594A10" w:rsidRPr="00B01850">
        <w:rPr>
          <w:rFonts w:ascii="Arial" w:hAnsi="Arial" w:cs="Arial"/>
          <w:i w:val="0"/>
          <w:iCs w:val="0"/>
          <w:color w:val="auto"/>
          <w:sz w:val="22"/>
          <w:szCs w:val="22"/>
        </w:rPr>
        <w:t>…. :</w:t>
      </w:r>
      <w:r w:rsidRPr="00B01850">
        <w:rPr>
          <w:rFonts w:ascii="Arial" w:hAnsi="Arial" w:cs="Arial"/>
          <w:i w:val="0"/>
          <w:iCs w:val="0"/>
          <w:color w:val="auto"/>
          <w:sz w:val="22"/>
          <w:szCs w:val="22"/>
        </w:rPr>
        <w:t xml:space="preserve"> Méthodes d'élimination des déchets</w:t>
      </w:r>
      <w:bookmarkEnd w:id="230"/>
      <w:bookmarkEnd w:id="23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73"/>
        <w:gridCol w:w="4777"/>
      </w:tblGrid>
      <w:tr w:rsidR="00DD3BBD" w:rsidRPr="00B01850" w14:paraId="65D29877" w14:textId="77777777" w:rsidTr="0003762F">
        <w:trPr>
          <w:trHeight w:val="406"/>
        </w:trPr>
        <w:tc>
          <w:tcPr>
            <w:tcW w:w="4573" w:type="dxa"/>
            <w:shd w:val="clear" w:color="auto" w:fill="FDE9D9" w:themeFill="accent6" w:themeFillTint="33"/>
            <w:vAlign w:val="center"/>
          </w:tcPr>
          <w:p w14:paraId="060884F8" w14:textId="79F450D0" w:rsidR="00DD3BBD" w:rsidRPr="00B01850" w:rsidRDefault="0003762F" w:rsidP="0003762F">
            <w:pPr>
              <w:spacing w:after="0" w:line="240" w:lineRule="auto"/>
              <w:jc w:val="center"/>
              <w:rPr>
                <w:rFonts w:ascii="Arial" w:hAnsi="Arial" w:cs="Arial"/>
                <w:bCs/>
                <w:i/>
                <w:iCs/>
                <w:color w:val="000000" w:themeColor="text1"/>
              </w:rPr>
            </w:pPr>
            <w:r w:rsidRPr="00B01850">
              <w:rPr>
                <w:rFonts w:ascii="Arial" w:hAnsi="Arial" w:cs="Arial"/>
                <w:bCs/>
                <w:i/>
                <w:iCs/>
                <w:color w:val="000000" w:themeColor="text1"/>
              </w:rPr>
              <w:t>Types de déchets</w:t>
            </w:r>
          </w:p>
        </w:tc>
        <w:tc>
          <w:tcPr>
            <w:tcW w:w="4777" w:type="dxa"/>
            <w:shd w:val="clear" w:color="auto" w:fill="FDE9D9" w:themeFill="accent6" w:themeFillTint="33"/>
            <w:vAlign w:val="center"/>
          </w:tcPr>
          <w:p w14:paraId="0FE1D5C5" w14:textId="77777777" w:rsidR="00DD3BBD" w:rsidRPr="00B01850" w:rsidRDefault="00DD3BBD" w:rsidP="0003762F">
            <w:pPr>
              <w:spacing w:after="0" w:line="240" w:lineRule="auto"/>
              <w:jc w:val="center"/>
              <w:rPr>
                <w:rFonts w:ascii="Arial" w:hAnsi="Arial" w:cs="Arial"/>
                <w:bCs/>
                <w:i/>
                <w:iCs/>
                <w:color w:val="000000" w:themeColor="text1"/>
              </w:rPr>
            </w:pPr>
            <w:r w:rsidRPr="00B01850">
              <w:rPr>
                <w:rFonts w:ascii="Arial" w:hAnsi="Arial" w:cs="Arial"/>
                <w:bCs/>
                <w:i/>
                <w:iCs/>
                <w:color w:val="000000" w:themeColor="text1"/>
              </w:rPr>
              <w:t>Méthode d'élimination</w:t>
            </w:r>
          </w:p>
        </w:tc>
      </w:tr>
      <w:tr w:rsidR="00DD3BBD" w:rsidRPr="00B01850" w14:paraId="40ECD3EE" w14:textId="77777777" w:rsidTr="0003762F">
        <w:trPr>
          <w:trHeight w:val="602"/>
        </w:trPr>
        <w:tc>
          <w:tcPr>
            <w:tcW w:w="4573" w:type="dxa"/>
            <w:shd w:val="clear" w:color="auto" w:fill="auto"/>
            <w:vAlign w:val="center"/>
          </w:tcPr>
          <w:p w14:paraId="5D57EECE" w14:textId="6A6CCFA7" w:rsidR="00DD3BBD" w:rsidRPr="00B01850" w:rsidRDefault="00DD3BBD" w:rsidP="00DD3BBD">
            <w:pPr>
              <w:spacing w:after="0" w:line="240" w:lineRule="auto"/>
              <w:jc w:val="both"/>
              <w:rPr>
                <w:rFonts w:ascii="Arial" w:hAnsi="Arial" w:cs="Arial"/>
                <w:color w:val="000000" w:themeColor="text1"/>
              </w:rPr>
            </w:pPr>
            <w:r w:rsidRPr="00B01850">
              <w:rPr>
                <w:rFonts w:ascii="Arial" w:hAnsi="Arial" w:cs="Arial"/>
                <w:color w:val="000000" w:themeColor="text1"/>
              </w:rPr>
              <w:t>M</w:t>
            </w:r>
            <w:r w:rsidR="00C643DB">
              <w:rPr>
                <w:rFonts w:ascii="Arial" w:hAnsi="Arial" w:cs="Arial"/>
                <w:color w:val="000000" w:themeColor="text1"/>
              </w:rPr>
              <w:t>étal</w:t>
            </w:r>
            <w:r w:rsidR="0003762F" w:rsidRPr="00B01850">
              <w:rPr>
                <w:rFonts w:ascii="Arial" w:hAnsi="Arial" w:cs="Arial"/>
                <w:color w:val="000000" w:themeColor="text1"/>
              </w:rPr>
              <w:t xml:space="preserve"> </w:t>
            </w:r>
            <w:r w:rsidRPr="00B01850">
              <w:rPr>
                <w:rFonts w:ascii="Arial" w:hAnsi="Arial" w:cs="Arial"/>
                <w:color w:val="000000" w:themeColor="text1"/>
              </w:rPr>
              <w:t>:</w:t>
            </w:r>
            <w:r w:rsidR="0003762F" w:rsidRPr="00B01850">
              <w:rPr>
                <w:rFonts w:ascii="Arial" w:hAnsi="Arial" w:cs="Arial"/>
                <w:color w:val="000000" w:themeColor="text1"/>
              </w:rPr>
              <w:t xml:space="preserve"> </w:t>
            </w:r>
            <w:r w:rsidRPr="00B01850">
              <w:rPr>
                <w:rFonts w:ascii="Arial" w:hAnsi="Arial" w:cs="Arial"/>
                <w:color w:val="000000" w:themeColor="text1"/>
              </w:rPr>
              <w:t>Ferraille, boîtes de conserve, boîtes de conserve, feuilles d'aluminium</w:t>
            </w:r>
            <w:r w:rsidR="0010373A">
              <w:rPr>
                <w:rFonts w:ascii="Arial" w:hAnsi="Arial" w:cs="Arial"/>
                <w:color w:val="000000" w:themeColor="text1"/>
              </w:rPr>
              <w:t>.</w:t>
            </w:r>
          </w:p>
        </w:tc>
        <w:tc>
          <w:tcPr>
            <w:tcW w:w="4777" w:type="dxa"/>
            <w:shd w:val="clear" w:color="auto" w:fill="auto"/>
            <w:vAlign w:val="center"/>
          </w:tcPr>
          <w:p w14:paraId="1171418F" w14:textId="77777777" w:rsidR="00DD3BBD" w:rsidRPr="00B01850" w:rsidRDefault="00DD3BBD" w:rsidP="00DD3BBD">
            <w:pPr>
              <w:spacing w:after="0" w:line="240" w:lineRule="auto"/>
              <w:jc w:val="both"/>
              <w:rPr>
                <w:rFonts w:ascii="Arial" w:hAnsi="Arial" w:cs="Arial"/>
                <w:color w:val="000000" w:themeColor="text1"/>
              </w:rPr>
            </w:pPr>
            <w:r w:rsidRPr="00B01850">
              <w:rPr>
                <w:rFonts w:ascii="Arial" w:hAnsi="Arial" w:cs="Arial"/>
                <w:color w:val="000000" w:themeColor="text1"/>
              </w:rPr>
              <w:t>Cellule séparée - Métaux</w:t>
            </w:r>
          </w:p>
        </w:tc>
      </w:tr>
      <w:tr w:rsidR="00DD3BBD" w:rsidRPr="00B01850" w14:paraId="0CAB13AB" w14:textId="77777777" w:rsidTr="0003762F">
        <w:trPr>
          <w:trHeight w:val="376"/>
        </w:trPr>
        <w:tc>
          <w:tcPr>
            <w:tcW w:w="4573" w:type="dxa"/>
            <w:shd w:val="clear" w:color="auto" w:fill="auto"/>
            <w:vAlign w:val="center"/>
          </w:tcPr>
          <w:p w14:paraId="588B2827" w14:textId="6B6724AA" w:rsidR="00DD3BBD" w:rsidRPr="00B01850" w:rsidRDefault="00DD3BBD" w:rsidP="00DD3BBD">
            <w:pPr>
              <w:spacing w:after="0" w:line="240" w:lineRule="auto"/>
              <w:jc w:val="both"/>
              <w:rPr>
                <w:rFonts w:ascii="Arial" w:hAnsi="Arial" w:cs="Arial"/>
                <w:color w:val="000000" w:themeColor="text1"/>
              </w:rPr>
            </w:pPr>
            <w:r w:rsidRPr="00B01850">
              <w:rPr>
                <w:rFonts w:ascii="Arial" w:hAnsi="Arial" w:cs="Arial"/>
                <w:color w:val="000000" w:themeColor="text1"/>
              </w:rPr>
              <w:t>Bouteilles en plastique et polyéthylène</w:t>
            </w:r>
            <w:r w:rsidR="0010373A">
              <w:rPr>
                <w:rFonts w:ascii="Arial" w:hAnsi="Arial" w:cs="Arial"/>
                <w:color w:val="000000" w:themeColor="text1"/>
              </w:rPr>
              <w:t>.</w:t>
            </w:r>
          </w:p>
        </w:tc>
        <w:tc>
          <w:tcPr>
            <w:tcW w:w="4777" w:type="dxa"/>
            <w:shd w:val="clear" w:color="auto" w:fill="auto"/>
            <w:vAlign w:val="center"/>
          </w:tcPr>
          <w:p w14:paraId="51F705EC" w14:textId="77ABE425" w:rsidR="00DD3BBD" w:rsidRPr="00B01850" w:rsidRDefault="00DD3BBD" w:rsidP="00DD3BBD">
            <w:pPr>
              <w:spacing w:after="0" w:line="240" w:lineRule="auto"/>
              <w:jc w:val="both"/>
              <w:rPr>
                <w:rFonts w:ascii="Arial" w:hAnsi="Arial" w:cs="Arial"/>
                <w:color w:val="000000" w:themeColor="text1"/>
              </w:rPr>
            </w:pPr>
            <w:r w:rsidRPr="00B01850">
              <w:rPr>
                <w:rFonts w:ascii="Arial" w:hAnsi="Arial" w:cs="Arial"/>
                <w:color w:val="000000" w:themeColor="text1"/>
              </w:rPr>
              <w:t>Poubelle séparée</w:t>
            </w:r>
            <w:r w:rsidR="0010373A">
              <w:rPr>
                <w:rFonts w:ascii="Arial" w:hAnsi="Arial" w:cs="Arial"/>
                <w:color w:val="000000" w:themeColor="text1"/>
              </w:rPr>
              <w:t xml:space="preserve"> </w:t>
            </w:r>
            <w:r w:rsidR="001604CB">
              <w:rPr>
                <w:rFonts w:ascii="Arial" w:hAnsi="Arial" w:cs="Arial"/>
                <w:color w:val="000000" w:themeColor="text1"/>
              </w:rPr>
              <w:t>–</w:t>
            </w:r>
            <w:r w:rsidR="0010373A">
              <w:rPr>
                <w:rFonts w:ascii="Arial" w:hAnsi="Arial" w:cs="Arial"/>
                <w:color w:val="000000" w:themeColor="text1"/>
              </w:rPr>
              <w:t xml:space="preserve"> </w:t>
            </w:r>
            <w:r w:rsidRPr="00B01850">
              <w:rPr>
                <w:rFonts w:ascii="Arial" w:hAnsi="Arial" w:cs="Arial"/>
                <w:color w:val="000000" w:themeColor="text1"/>
              </w:rPr>
              <w:t>Plastiques</w:t>
            </w:r>
            <w:r w:rsidR="001604CB">
              <w:rPr>
                <w:rFonts w:ascii="Arial" w:hAnsi="Arial" w:cs="Arial"/>
                <w:color w:val="000000" w:themeColor="text1"/>
              </w:rPr>
              <w:t xml:space="preserve"> v</w:t>
            </w:r>
            <w:r w:rsidRPr="00B01850">
              <w:rPr>
                <w:rFonts w:ascii="Arial" w:hAnsi="Arial" w:cs="Arial"/>
                <w:color w:val="000000" w:themeColor="text1"/>
              </w:rPr>
              <w:t>ides d'eau, etc.</w:t>
            </w:r>
          </w:p>
        </w:tc>
      </w:tr>
      <w:tr w:rsidR="00DD3BBD" w:rsidRPr="00B01850" w14:paraId="117E9C7C" w14:textId="77777777" w:rsidTr="0003762F">
        <w:trPr>
          <w:trHeight w:val="376"/>
        </w:trPr>
        <w:tc>
          <w:tcPr>
            <w:tcW w:w="4573" w:type="dxa"/>
            <w:shd w:val="clear" w:color="auto" w:fill="auto"/>
            <w:vAlign w:val="center"/>
          </w:tcPr>
          <w:p w14:paraId="1A1E2DF0" w14:textId="6EF67648" w:rsidR="00DD3BBD" w:rsidRPr="00B01850" w:rsidRDefault="00DD3BBD" w:rsidP="00DD3BBD">
            <w:pPr>
              <w:spacing w:after="0" w:line="240" w:lineRule="auto"/>
              <w:jc w:val="both"/>
              <w:rPr>
                <w:rFonts w:ascii="Arial" w:hAnsi="Arial" w:cs="Arial"/>
                <w:color w:val="000000" w:themeColor="text1"/>
              </w:rPr>
            </w:pPr>
            <w:r w:rsidRPr="00B01850">
              <w:rPr>
                <w:rFonts w:ascii="Arial" w:hAnsi="Arial" w:cs="Arial"/>
                <w:color w:val="000000" w:themeColor="text1"/>
              </w:rPr>
              <w:t>Boîtes et papiers en carton</w:t>
            </w:r>
            <w:r w:rsidR="0010373A">
              <w:rPr>
                <w:rFonts w:ascii="Arial" w:hAnsi="Arial" w:cs="Arial"/>
                <w:color w:val="000000" w:themeColor="text1"/>
              </w:rPr>
              <w:t>.</w:t>
            </w:r>
          </w:p>
        </w:tc>
        <w:tc>
          <w:tcPr>
            <w:tcW w:w="4777" w:type="dxa"/>
            <w:shd w:val="clear" w:color="auto" w:fill="auto"/>
            <w:vAlign w:val="center"/>
          </w:tcPr>
          <w:p w14:paraId="12D5071D" w14:textId="74E1744C" w:rsidR="00DD3BBD" w:rsidRPr="00B01850" w:rsidRDefault="00DD3BBD" w:rsidP="00DD3BBD">
            <w:pPr>
              <w:spacing w:after="0" w:line="240" w:lineRule="auto"/>
              <w:jc w:val="both"/>
              <w:rPr>
                <w:rFonts w:ascii="Arial" w:hAnsi="Arial" w:cs="Arial"/>
                <w:color w:val="000000" w:themeColor="text1"/>
              </w:rPr>
            </w:pPr>
            <w:r w:rsidRPr="00B01850">
              <w:rPr>
                <w:rFonts w:ascii="Arial" w:hAnsi="Arial" w:cs="Arial"/>
                <w:color w:val="000000" w:themeColor="text1"/>
              </w:rPr>
              <w:t>Poubelle séparée</w:t>
            </w:r>
            <w:r w:rsidR="0010373A">
              <w:rPr>
                <w:rFonts w:ascii="Arial" w:hAnsi="Arial" w:cs="Arial"/>
                <w:color w:val="000000" w:themeColor="text1"/>
              </w:rPr>
              <w:t xml:space="preserve"> - </w:t>
            </w:r>
            <w:r w:rsidRPr="00B01850">
              <w:rPr>
                <w:rFonts w:ascii="Arial" w:hAnsi="Arial" w:cs="Arial"/>
                <w:color w:val="000000" w:themeColor="text1"/>
              </w:rPr>
              <w:t>Cartes et papier</w:t>
            </w:r>
          </w:p>
        </w:tc>
      </w:tr>
      <w:tr w:rsidR="00DD3BBD" w:rsidRPr="00B01850" w14:paraId="1FDC6577" w14:textId="77777777" w:rsidTr="0003762F">
        <w:trPr>
          <w:trHeight w:val="366"/>
        </w:trPr>
        <w:tc>
          <w:tcPr>
            <w:tcW w:w="4573" w:type="dxa"/>
            <w:shd w:val="clear" w:color="auto" w:fill="auto"/>
            <w:vAlign w:val="center"/>
          </w:tcPr>
          <w:p w14:paraId="4145F652" w14:textId="15DACB85" w:rsidR="00DD3BBD" w:rsidRPr="00B01850" w:rsidRDefault="00DD3BBD" w:rsidP="00DD3BBD">
            <w:pPr>
              <w:spacing w:after="0" w:line="240" w:lineRule="auto"/>
              <w:jc w:val="both"/>
              <w:rPr>
                <w:rFonts w:ascii="Arial" w:hAnsi="Arial" w:cs="Arial"/>
                <w:color w:val="000000" w:themeColor="text1"/>
              </w:rPr>
            </w:pPr>
            <w:r w:rsidRPr="00B01850">
              <w:rPr>
                <w:rFonts w:ascii="Arial" w:hAnsi="Arial" w:cs="Arial"/>
                <w:color w:val="000000" w:themeColor="text1"/>
              </w:rPr>
              <w:t>Bouteilles et verre</w:t>
            </w:r>
            <w:r w:rsidR="0010373A">
              <w:rPr>
                <w:rFonts w:ascii="Arial" w:hAnsi="Arial" w:cs="Arial"/>
                <w:color w:val="000000" w:themeColor="text1"/>
              </w:rPr>
              <w:t>.</w:t>
            </w:r>
          </w:p>
        </w:tc>
        <w:tc>
          <w:tcPr>
            <w:tcW w:w="4777" w:type="dxa"/>
            <w:shd w:val="clear" w:color="auto" w:fill="auto"/>
            <w:vAlign w:val="center"/>
          </w:tcPr>
          <w:p w14:paraId="34078740" w14:textId="77777777" w:rsidR="00DD3BBD" w:rsidRPr="00B01850" w:rsidRDefault="00DD3BBD" w:rsidP="00DD3BBD">
            <w:pPr>
              <w:spacing w:after="0" w:line="240" w:lineRule="auto"/>
              <w:jc w:val="both"/>
              <w:rPr>
                <w:rFonts w:ascii="Arial" w:hAnsi="Arial" w:cs="Arial"/>
                <w:color w:val="000000" w:themeColor="text1"/>
              </w:rPr>
            </w:pPr>
            <w:r w:rsidRPr="00B01850">
              <w:rPr>
                <w:rFonts w:ascii="Arial" w:hAnsi="Arial" w:cs="Arial"/>
                <w:color w:val="000000" w:themeColor="text1"/>
              </w:rPr>
              <w:t>Poubelle séparée - Verre</w:t>
            </w:r>
          </w:p>
        </w:tc>
      </w:tr>
    </w:tbl>
    <w:p w14:paraId="0D9ACC8E" w14:textId="13A1CD0A" w:rsidR="00DD3BBD" w:rsidRPr="00B01850" w:rsidRDefault="00DD3BBD" w:rsidP="00214DCC">
      <w:pPr>
        <w:pStyle w:val="ListParagraph"/>
        <w:numPr>
          <w:ilvl w:val="0"/>
          <w:numId w:val="162"/>
        </w:numPr>
        <w:spacing w:before="240" w:after="240" w:line="240" w:lineRule="auto"/>
        <w:contextualSpacing w:val="0"/>
        <w:jc w:val="both"/>
        <w:rPr>
          <w:rFonts w:ascii="Arial" w:hAnsi="Arial" w:cs="Arial"/>
          <w:b/>
          <w:bCs/>
        </w:rPr>
      </w:pPr>
      <w:bookmarkStart w:id="232" w:name="_Toc524107009"/>
      <w:bookmarkStart w:id="233" w:name="_Toc124425216"/>
      <w:r w:rsidRPr="00B01850">
        <w:rPr>
          <w:rFonts w:ascii="Arial" w:hAnsi="Arial" w:cs="Arial"/>
          <w:b/>
          <w:bCs/>
        </w:rPr>
        <w:t>Procédure de manutention et de stockage des déchets</w:t>
      </w:r>
      <w:bookmarkEnd w:id="232"/>
      <w:bookmarkEnd w:id="233"/>
    </w:p>
    <w:p w14:paraId="2FD01FF2" w14:textId="64627383" w:rsidR="00DD3BBD" w:rsidRPr="00B01850" w:rsidRDefault="00DD3BBD" w:rsidP="00DD3BBD">
      <w:pPr>
        <w:spacing w:after="0" w:line="240" w:lineRule="auto"/>
        <w:jc w:val="both"/>
        <w:rPr>
          <w:rFonts w:ascii="Arial" w:hAnsi="Arial" w:cs="Arial"/>
          <w:b/>
          <w:bCs/>
        </w:rPr>
      </w:pPr>
      <w:bookmarkStart w:id="234" w:name="_Toc524107010"/>
      <w:bookmarkStart w:id="235" w:name="_Toc124425217"/>
      <w:r w:rsidRPr="00B01850">
        <w:rPr>
          <w:rFonts w:ascii="Arial" w:hAnsi="Arial" w:cs="Arial"/>
          <w:b/>
          <w:bCs/>
        </w:rPr>
        <w:t xml:space="preserve"> </w:t>
      </w:r>
      <w:r w:rsidRPr="00B01850">
        <w:rPr>
          <w:rFonts w:ascii="Arial" w:hAnsi="Arial" w:cs="Arial"/>
          <w:i/>
          <w:iCs/>
        </w:rPr>
        <w:t>Traitement des déchets :</w:t>
      </w:r>
      <w:r w:rsidRPr="00B01850">
        <w:rPr>
          <w:rFonts w:ascii="Arial" w:hAnsi="Arial" w:cs="Arial"/>
          <w:b/>
          <w:bCs/>
        </w:rPr>
        <w:t xml:space="preserve"> </w:t>
      </w:r>
      <w:bookmarkEnd w:id="234"/>
      <w:bookmarkEnd w:id="235"/>
      <w:r w:rsidRPr="00B01850">
        <w:rPr>
          <w:rFonts w:ascii="Arial" w:hAnsi="Arial" w:cs="Arial"/>
        </w:rPr>
        <w:t>Tout le personnel impliqué dans la manutention des déchets non dangereux suivra une formation spécifique dans les domaines suivants :</w:t>
      </w:r>
    </w:p>
    <w:p w14:paraId="32406B68" w14:textId="5FB65E51" w:rsidR="00DD3BBD" w:rsidRPr="00B01850" w:rsidRDefault="00DD3BBD" w:rsidP="00214DCC">
      <w:pPr>
        <w:pStyle w:val="ListParagraph"/>
        <w:numPr>
          <w:ilvl w:val="0"/>
          <w:numId w:val="163"/>
        </w:numPr>
        <w:spacing w:after="0" w:line="240" w:lineRule="auto"/>
        <w:jc w:val="both"/>
        <w:rPr>
          <w:rFonts w:ascii="Arial" w:hAnsi="Arial" w:cs="Arial"/>
        </w:rPr>
      </w:pPr>
      <w:r w:rsidRPr="00B01850">
        <w:rPr>
          <w:rFonts w:ascii="Arial" w:hAnsi="Arial" w:cs="Arial"/>
        </w:rPr>
        <w:t>Appliquer des procédures correctes d'élimination des déchets</w:t>
      </w:r>
      <w:r w:rsidR="00851D01">
        <w:rPr>
          <w:rFonts w:ascii="Arial" w:hAnsi="Arial" w:cs="Arial"/>
        </w:rPr>
        <w:t> ;</w:t>
      </w:r>
    </w:p>
    <w:p w14:paraId="6C65507E" w14:textId="1B09F33A" w:rsidR="00DD3BBD" w:rsidRPr="00B01850" w:rsidRDefault="00DD3BBD" w:rsidP="00214DCC">
      <w:pPr>
        <w:pStyle w:val="ListParagraph"/>
        <w:numPr>
          <w:ilvl w:val="0"/>
          <w:numId w:val="163"/>
        </w:numPr>
        <w:spacing w:after="0" w:line="240" w:lineRule="auto"/>
        <w:jc w:val="both"/>
        <w:rPr>
          <w:rFonts w:ascii="Arial" w:hAnsi="Arial" w:cs="Arial"/>
        </w:rPr>
      </w:pPr>
      <w:r w:rsidRPr="00B01850">
        <w:rPr>
          <w:rFonts w:ascii="Arial" w:hAnsi="Arial" w:cs="Arial"/>
        </w:rPr>
        <w:t>Les déchets provenant des poubelles seront ramassés sur une base hebdomadaire ou selon les besoins. Les déchets dangereux accumulés seront enlevés quotidiennement du site et transportés au point de collecte principal.</w:t>
      </w:r>
    </w:p>
    <w:p w14:paraId="74A35D4A" w14:textId="0ECA2218" w:rsidR="00E96DEB" w:rsidRPr="007C3A30" w:rsidRDefault="00DD3BBD" w:rsidP="00214DCC">
      <w:pPr>
        <w:pStyle w:val="ListParagraph"/>
        <w:numPr>
          <w:ilvl w:val="0"/>
          <w:numId w:val="163"/>
        </w:numPr>
        <w:spacing w:after="0" w:line="240" w:lineRule="auto"/>
        <w:jc w:val="both"/>
        <w:rPr>
          <w:rFonts w:ascii="Arial" w:hAnsi="Arial" w:cs="Arial"/>
        </w:rPr>
      </w:pPr>
      <w:r w:rsidRPr="007C3A30">
        <w:rPr>
          <w:rFonts w:ascii="Arial" w:hAnsi="Arial" w:cs="Arial"/>
        </w:rPr>
        <w:t xml:space="preserve">Les déchets seront enlevés du site </w:t>
      </w:r>
      <w:r w:rsidR="009312BA">
        <w:rPr>
          <w:rFonts w:ascii="Arial" w:hAnsi="Arial" w:cs="Arial"/>
        </w:rPr>
        <w:t xml:space="preserve">en fonction </w:t>
      </w:r>
      <w:r w:rsidR="006E18FA">
        <w:rPr>
          <w:rFonts w:ascii="Arial" w:hAnsi="Arial" w:cs="Arial"/>
        </w:rPr>
        <w:t>de leur</w:t>
      </w:r>
      <w:r w:rsidRPr="007C3A30">
        <w:rPr>
          <w:rFonts w:ascii="Arial" w:hAnsi="Arial" w:cs="Arial"/>
        </w:rPr>
        <w:t xml:space="preserve"> vitesse </w:t>
      </w:r>
      <w:r w:rsidR="006E18FA">
        <w:rPr>
          <w:rFonts w:ascii="Arial" w:hAnsi="Arial" w:cs="Arial"/>
        </w:rPr>
        <w:t>d’accumulation sur le site de stockage.</w:t>
      </w:r>
      <w:bookmarkStart w:id="236" w:name="_Toc524107012"/>
      <w:bookmarkStart w:id="237" w:name="_Toc124425219"/>
    </w:p>
    <w:p w14:paraId="2D17B1A6" w14:textId="19CA6AAC" w:rsidR="00DD3BBD" w:rsidRPr="007C3A30" w:rsidRDefault="00DD3BBD" w:rsidP="00214DCC">
      <w:pPr>
        <w:pStyle w:val="ListParagraph"/>
        <w:numPr>
          <w:ilvl w:val="0"/>
          <w:numId w:val="164"/>
        </w:numPr>
        <w:spacing w:before="120" w:after="120" w:line="240" w:lineRule="auto"/>
        <w:ind w:left="778"/>
        <w:contextualSpacing w:val="0"/>
        <w:jc w:val="both"/>
        <w:rPr>
          <w:rFonts w:ascii="Arial" w:hAnsi="Arial" w:cs="Arial"/>
          <w:b/>
          <w:bCs/>
        </w:rPr>
      </w:pPr>
      <w:r w:rsidRPr="007C3A30">
        <w:rPr>
          <w:rFonts w:ascii="Arial" w:hAnsi="Arial" w:cs="Arial"/>
          <w:b/>
          <w:bCs/>
        </w:rPr>
        <w:t>Stockage temporaire des déchets</w:t>
      </w:r>
      <w:bookmarkEnd w:id="236"/>
      <w:bookmarkEnd w:id="237"/>
    </w:p>
    <w:p w14:paraId="29DB8102" w14:textId="2F9676CA" w:rsidR="00DD3BBD" w:rsidRPr="00B01850" w:rsidRDefault="00DD3BBD" w:rsidP="00DD3BBD">
      <w:pPr>
        <w:spacing w:after="0" w:line="240" w:lineRule="auto"/>
        <w:jc w:val="both"/>
        <w:rPr>
          <w:rFonts w:ascii="Arial" w:hAnsi="Arial" w:cs="Arial"/>
        </w:rPr>
      </w:pPr>
      <w:r w:rsidRPr="00B01850">
        <w:rPr>
          <w:rFonts w:ascii="Arial" w:hAnsi="Arial" w:cs="Arial"/>
          <w:bCs/>
          <w:i/>
          <w:iCs/>
        </w:rPr>
        <w:t>Aire de stockage des déchets :</w:t>
      </w:r>
      <w:r w:rsidRPr="00B01850">
        <w:rPr>
          <w:rFonts w:ascii="Arial" w:hAnsi="Arial" w:cs="Arial"/>
          <w:b/>
          <w:bCs/>
        </w:rPr>
        <w:t xml:space="preserve"> </w:t>
      </w:r>
      <w:r w:rsidRPr="00B01850">
        <w:rPr>
          <w:rFonts w:ascii="Arial" w:hAnsi="Arial" w:cs="Arial"/>
        </w:rPr>
        <w:t xml:space="preserve">Tous les déchets produits lors des activités </w:t>
      </w:r>
      <w:r w:rsidR="009D6943">
        <w:rPr>
          <w:rFonts w:ascii="Arial" w:hAnsi="Arial" w:cs="Arial"/>
        </w:rPr>
        <w:t xml:space="preserve">du projet doivent être enlevés à l’aide </w:t>
      </w:r>
      <w:r w:rsidRPr="00B01850">
        <w:rPr>
          <w:rFonts w:ascii="Arial" w:hAnsi="Arial" w:cs="Arial"/>
        </w:rPr>
        <w:t>d'équipements de protection individuelle appropriés et ils doivent être triés et stockés temporairement dans des conteneurs spéciaux</w:t>
      </w:r>
      <w:r w:rsidR="009D6943">
        <w:rPr>
          <w:rFonts w:ascii="Arial" w:hAnsi="Arial" w:cs="Arial"/>
        </w:rPr>
        <w:t>.</w:t>
      </w:r>
    </w:p>
    <w:p w14:paraId="624D0939" w14:textId="77777777" w:rsidR="00A81575" w:rsidRPr="00B01850" w:rsidRDefault="00A81575" w:rsidP="00DD3BBD">
      <w:pPr>
        <w:spacing w:after="0" w:line="240" w:lineRule="auto"/>
        <w:jc w:val="both"/>
        <w:rPr>
          <w:rFonts w:ascii="Arial" w:hAnsi="Arial" w:cs="Arial"/>
          <w:b/>
          <w:bCs/>
        </w:rPr>
      </w:pPr>
    </w:p>
    <w:p w14:paraId="6A0CCC3A" w14:textId="77777777" w:rsidR="00A81575" w:rsidRPr="00B01850" w:rsidRDefault="00DD3BBD" w:rsidP="00DD3BBD">
      <w:pPr>
        <w:spacing w:after="0" w:line="240" w:lineRule="auto"/>
        <w:jc w:val="both"/>
        <w:rPr>
          <w:rFonts w:ascii="Arial" w:hAnsi="Arial" w:cs="Arial"/>
        </w:rPr>
      </w:pPr>
      <w:r w:rsidRPr="00B01850">
        <w:rPr>
          <w:rFonts w:ascii="Arial" w:hAnsi="Arial" w:cs="Arial"/>
        </w:rPr>
        <w:t xml:space="preserve">Les zones de stockage des déchets doivent être indiquées dans les procédures pertinentes et être situées à au moins 100 m de tout cours d'eau.  Les déchets seront stockés de manière à éviter : </w:t>
      </w:r>
    </w:p>
    <w:p w14:paraId="083EB4AB" w14:textId="285899B0" w:rsidR="00DD3BBD" w:rsidRPr="00B01850" w:rsidRDefault="00DD3BBD" w:rsidP="00214DCC">
      <w:pPr>
        <w:pStyle w:val="ListParagraph"/>
        <w:numPr>
          <w:ilvl w:val="0"/>
          <w:numId w:val="14"/>
        </w:numPr>
        <w:spacing w:after="0" w:line="240" w:lineRule="auto"/>
        <w:jc w:val="both"/>
        <w:rPr>
          <w:rFonts w:ascii="Arial" w:hAnsi="Arial" w:cs="Arial"/>
        </w:rPr>
      </w:pPr>
      <w:r w:rsidRPr="00B01850">
        <w:rPr>
          <w:rFonts w:ascii="Arial" w:hAnsi="Arial" w:cs="Arial"/>
        </w:rPr>
        <w:t>Déversement ou fuite accidentelle, contamination des sols et des eaux souterraines, perte d'intégrité due à des collisions accidentelles ou à l'altération due à la mise en place d'un confinement secondaire approprié et/ou d'une toiture appropriée ;</w:t>
      </w:r>
    </w:p>
    <w:p w14:paraId="68A5CB00" w14:textId="77777777" w:rsidR="00DD3BBD" w:rsidRPr="00B01850" w:rsidRDefault="00DD3BBD" w:rsidP="00214DCC">
      <w:pPr>
        <w:pStyle w:val="ListParagraph"/>
        <w:numPr>
          <w:ilvl w:val="0"/>
          <w:numId w:val="14"/>
        </w:numPr>
        <w:spacing w:after="0" w:line="240" w:lineRule="auto"/>
        <w:jc w:val="both"/>
        <w:rPr>
          <w:rFonts w:ascii="Arial" w:hAnsi="Arial" w:cs="Arial"/>
        </w:rPr>
      </w:pPr>
      <w:r w:rsidRPr="00B01850">
        <w:rPr>
          <w:rFonts w:ascii="Arial" w:hAnsi="Arial" w:cs="Arial"/>
        </w:rPr>
        <w:t>La corrosion ou l'usure des conteneurs à cause des intempéries, en protégeant les zones de stockage des déchets, et des déchets eux-mêmes, en sélectionnant des conteneurs adaptés au stockage des déchets prévus,</w:t>
      </w:r>
    </w:p>
    <w:p w14:paraId="3B69B8C2" w14:textId="77777777" w:rsidR="00DD3BBD" w:rsidRPr="00B01850" w:rsidRDefault="00DD3BBD" w:rsidP="00214DCC">
      <w:pPr>
        <w:pStyle w:val="ListParagraph"/>
        <w:numPr>
          <w:ilvl w:val="0"/>
          <w:numId w:val="14"/>
        </w:numPr>
        <w:spacing w:after="0" w:line="240" w:lineRule="auto"/>
        <w:jc w:val="both"/>
        <w:rPr>
          <w:rFonts w:ascii="Arial" w:hAnsi="Arial" w:cs="Arial"/>
        </w:rPr>
      </w:pPr>
      <w:r w:rsidRPr="00B01850">
        <w:rPr>
          <w:rFonts w:ascii="Arial" w:hAnsi="Arial" w:cs="Arial"/>
        </w:rPr>
        <w:t>Les vols commis par les personnes en stockant des déchets dans les limites sécurisées du périmètre du camp ; et</w:t>
      </w:r>
    </w:p>
    <w:p w14:paraId="61E1CAAF" w14:textId="40A35A4E" w:rsidR="00DD3BBD" w:rsidRPr="00B01850" w:rsidRDefault="00DD3BBD" w:rsidP="00214DCC">
      <w:pPr>
        <w:pStyle w:val="ListParagraph"/>
        <w:numPr>
          <w:ilvl w:val="0"/>
          <w:numId w:val="14"/>
        </w:numPr>
        <w:spacing w:after="0" w:line="240" w:lineRule="auto"/>
        <w:jc w:val="both"/>
        <w:rPr>
          <w:rFonts w:ascii="Arial" w:hAnsi="Arial" w:cs="Arial"/>
        </w:rPr>
      </w:pPr>
      <w:r w:rsidRPr="00B01850">
        <w:rPr>
          <w:rFonts w:ascii="Arial" w:hAnsi="Arial" w:cs="Arial"/>
        </w:rPr>
        <w:t>Ramassage par les animaux en stockant les déchets putrescibles dans des bacs fermés avant compostage.</w:t>
      </w:r>
    </w:p>
    <w:p w14:paraId="2E297E1B" w14:textId="0DDA86BB" w:rsidR="00DD3BBD" w:rsidRPr="00B01850" w:rsidRDefault="000B5E87" w:rsidP="00DD3BBD">
      <w:pPr>
        <w:spacing w:after="0" w:line="240" w:lineRule="auto"/>
        <w:jc w:val="both"/>
        <w:rPr>
          <w:rFonts w:ascii="Arial" w:hAnsi="Arial" w:cs="Arial"/>
        </w:rPr>
      </w:pPr>
      <w:r>
        <w:rPr>
          <w:rFonts w:ascii="Arial" w:hAnsi="Arial" w:cs="Arial"/>
        </w:rPr>
        <w:t>Pour les activités du projet, s</w:t>
      </w:r>
      <w:r w:rsidR="00DD3BBD" w:rsidRPr="00B01850">
        <w:rPr>
          <w:rFonts w:ascii="Arial" w:hAnsi="Arial" w:cs="Arial"/>
        </w:rPr>
        <w:t>euls les conteneurs en bon état seront utilisés</w:t>
      </w:r>
      <w:r>
        <w:rPr>
          <w:rFonts w:ascii="Arial" w:hAnsi="Arial" w:cs="Arial"/>
        </w:rPr>
        <w:t xml:space="preserve"> pour stocker les déchets</w:t>
      </w:r>
      <w:r w:rsidR="009D6943">
        <w:rPr>
          <w:rFonts w:ascii="Arial" w:hAnsi="Arial" w:cs="Arial"/>
        </w:rPr>
        <w:t xml:space="preserve">, dont les </w:t>
      </w:r>
      <w:r w:rsidR="00DD3BBD" w:rsidRPr="00B01850">
        <w:rPr>
          <w:rFonts w:ascii="Arial" w:hAnsi="Arial" w:cs="Arial"/>
        </w:rPr>
        <w:t xml:space="preserve">couvercles </w:t>
      </w:r>
      <w:r w:rsidR="009D6943">
        <w:rPr>
          <w:rFonts w:ascii="Arial" w:hAnsi="Arial" w:cs="Arial"/>
        </w:rPr>
        <w:t xml:space="preserve">sont </w:t>
      </w:r>
      <w:r w:rsidR="00DD3BBD" w:rsidRPr="00B01850">
        <w:rPr>
          <w:rFonts w:ascii="Arial" w:hAnsi="Arial" w:cs="Arial"/>
        </w:rPr>
        <w:t xml:space="preserve">solidement fixés ou d'autres formes de couverture </w:t>
      </w:r>
      <w:r w:rsidR="000F55C0">
        <w:rPr>
          <w:rFonts w:ascii="Arial" w:hAnsi="Arial" w:cs="Arial"/>
        </w:rPr>
        <w:t xml:space="preserve">appropriées </w:t>
      </w:r>
      <w:r w:rsidR="00DD3BBD" w:rsidRPr="00B01850">
        <w:rPr>
          <w:rFonts w:ascii="Arial" w:hAnsi="Arial" w:cs="Arial"/>
        </w:rPr>
        <w:t>devront être fournies.  Aucun conteneur susceptible d'entraîner le rejet de substances nocives ne sera utilisé. Les déchets solides et liquides ne seront pas mélangés, de même que les déchets dangereux de nature incompatible.</w:t>
      </w:r>
    </w:p>
    <w:p w14:paraId="0DE694F7" w14:textId="1761DAD4" w:rsidR="00DD3BBD" w:rsidRPr="00B01850" w:rsidRDefault="00DD3BBD" w:rsidP="00214DCC">
      <w:pPr>
        <w:pStyle w:val="ListParagraph"/>
        <w:numPr>
          <w:ilvl w:val="0"/>
          <w:numId w:val="164"/>
        </w:numPr>
        <w:spacing w:before="240" w:after="240" w:line="240" w:lineRule="auto"/>
        <w:ind w:left="778"/>
        <w:contextualSpacing w:val="0"/>
        <w:jc w:val="both"/>
        <w:rPr>
          <w:rFonts w:ascii="Arial" w:hAnsi="Arial" w:cs="Arial"/>
          <w:b/>
        </w:rPr>
      </w:pPr>
      <w:r w:rsidRPr="00B01850">
        <w:rPr>
          <w:rFonts w:ascii="Arial" w:hAnsi="Arial" w:cs="Arial"/>
          <w:b/>
        </w:rPr>
        <w:t>Meilleures pratiques de gestion des déchets</w:t>
      </w:r>
    </w:p>
    <w:p w14:paraId="61ED8ACA" w14:textId="2014BD4D" w:rsidR="00DD3BBD" w:rsidRPr="00B01850" w:rsidRDefault="00DD3BBD" w:rsidP="000F55C0">
      <w:pPr>
        <w:spacing w:before="120" w:after="120" w:line="240" w:lineRule="auto"/>
        <w:jc w:val="both"/>
        <w:rPr>
          <w:rFonts w:ascii="Arial" w:eastAsia="Calibri" w:hAnsi="Arial" w:cs="Arial"/>
        </w:rPr>
      </w:pPr>
      <w:r w:rsidRPr="00B01850">
        <w:rPr>
          <w:rFonts w:ascii="Arial" w:eastAsia="Calibri" w:hAnsi="Arial" w:cs="Arial"/>
        </w:rPr>
        <w:t>Il s'agit notamment des éléments suivants :</w:t>
      </w:r>
    </w:p>
    <w:p w14:paraId="70F25706" w14:textId="50A4BCA2" w:rsidR="00DD3BBD" w:rsidRPr="00B01850" w:rsidRDefault="000F55C0" w:rsidP="00214DCC">
      <w:pPr>
        <w:pStyle w:val="ListParagraph"/>
        <w:numPr>
          <w:ilvl w:val="0"/>
          <w:numId w:val="165"/>
        </w:numPr>
        <w:spacing w:after="0" w:line="240" w:lineRule="auto"/>
        <w:jc w:val="both"/>
        <w:rPr>
          <w:rFonts w:ascii="Arial" w:eastAsia="Calibri" w:hAnsi="Arial" w:cs="Arial"/>
        </w:rPr>
      </w:pPr>
      <w:r>
        <w:rPr>
          <w:rFonts w:ascii="Arial" w:eastAsia="Calibri" w:hAnsi="Arial" w:cs="Arial"/>
        </w:rPr>
        <w:t>Les p</w:t>
      </w:r>
      <w:r w:rsidR="00DD3BBD" w:rsidRPr="00B01850">
        <w:rPr>
          <w:rFonts w:ascii="Arial" w:eastAsia="Calibri" w:hAnsi="Arial" w:cs="Arial"/>
        </w:rPr>
        <w:t>artenaire</w:t>
      </w:r>
      <w:r>
        <w:rPr>
          <w:rFonts w:ascii="Arial" w:eastAsia="Calibri" w:hAnsi="Arial" w:cs="Arial"/>
        </w:rPr>
        <w:t>s</w:t>
      </w:r>
      <w:r w:rsidR="00DD3BBD" w:rsidRPr="00B01850">
        <w:rPr>
          <w:rFonts w:ascii="Arial" w:eastAsia="Calibri" w:hAnsi="Arial" w:cs="Arial"/>
        </w:rPr>
        <w:t xml:space="preserve"> de mise en œuvre </w:t>
      </w:r>
      <w:r>
        <w:rPr>
          <w:rFonts w:ascii="Arial" w:eastAsia="Calibri" w:hAnsi="Arial" w:cs="Arial"/>
        </w:rPr>
        <w:t xml:space="preserve">doivent </w:t>
      </w:r>
      <w:r w:rsidR="00DD3BBD" w:rsidRPr="00B01850">
        <w:rPr>
          <w:rFonts w:ascii="Arial" w:eastAsia="Calibri" w:hAnsi="Arial" w:cs="Arial"/>
        </w:rPr>
        <w:t xml:space="preserve">obtenir des autorisations concernant la gestion des déchets auprès des </w:t>
      </w:r>
      <w:r>
        <w:rPr>
          <w:rFonts w:ascii="Arial" w:eastAsia="Calibri" w:hAnsi="Arial" w:cs="Arial"/>
        </w:rPr>
        <w:t>services habilités ;</w:t>
      </w:r>
    </w:p>
    <w:p w14:paraId="1C0173BF" w14:textId="4EB6C39E" w:rsidR="00DD3BBD" w:rsidRPr="00B01850" w:rsidRDefault="00DD3BBD" w:rsidP="00214DCC">
      <w:pPr>
        <w:pStyle w:val="ListParagraph"/>
        <w:numPr>
          <w:ilvl w:val="0"/>
          <w:numId w:val="165"/>
        </w:numPr>
        <w:spacing w:after="0" w:line="240" w:lineRule="auto"/>
        <w:jc w:val="both"/>
        <w:rPr>
          <w:rFonts w:ascii="Arial" w:eastAsia="Calibri" w:hAnsi="Arial" w:cs="Arial"/>
        </w:rPr>
      </w:pPr>
      <w:r w:rsidRPr="00B01850">
        <w:rPr>
          <w:rFonts w:ascii="Arial" w:eastAsia="Calibri" w:hAnsi="Arial" w:cs="Arial"/>
        </w:rPr>
        <w:t>L</w:t>
      </w:r>
      <w:r w:rsidR="005148D9">
        <w:rPr>
          <w:rFonts w:ascii="Arial" w:eastAsia="Calibri" w:hAnsi="Arial" w:cs="Arial"/>
        </w:rPr>
        <w:t>’UGP et les entreprises partenaires et sous-traitantes fourniront tous les équipements nécessaires à la bonne mise en œuvre du</w:t>
      </w:r>
      <w:r w:rsidRPr="00B01850">
        <w:rPr>
          <w:rFonts w:ascii="Arial" w:eastAsia="Calibri" w:hAnsi="Arial" w:cs="Arial"/>
        </w:rPr>
        <w:t xml:space="preserve"> plan de gestion des déchets pendant toute la durée </w:t>
      </w:r>
      <w:r w:rsidR="005148D9">
        <w:rPr>
          <w:rFonts w:ascii="Arial" w:eastAsia="Calibri" w:hAnsi="Arial" w:cs="Arial"/>
        </w:rPr>
        <w:t xml:space="preserve">de vie </w:t>
      </w:r>
      <w:r w:rsidRPr="00B01850">
        <w:rPr>
          <w:rFonts w:ascii="Arial" w:eastAsia="Calibri" w:hAnsi="Arial" w:cs="Arial"/>
        </w:rPr>
        <w:t>du projet.</w:t>
      </w:r>
    </w:p>
    <w:p w14:paraId="7EC235E2" w14:textId="61B62C4B" w:rsidR="00DD3BBD" w:rsidRPr="00B01850" w:rsidRDefault="00DD3BBD" w:rsidP="00214DCC">
      <w:pPr>
        <w:pStyle w:val="ListParagraph"/>
        <w:numPr>
          <w:ilvl w:val="0"/>
          <w:numId w:val="165"/>
        </w:numPr>
        <w:spacing w:after="0" w:line="240" w:lineRule="auto"/>
        <w:jc w:val="both"/>
        <w:rPr>
          <w:rFonts w:ascii="Arial" w:eastAsia="Calibri" w:hAnsi="Arial" w:cs="Arial"/>
        </w:rPr>
      </w:pPr>
      <w:r w:rsidRPr="00B01850">
        <w:rPr>
          <w:rFonts w:ascii="Arial" w:eastAsia="Calibri" w:hAnsi="Arial" w:cs="Arial"/>
        </w:rPr>
        <w:t>Le</w:t>
      </w:r>
      <w:r w:rsidR="005148D9">
        <w:rPr>
          <w:rFonts w:ascii="Arial" w:eastAsia="Calibri" w:hAnsi="Arial" w:cs="Arial"/>
        </w:rPr>
        <w:t xml:space="preserve">s spécialistes en sauvegarde du projet et les responsables SST des entreprises seront également chargés de gérer les déchets. Ces derniers seront donc chargés de mettre en œuvre les plans, de suivre la mise en œuvre des activités et d’établir les rapports </w:t>
      </w:r>
      <w:r w:rsidRPr="00B01850">
        <w:rPr>
          <w:rFonts w:ascii="Arial" w:eastAsia="Calibri" w:hAnsi="Arial" w:cs="Arial"/>
        </w:rPr>
        <w:t>sur l'état d'avancement de la présente procédure</w:t>
      </w:r>
      <w:r w:rsidR="00B660E0">
        <w:rPr>
          <w:rFonts w:ascii="Arial" w:eastAsia="Calibri" w:hAnsi="Arial" w:cs="Arial"/>
        </w:rPr>
        <w:t>. Ils doivent donc être recruter à temps plein aussi bien pour le projet que pour les entreprises partenaires et sous-traitantes.</w:t>
      </w:r>
    </w:p>
    <w:p w14:paraId="7B9A1496" w14:textId="784B1FBE" w:rsidR="00DD3BBD" w:rsidRPr="00B01850" w:rsidRDefault="00B660E0" w:rsidP="00214DCC">
      <w:pPr>
        <w:pStyle w:val="ListParagraph"/>
        <w:numPr>
          <w:ilvl w:val="0"/>
          <w:numId w:val="165"/>
        </w:numPr>
        <w:spacing w:after="0" w:line="240" w:lineRule="auto"/>
        <w:jc w:val="both"/>
        <w:rPr>
          <w:rFonts w:ascii="Arial" w:eastAsia="Calibri" w:hAnsi="Arial" w:cs="Arial"/>
        </w:rPr>
      </w:pPr>
      <w:r>
        <w:rPr>
          <w:rFonts w:ascii="Arial" w:eastAsia="Calibri" w:hAnsi="Arial" w:cs="Arial"/>
        </w:rPr>
        <w:t xml:space="preserve">Toutes les catégories de travailleurs du projet </w:t>
      </w:r>
      <w:r w:rsidR="00DD3BBD" w:rsidRPr="00B01850">
        <w:rPr>
          <w:rFonts w:ascii="Arial" w:eastAsia="Calibri" w:hAnsi="Arial" w:cs="Arial"/>
        </w:rPr>
        <w:t xml:space="preserve">doivent être formés aux plans de gestion des déchets, en fonction </w:t>
      </w:r>
      <w:r w:rsidR="00255104">
        <w:rPr>
          <w:rFonts w:ascii="Arial" w:eastAsia="Calibri" w:hAnsi="Arial" w:cs="Arial"/>
        </w:rPr>
        <w:t xml:space="preserve">du type de déchets que chacun est susceptible de produire. Des supports </w:t>
      </w:r>
      <w:r w:rsidR="00DD3BBD" w:rsidRPr="00B01850">
        <w:rPr>
          <w:rFonts w:ascii="Arial" w:eastAsia="Calibri" w:hAnsi="Arial" w:cs="Arial"/>
        </w:rPr>
        <w:t xml:space="preserve">d'information, d'éducation et de communication (IEC) </w:t>
      </w:r>
      <w:r w:rsidR="00255104">
        <w:rPr>
          <w:rFonts w:ascii="Arial" w:eastAsia="Calibri" w:hAnsi="Arial" w:cs="Arial"/>
        </w:rPr>
        <w:t xml:space="preserve">doivent être produits, </w:t>
      </w:r>
      <w:r w:rsidR="00DD3BBD" w:rsidRPr="00B01850">
        <w:rPr>
          <w:rFonts w:ascii="Arial" w:eastAsia="Calibri" w:hAnsi="Arial" w:cs="Arial"/>
        </w:rPr>
        <w:t>distribués</w:t>
      </w:r>
      <w:r w:rsidR="00255104">
        <w:rPr>
          <w:rFonts w:ascii="Arial" w:eastAsia="Calibri" w:hAnsi="Arial" w:cs="Arial"/>
        </w:rPr>
        <w:t xml:space="preserve"> à l’ensemble des </w:t>
      </w:r>
      <w:r w:rsidR="00DD3BBD" w:rsidRPr="00B01850">
        <w:rPr>
          <w:rFonts w:ascii="Arial" w:eastAsia="Calibri" w:hAnsi="Arial" w:cs="Arial"/>
        </w:rPr>
        <w:t>parties concernées et de toutes les entités dès le début des travaux.</w:t>
      </w:r>
    </w:p>
    <w:p w14:paraId="6114B780" w14:textId="67BB86E4" w:rsidR="00DD3BBD" w:rsidRPr="00B01850" w:rsidRDefault="00A9366E" w:rsidP="00214DCC">
      <w:pPr>
        <w:pStyle w:val="ListParagraph"/>
        <w:numPr>
          <w:ilvl w:val="0"/>
          <w:numId w:val="165"/>
        </w:numPr>
        <w:spacing w:after="0" w:line="240" w:lineRule="auto"/>
        <w:jc w:val="both"/>
        <w:rPr>
          <w:rFonts w:ascii="Arial" w:eastAsia="Calibri" w:hAnsi="Arial" w:cs="Arial"/>
        </w:rPr>
      </w:pPr>
      <w:r>
        <w:rPr>
          <w:rFonts w:ascii="Arial" w:eastAsia="Calibri" w:hAnsi="Arial" w:cs="Arial"/>
        </w:rPr>
        <w:t>Envisager</w:t>
      </w:r>
      <w:r w:rsidR="00DD3BBD" w:rsidRPr="00B01850">
        <w:rPr>
          <w:rFonts w:ascii="Arial" w:eastAsia="Calibri" w:hAnsi="Arial" w:cs="Arial"/>
        </w:rPr>
        <w:t xml:space="preserve"> </w:t>
      </w:r>
      <w:r>
        <w:rPr>
          <w:rFonts w:ascii="Arial" w:eastAsia="Calibri" w:hAnsi="Arial" w:cs="Arial"/>
        </w:rPr>
        <w:t xml:space="preserve">sur les sites tenus par le projet ou ses partenaires et fournisseurs, </w:t>
      </w:r>
      <w:r w:rsidR="00DD3BBD" w:rsidRPr="00B01850">
        <w:rPr>
          <w:rFonts w:ascii="Arial" w:eastAsia="Calibri" w:hAnsi="Arial" w:cs="Arial"/>
        </w:rPr>
        <w:t xml:space="preserve">des zones </w:t>
      </w:r>
      <w:r>
        <w:rPr>
          <w:rFonts w:ascii="Arial" w:eastAsia="Calibri" w:hAnsi="Arial" w:cs="Arial"/>
        </w:rPr>
        <w:t xml:space="preserve">de </w:t>
      </w:r>
      <w:r w:rsidR="00DD3BBD" w:rsidRPr="00B01850">
        <w:rPr>
          <w:rFonts w:ascii="Arial" w:eastAsia="Calibri" w:hAnsi="Arial" w:cs="Arial"/>
        </w:rPr>
        <w:t>tri des matériaux qui doivent être recyclés, réutilisés, donnés</w:t>
      </w:r>
      <w:r>
        <w:rPr>
          <w:rFonts w:ascii="Arial" w:eastAsia="Calibri" w:hAnsi="Arial" w:cs="Arial"/>
        </w:rPr>
        <w:t xml:space="preserve"> ou </w:t>
      </w:r>
      <w:r w:rsidR="00DD3BBD" w:rsidRPr="00B01850">
        <w:rPr>
          <w:rFonts w:ascii="Arial" w:eastAsia="Calibri" w:hAnsi="Arial" w:cs="Arial"/>
        </w:rPr>
        <w:t>vendus. Les zones de recyclage et de poubelle doivent être maintenues propres afin d'éviter la contamination des matériaux</w:t>
      </w:r>
      <w:r>
        <w:rPr>
          <w:rFonts w:ascii="Arial" w:eastAsia="Calibri" w:hAnsi="Arial" w:cs="Arial"/>
        </w:rPr>
        <w:t>.</w:t>
      </w:r>
    </w:p>
    <w:p w14:paraId="72D090D3" w14:textId="513FF950" w:rsidR="00DD3BBD" w:rsidRPr="00B01850" w:rsidRDefault="00DD3BBD" w:rsidP="00214DCC">
      <w:pPr>
        <w:pStyle w:val="ListParagraph"/>
        <w:numPr>
          <w:ilvl w:val="0"/>
          <w:numId w:val="165"/>
        </w:numPr>
        <w:spacing w:after="0" w:line="240" w:lineRule="auto"/>
        <w:jc w:val="both"/>
        <w:rPr>
          <w:rFonts w:ascii="Arial" w:eastAsia="Calibri" w:hAnsi="Arial" w:cs="Arial"/>
        </w:rPr>
      </w:pPr>
      <w:r w:rsidRPr="00B01850">
        <w:rPr>
          <w:rFonts w:ascii="Arial" w:eastAsia="Calibri" w:hAnsi="Arial" w:cs="Arial"/>
        </w:rPr>
        <w:t>Les déchets dangereux doivent être séparés, stockés et éliminés conformément</w:t>
      </w:r>
      <w:r w:rsidR="00A9366E">
        <w:rPr>
          <w:rFonts w:ascii="Arial" w:eastAsia="Calibri" w:hAnsi="Arial" w:cs="Arial"/>
        </w:rPr>
        <w:t xml:space="preserve"> aux dispositions de la législation nationale. Ces orientations seront fournies par le </w:t>
      </w:r>
      <w:r w:rsidRPr="00B01850">
        <w:rPr>
          <w:rFonts w:ascii="Arial" w:eastAsia="Calibri" w:hAnsi="Arial" w:cs="Arial"/>
        </w:rPr>
        <w:t xml:space="preserve">Plan de gestion des matières dangereuses et des déchets </w:t>
      </w:r>
      <w:r w:rsidR="00A9366E">
        <w:rPr>
          <w:rFonts w:ascii="Arial" w:eastAsia="Calibri" w:hAnsi="Arial" w:cs="Arial"/>
        </w:rPr>
        <w:t>lorsqu’il sera élaboré car ces déchets ne sont pas pris en compte dans ce cadre.</w:t>
      </w:r>
    </w:p>
    <w:p w14:paraId="4650DB00" w14:textId="77777777" w:rsidR="00DD3BBD" w:rsidRPr="00B01850" w:rsidRDefault="00DD3BBD" w:rsidP="00DD3BBD">
      <w:pPr>
        <w:spacing w:after="0" w:line="240" w:lineRule="auto"/>
        <w:jc w:val="both"/>
        <w:rPr>
          <w:rFonts w:ascii="Arial" w:eastAsia="Calibri" w:hAnsi="Arial" w:cs="Arial"/>
        </w:rPr>
      </w:pPr>
    </w:p>
    <w:p w14:paraId="6FC3B1B1" w14:textId="77777777" w:rsidR="00A9366E" w:rsidRDefault="00A9366E">
      <w:pPr>
        <w:rPr>
          <w:rFonts w:ascii="Arial" w:hAnsi="Arial" w:cs="Arial"/>
          <w:b/>
          <w:bCs/>
        </w:rPr>
      </w:pPr>
      <w:r>
        <w:rPr>
          <w:rFonts w:ascii="Arial" w:hAnsi="Arial" w:cs="Arial"/>
          <w:b/>
          <w:bCs/>
        </w:rPr>
        <w:br w:type="page"/>
      </w:r>
    </w:p>
    <w:p w14:paraId="26EE5BA7" w14:textId="2296918D" w:rsidR="00DD3BBD" w:rsidRPr="00B01850" w:rsidRDefault="00FC634D" w:rsidP="00214DCC">
      <w:pPr>
        <w:pStyle w:val="ListParagraph"/>
        <w:numPr>
          <w:ilvl w:val="0"/>
          <w:numId w:val="166"/>
        </w:numPr>
        <w:spacing w:after="0" w:line="240" w:lineRule="auto"/>
        <w:jc w:val="both"/>
        <w:rPr>
          <w:rFonts w:ascii="Arial" w:hAnsi="Arial" w:cs="Arial"/>
          <w:b/>
          <w:bCs/>
        </w:rPr>
      </w:pPr>
      <w:r w:rsidRPr="00B01850">
        <w:rPr>
          <w:rFonts w:ascii="Arial" w:hAnsi="Arial" w:cs="Arial"/>
          <w:b/>
          <w:bCs/>
        </w:rPr>
        <w:lastRenderedPageBreak/>
        <w:t>Sécurité des communautés</w:t>
      </w:r>
    </w:p>
    <w:p w14:paraId="213EE88A" w14:textId="77777777" w:rsidR="00DD3BBD" w:rsidRPr="00B01850" w:rsidRDefault="00DD3BBD" w:rsidP="00DD3BBD">
      <w:pPr>
        <w:spacing w:after="0" w:line="240" w:lineRule="auto"/>
        <w:jc w:val="both"/>
        <w:rPr>
          <w:rFonts w:ascii="Arial" w:hAnsi="Arial" w:cs="Arial"/>
        </w:rPr>
      </w:pPr>
    </w:p>
    <w:p w14:paraId="5206705D" w14:textId="6E0C36E2" w:rsidR="00C2562C" w:rsidRDefault="006B2503" w:rsidP="00C2562C">
      <w:pPr>
        <w:spacing w:after="0" w:line="240" w:lineRule="auto"/>
        <w:jc w:val="both"/>
        <w:rPr>
          <w:rFonts w:ascii="Arial" w:hAnsi="Arial" w:cs="Arial"/>
        </w:rPr>
      </w:pPr>
      <w:r>
        <w:rPr>
          <w:rFonts w:ascii="Arial" w:hAnsi="Arial" w:cs="Arial"/>
        </w:rPr>
        <w:t xml:space="preserve">L’établissement du présent cadre de gestion des déchets vise à </w:t>
      </w:r>
      <w:r w:rsidR="00DD3BBD" w:rsidRPr="00B01850">
        <w:rPr>
          <w:rFonts w:ascii="Arial" w:hAnsi="Arial" w:cs="Arial"/>
        </w:rPr>
        <w:t>protéger les communauté</w:t>
      </w:r>
      <w:r>
        <w:rPr>
          <w:rFonts w:ascii="Arial" w:hAnsi="Arial" w:cs="Arial"/>
        </w:rPr>
        <w:t>s</w:t>
      </w:r>
      <w:r w:rsidR="00DD3BBD" w:rsidRPr="00B01850">
        <w:rPr>
          <w:rFonts w:ascii="Arial" w:hAnsi="Arial" w:cs="Arial"/>
        </w:rPr>
        <w:t xml:space="preserve"> </w:t>
      </w:r>
      <w:r>
        <w:rPr>
          <w:rFonts w:ascii="Arial" w:hAnsi="Arial" w:cs="Arial"/>
        </w:rPr>
        <w:t xml:space="preserve">touchées contre les déchets dangereux, les </w:t>
      </w:r>
      <w:r w:rsidRPr="00B01850">
        <w:rPr>
          <w:rFonts w:ascii="Arial" w:hAnsi="Arial" w:cs="Arial"/>
        </w:rPr>
        <w:t>débris</w:t>
      </w:r>
      <w:r>
        <w:rPr>
          <w:rFonts w:ascii="Arial" w:hAnsi="Arial" w:cs="Arial"/>
        </w:rPr>
        <w:t xml:space="preserve"> et la pollution de l’environnement dans le cadre de la mise en œuvre du CERP. </w:t>
      </w:r>
      <w:r w:rsidR="00C2562C">
        <w:rPr>
          <w:rFonts w:ascii="Arial" w:hAnsi="Arial" w:cs="Arial"/>
        </w:rPr>
        <w:t xml:space="preserve">Car le projet compte tenu de multiplicité de biens et </w:t>
      </w:r>
      <w:r w:rsidR="005A3ED3">
        <w:rPr>
          <w:rFonts w:ascii="Arial" w:hAnsi="Arial" w:cs="Arial"/>
        </w:rPr>
        <w:t xml:space="preserve">de </w:t>
      </w:r>
      <w:r w:rsidR="00C2562C">
        <w:rPr>
          <w:rFonts w:ascii="Arial" w:hAnsi="Arial" w:cs="Arial"/>
        </w:rPr>
        <w:t xml:space="preserve">services qu’il pourrait solliciter auprès des fournisseurs, </w:t>
      </w:r>
      <w:r w:rsidR="00DD3BBD" w:rsidRPr="00B01850">
        <w:rPr>
          <w:rFonts w:ascii="Arial" w:hAnsi="Arial" w:cs="Arial"/>
        </w:rPr>
        <w:t>génér</w:t>
      </w:r>
      <w:r w:rsidR="005A3ED3">
        <w:rPr>
          <w:rFonts w:ascii="Arial" w:hAnsi="Arial" w:cs="Arial"/>
        </w:rPr>
        <w:t>ait</w:t>
      </w:r>
      <w:r w:rsidR="00DD3BBD" w:rsidRPr="00B01850">
        <w:rPr>
          <w:rFonts w:ascii="Arial" w:hAnsi="Arial" w:cs="Arial"/>
        </w:rPr>
        <w:t xml:space="preserve"> </w:t>
      </w:r>
      <w:r w:rsidR="00D14DF6">
        <w:rPr>
          <w:rFonts w:ascii="Arial" w:hAnsi="Arial" w:cs="Arial"/>
        </w:rPr>
        <w:t xml:space="preserve">plusieurs autres types de </w:t>
      </w:r>
      <w:r w:rsidR="00DD3BBD" w:rsidRPr="00B01850">
        <w:rPr>
          <w:rFonts w:ascii="Arial" w:hAnsi="Arial" w:cs="Arial"/>
        </w:rPr>
        <w:t>déchets</w:t>
      </w:r>
      <w:r w:rsidR="00D14DF6">
        <w:rPr>
          <w:rFonts w:ascii="Arial" w:hAnsi="Arial" w:cs="Arial"/>
        </w:rPr>
        <w:t xml:space="preserve"> non traités par les communautés </w:t>
      </w:r>
      <w:r w:rsidR="00DD3BBD" w:rsidRPr="00B01850">
        <w:rPr>
          <w:rFonts w:ascii="Arial" w:hAnsi="Arial" w:cs="Arial"/>
        </w:rPr>
        <w:t>ou les installations de gestion des déchets.</w:t>
      </w:r>
    </w:p>
    <w:p w14:paraId="61E617FF" w14:textId="47757E4F" w:rsidR="00017A85" w:rsidRPr="00B01850" w:rsidRDefault="005A3ED3" w:rsidP="00C2562C">
      <w:pPr>
        <w:spacing w:before="120" w:after="0" w:line="240" w:lineRule="auto"/>
        <w:jc w:val="both"/>
        <w:rPr>
          <w:rFonts w:ascii="Arial" w:hAnsi="Arial" w:cs="Arial"/>
          <w:lang w:eastAsia="en-ZA"/>
        </w:rPr>
      </w:pPr>
      <w:r w:rsidRPr="00BC4D51">
        <w:rPr>
          <w:rFonts w:ascii="Arial" w:hAnsi="Arial" w:cs="Arial"/>
        </w:rPr>
        <w:t xml:space="preserve">Ainsi, en plus </w:t>
      </w:r>
      <w:r w:rsidR="00DD3BBD" w:rsidRPr="00BC4D51">
        <w:rPr>
          <w:rFonts w:ascii="Arial" w:hAnsi="Arial" w:cs="Arial"/>
        </w:rPr>
        <w:t xml:space="preserve">de gérer les déchets du projet de manière </w:t>
      </w:r>
      <w:r w:rsidRPr="00BC4D51">
        <w:rPr>
          <w:rFonts w:ascii="Arial" w:hAnsi="Arial" w:cs="Arial"/>
        </w:rPr>
        <w:t xml:space="preserve">qu’ils n’aient pas </w:t>
      </w:r>
      <w:r w:rsidR="00DD3BBD" w:rsidRPr="00BC4D51">
        <w:rPr>
          <w:rFonts w:ascii="Arial" w:hAnsi="Arial" w:cs="Arial"/>
        </w:rPr>
        <w:t xml:space="preserve">d'impact négatif sur les communautés environnantes, le projet devra </w:t>
      </w:r>
      <w:r w:rsidRPr="00BC4D51">
        <w:rPr>
          <w:rFonts w:ascii="Arial" w:hAnsi="Arial" w:cs="Arial"/>
        </w:rPr>
        <w:t xml:space="preserve">informer les communautés à travers des campagnes de sensibilisation, des types de </w:t>
      </w:r>
      <w:r w:rsidR="00DD3BBD" w:rsidRPr="00BC4D51">
        <w:rPr>
          <w:rFonts w:ascii="Arial" w:hAnsi="Arial" w:cs="Arial"/>
        </w:rPr>
        <w:t xml:space="preserve">déchets potentiels </w:t>
      </w:r>
      <w:r w:rsidRPr="00BC4D51">
        <w:rPr>
          <w:rFonts w:ascii="Arial" w:hAnsi="Arial" w:cs="Arial"/>
        </w:rPr>
        <w:t xml:space="preserve">susceptibles d’être </w:t>
      </w:r>
      <w:r w:rsidR="00DD3BBD" w:rsidRPr="00BC4D51">
        <w:rPr>
          <w:rFonts w:ascii="Arial" w:hAnsi="Arial" w:cs="Arial"/>
        </w:rPr>
        <w:t xml:space="preserve">générés </w:t>
      </w:r>
      <w:r w:rsidRPr="00BC4D51">
        <w:rPr>
          <w:rFonts w:ascii="Arial" w:hAnsi="Arial" w:cs="Arial"/>
        </w:rPr>
        <w:t>dans le cadre des activités d’urgence.</w:t>
      </w:r>
    </w:p>
    <w:p w14:paraId="137B1C1E" w14:textId="5B08677C" w:rsidR="00DD3BBD" w:rsidRPr="00B01850" w:rsidRDefault="00DD3BBD" w:rsidP="00BC4D51">
      <w:pPr>
        <w:spacing w:before="120" w:after="0" w:line="240" w:lineRule="auto"/>
        <w:jc w:val="both"/>
        <w:rPr>
          <w:rFonts w:ascii="Arial" w:hAnsi="Arial" w:cs="Arial"/>
        </w:rPr>
      </w:pPr>
      <w:r w:rsidRPr="00BC4D51">
        <w:rPr>
          <w:rFonts w:ascii="Arial" w:hAnsi="Arial" w:cs="Arial"/>
          <w:lang w:eastAsia="en-ZA"/>
        </w:rPr>
        <w:t xml:space="preserve">Bien que </w:t>
      </w:r>
      <w:r w:rsidR="00BC4D51" w:rsidRPr="00BC4D51">
        <w:rPr>
          <w:rFonts w:ascii="Arial" w:hAnsi="Arial" w:cs="Arial"/>
          <w:lang w:eastAsia="en-ZA"/>
        </w:rPr>
        <w:t>l’établissement d’</w:t>
      </w:r>
      <w:r w:rsidRPr="00BC4D51">
        <w:rPr>
          <w:rFonts w:ascii="Arial" w:hAnsi="Arial" w:cs="Arial"/>
          <w:lang w:eastAsia="en-ZA"/>
        </w:rPr>
        <w:t xml:space="preserve">un </w:t>
      </w:r>
      <w:hyperlink r:id="rId31" w:anchor="preincident" w:history="1">
        <w:r w:rsidRPr="00BC4D51">
          <w:rPr>
            <w:rFonts w:ascii="Arial" w:hAnsi="Arial" w:cs="Arial"/>
            <w:lang w:eastAsia="en-ZA"/>
          </w:rPr>
          <w:t>plan de gestion des déchets</w:t>
        </w:r>
        <w:r w:rsidR="00BC4D51" w:rsidRPr="00BC4D51">
          <w:rPr>
            <w:rFonts w:ascii="Arial" w:hAnsi="Arial" w:cs="Arial"/>
            <w:lang w:eastAsia="en-ZA"/>
          </w:rPr>
          <w:t xml:space="preserve"> soit important dans la mise en œuvre du cadre de gestion des déchets</w:t>
        </w:r>
        <w:r w:rsidRPr="00BC4D51">
          <w:rPr>
            <w:rFonts w:ascii="Arial" w:hAnsi="Arial" w:cs="Arial"/>
            <w:lang w:eastAsia="en-ZA"/>
          </w:rPr>
          <w:t xml:space="preserve">, </w:t>
        </w:r>
      </w:hyperlink>
      <w:r w:rsidRPr="00BC4D51">
        <w:rPr>
          <w:rFonts w:ascii="Arial" w:hAnsi="Arial" w:cs="Arial"/>
          <w:lang w:eastAsia="en-ZA"/>
        </w:rPr>
        <w:t xml:space="preserve">la préparation de la communauté </w:t>
      </w:r>
      <w:r w:rsidR="00BC4D51">
        <w:rPr>
          <w:rFonts w:ascii="Arial" w:hAnsi="Arial" w:cs="Arial"/>
          <w:lang w:eastAsia="en-ZA"/>
        </w:rPr>
        <w:t xml:space="preserve">à travers des consultations publiques, </w:t>
      </w:r>
      <w:r w:rsidRPr="00BC4D51">
        <w:rPr>
          <w:rFonts w:ascii="Arial" w:hAnsi="Arial" w:cs="Arial"/>
          <w:lang w:eastAsia="en-ZA"/>
        </w:rPr>
        <w:t>présente le plus d'avantages</w:t>
      </w:r>
      <w:r w:rsidR="00BC4D51">
        <w:rPr>
          <w:rFonts w:ascii="Arial" w:hAnsi="Arial" w:cs="Arial"/>
          <w:lang w:eastAsia="en-ZA"/>
        </w:rPr>
        <w:t>. Car elle permet de :</w:t>
      </w:r>
    </w:p>
    <w:p w14:paraId="74F25647" w14:textId="32E3DA15" w:rsidR="00DD3BBD" w:rsidRPr="00B01850" w:rsidRDefault="00BC4D51" w:rsidP="00214DCC">
      <w:pPr>
        <w:pStyle w:val="ListParagraph"/>
        <w:numPr>
          <w:ilvl w:val="0"/>
          <w:numId w:val="167"/>
        </w:numPr>
        <w:spacing w:after="0" w:line="240" w:lineRule="auto"/>
        <w:jc w:val="both"/>
        <w:rPr>
          <w:rFonts w:ascii="Arial" w:hAnsi="Arial" w:cs="Arial"/>
          <w:lang w:eastAsia="en-ZA"/>
        </w:rPr>
      </w:pPr>
      <w:r>
        <w:rPr>
          <w:rFonts w:ascii="Arial" w:hAnsi="Arial" w:cs="Arial"/>
          <w:lang w:eastAsia="en-ZA"/>
        </w:rPr>
        <w:t>E</w:t>
      </w:r>
      <w:r w:rsidR="00DD3BBD" w:rsidRPr="00B01850">
        <w:rPr>
          <w:rFonts w:ascii="Arial" w:hAnsi="Arial" w:cs="Arial"/>
          <w:lang w:eastAsia="en-ZA"/>
        </w:rPr>
        <w:t>conomiser du temps et des ressources précieuses</w:t>
      </w:r>
      <w:r>
        <w:rPr>
          <w:rFonts w:ascii="Arial" w:hAnsi="Arial" w:cs="Arial"/>
          <w:lang w:eastAsia="en-ZA"/>
        </w:rPr>
        <w:t> ;</w:t>
      </w:r>
      <w:r w:rsidR="00DD3BBD" w:rsidRPr="00B01850">
        <w:rPr>
          <w:rFonts w:ascii="Arial" w:hAnsi="Arial" w:cs="Arial"/>
          <w:lang w:eastAsia="en-ZA"/>
        </w:rPr>
        <w:t xml:space="preserve">  </w:t>
      </w:r>
    </w:p>
    <w:p w14:paraId="0FE4E884" w14:textId="57F8C7E3" w:rsidR="00DD3BBD" w:rsidRPr="00B01850" w:rsidRDefault="00BC4D51" w:rsidP="00214DCC">
      <w:pPr>
        <w:pStyle w:val="ListParagraph"/>
        <w:numPr>
          <w:ilvl w:val="0"/>
          <w:numId w:val="167"/>
        </w:numPr>
        <w:spacing w:after="0" w:line="240" w:lineRule="auto"/>
        <w:jc w:val="both"/>
        <w:rPr>
          <w:rFonts w:ascii="Arial" w:hAnsi="Arial" w:cs="Arial"/>
          <w:lang w:eastAsia="en-ZA"/>
        </w:rPr>
      </w:pPr>
      <w:r>
        <w:rPr>
          <w:rFonts w:ascii="Arial" w:hAnsi="Arial" w:cs="Arial"/>
          <w:lang w:eastAsia="en-ZA"/>
        </w:rPr>
        <w:t>D</w:t>
      </w:r>
      <w:r w:rsidR="00DD3BBD" w:rsidRPr="00B01850">
        <w:rPr>
          <w:rFonts w:ascii="Arial" w:hAnsi="Arial" w:cs="Arial"/>
          <w:lang w:eastAsia="en-ZA"/>
        </w:rPr>
        <w:t>éci</w:t>
      </w:r>
      <w:r>
        <w:rPr>
          <w:rFonts w:ascii="Arial" w:hAnsi="Arial" w:cs="Arial"/>
          <w:lang w:eastAsia="en-ZA"/>
        </w:rPr>
        <w:t xml:space="preserve">der de façon </w:t>
      </w:r>
      <w:r w:rsidR="00DD3BBD" w:rsidRPr="00B01850">
        <w:rPr>
          <w:rFonts w:ascii="Arial" w:hAnsi="Arial" w:cs="Arial"/>
          <w:lang w:eastAsia="en-ZA"/>
        </w:rPr>
        <w:t>plus efficiente et efficace en matière de gestion des déchets.</w:t>
      </w:r>
      <w:r>
        <w:rPr>
          <w:rFonts w:ascii="Arial" w:hAnsi="Arial" w:cs="Arial"/>
          <w:lang w:eastAsia="en-ZA"/>
        </w:rPr>
        <w:t> ;</w:t>
      </w:r>
      <w:r w:rsidR="00DD3BBD" w:rsidRPr="00B01850">
        <w:rPr>
          <w:rFonts w:ascii="Arial" w:hAnsi="Arial" w:cs="Arial"/>
          <w:lang w:eastAsia="en-ZA"/>
        </w:rPr>
        <w:t xml:space="preserve"> </w:t>
      </w:r>
    </w:p>
    <w:p w14:paraId="7E9356FD" w14:textId="77777777" w:rsidR="0034046A" w:rsidRDefault="00DD3BBD" w:rsidP="00214DCC">
      <w:pPr>
        <w:pStyle w:val="ListParagraph"/>
        <w:numPr>
          <w:ilvl w:val="0"/>
          <w:numId w:val="167"/>
        </w:numPr>
        <w:spacing w:after="0" w:line="240" w:lineRule="auto"/>
        <w:jc w:val="both"/>
        <w:rPr>
          <w:rFonts w:ascii="Arial" w:hAnsi="Arial" w:cs="Arial"/>
          <w:lang w:eastAsia="en-ZA"/>
        </w:rPr>
      </w:pPr>
      <w:r w:rsidRPr="00B01850">
        <w:rPr>
          <w:rFonts w:ascii="Arial" w:hAnsi="Arial" w:cs="Arial"/>
          <w:lang w:eastAsia="en-ZA"/>
        </w:rPr>
        <w:t>Encourage</w:t>
      </w:r>
      <w:r w:rsidR="0034046A">
        <w:rPr>
          <w:rFonts w:ascii="Arial" w:hAnsi="Arial" w:cs="Arial"/>
          <w:lang w:eastAsia="en-ZA"/>
        </w:rPr>
        <w:t>r</w:t>
      </w:r>
      <w:r w:rsidRPr="00B01850">
        <w:rPr>
          <w:rFonts w:ascii="Arial" w:hAnsi="Arial" w:cs="Arial"/>
          <w:lang w:eastAsia="en-ZA"/>
        </w:rPr>
        <w:t xml:space="preserve"> les parties prenantes (par exemple, les administrations étatiques, locales, tribales et locales ; les propriétaires d'installations privées de stockage, de traitement et d'élimination ; les résidents) à travailler </w:t>
      </w:r>
      <w:r w:rsidR="0034046A">
        <w:rPr>
          <w:rFonts w:ascii="Arial" w:hAnsi="Arial" w:cs="Arial"/>
          <w:lang w:eastAsia="en-ZA"/>
        </w:rPr>
        <w:t>pour une meilleure maitrise de la gestion des déchets dans le cadre du projet.</w:t>
      </w:r>
    </w:p>
    <w:p w14:paraId="5BB8DA35" w14:textId="04A220D9" w:rsidR="00DD3BBD" w:rsidRPr="00B01850" w:rsidRDefault="00DD3BBD" w:rsidP="00214DCC">
      <w:pPr>
        <w:pStyle w:val="ListParagraph"/>
        <w:numPr>
          <w:ilvl w:val="0"/>
          <w:numId w:val="167"/>
        </w:numPr>
        <w:spacing w:after="0" w:line="240" w:lineRule="auto"/>
        <w:jc w:val="both"/>
        <w:rPr>
          <w:rFonts w:ascii="Arial" w:hAnsi="Arial" w:cs="Arial"/>
          <w:lang w:eastAsia="en-ZA"/>
        </w:rPr>
      </w:pPr>
      <w:r w:rsidRPr="00B01850">
        <w:rPr>
          <w:rFonts w:ascii="Arial" w:hAnsi="Arial" w:cs="Arial"/>
          <w:lang w:eastAsia="en-ZA"/>
        </w:rPr>
        <w:t>Renforce</w:t>
      </w:r>
      <w:r w:rsidR="0034046A">
        <w:rPr>
          <w:rFonts w:ascii="Arial" w:hAnsi="Arial" w:cs="Arial"/>
          <w:lang w:eastAsia="en-ZA"/>
        </w:rPr>
        <w:t>r</w:t>
      </w:r>
      <w:r w:rsidRPr="00B01850">
        <w:rPr>
          <w:rFonts w:ascii="Arial" w:hAnsi="Arial" w:cs="Arial"/>
          <w:lang w:eastAsia="en-ZA"/>
        </w:rPr>
        <w:t xml:space="preserve"> la résilience de la communauté</w:t>
      </w:r>
      <w:r w:rsidR="00AC2241">
        <w:rPr>
          <w:rFonts w:ascii="Arial" w:hAnsi="Arial" w:cs="Arial"/>
          <w:lang w:eastAsia="en-ZA"/>
        </w:rPr>
        <w:t xml:space="preserve"> </w:t>
      </w:r>
      <w:r w:rsidRPr="00B01850">
        <w:rPr>
          <w:rFonts w:ascii="Arial" w:hAnsi="Arial" w:cs="Arial"/>
          <w:lang w:eastAsia="en-ZA"/>
        </w:rPr>
        <w:t>qui se traduit par un recouvrement plus rapide et moins coûteux d</w:t>
      </w:r>
      <w:r w:rsidR="0034046A">
        <w:rPr>
          <w:rFonts w:ascii="Arial" w:hAnsi="Arial" w:cs="Arial"/>
          <w:lang w:eastAsia="en-ZA"/>
        </w:rPr>
        <w:t>’</w:t>
      </w:r>
      <w:r w:rsidRPr="00B01850">
        <w:rPr>
          <w:rFonts w:ascii="Arial" w:hAnsi="Arial" w:cs="Arial"/>
          <w:lang w:eastAsia="en-ZA"/>
        </w:rPr>
        <w:t>éventuelles fautes commises par les entrepreneurs et les communautés.</w:t>
      </w:r>
    </w:p>
    <w:p w14:paraId="1FC03A64" w14:textId="47A1FAA6" w:rsidR="00DD3BBD" w:rsidRPr="0048472E" w:rsidRDefault="0048472E" w:rsidP="00AC2241">
      <w:pPr>
        <w:spacing w:before="120" w:after="0" w:line="240" w:lineRule="auto"/>
        <w:jc w:val="both"/>
        <w:rPr>
          <w:rFonts w:ascii="Arial" w:hAnsi="Arial" w:cs="Arial"/>
          <w:b/>
          <w:bCs/>
        </w:rPr>
      </w:pPr>
      <w:r>
        <w:rPr>
          <w:rFonts w:ascii="Arial" w:hAnsi="Arial" w:cs="Arial"/>
        </w:rPr>
        <w:t xml:space="preserve">Ainsi, les communautés riveraines aux zones d’intervention du projet seront consultées sur les </w:t>
      </w:r>
      <w:r w:rsidRPr="003972C2">
        <w:rPr>
          <w:rFonts w:ascii="Arial" w:hAnsi="Arial" w:cs="Arial"/>
        </w:rPr>
        <w:t xml:space="preserve">questions relatives à la gestion des déchets. </w:t>
      </w:r>
      <w:r w:rsidR="00DD3BBD" w:rsidRPr="003972C2">
        <w:rPr>
          <w:rFonts w:ascii="Arial" w:hAnsi="Arial" w:cs="Arial"/>
        </w:rPr>
        <w:t xml:space="preserve"> </w:t>
      </w:r>
      <w:r w:rsidR="003972C2" w:rsidRPr="003972C2">
        <w:rPr>
          <w:rFonts w:ascii="Arial" w:hAnsi="Arial" w:cs="Arial"/>
        </w:rPr>
        <w:t>A</w:t>
      </w:r>
      <w:r w:rsidRPr="003972C2">
        <w:rPr>
          <w:rFonts w:ascii="Arial" w:hAnsi="Arial" w:cs="Arial"/>
        </w:rPr>
        <w:t>insi</w:t>
      </w:r>
      <w:r w:rsidR="003972C2" w:rsidRPr="003972C2">
        <w:rPr>
          <w:rFonts w:ascii="Arial" w:hAnsi="Arial" w:cs="Arial"/>
        </w:rPr>
        <w:t xml:space="preserve">, </w:t>
      </w:r>
      <w:r w:rsidR="0091657D">
        <w:rPr>
          <w:rFonts w:ascii="Arial" w:hAnsi="Arial" w:cs="Arial"/>
          <w:lang w:eastAsia="en-ZA"/>
        </w:rPr>
        <w:t>l</w:t>
      </w:r>
      <w:r w:rsidR="00DD3BBD" w:rsidRPr="003972C2">
        <w:rPr>
          <w:rFonts w:ascii="Arial" w:hAnsi="Arial" w:cs="Arial"/>
          <w:lang w:eastAsia="en-ZA"/>
        </w:rPr>
        <w:t>es canaux de communication de</w:t>
      </w:r>
      <w:r w:rsidR="00DD3BBD" w:rsidRPr="00B01850">
        <w:rPr>
          <w:rFonts w:ascii="Arial" w:hAnsi="Arial" w:cs="Arial"/>
          <w:lang w:eastAsia="en-ZA"/>
        </w:rPr>
        <w:t xml:space="preserve"> l'information sur la gestion des déchets doivent être clairement définis, que ce soit par le biais des médias, des réunions communautaires et de tout autre canal identifié.</w:t>
      </w:r>
    </w:p>
    <w:p w14:paraId="77C9B00A" w14:textId="77777777" w:rsidR="00DD3BBD" w:rsidRPr="00B01850" w:rsidRDefault="00DD3BBD" w:rsidP="00DD3BBD">
      <w:pPr>
        <w:spacing w:after="0" w:line="240" w:lineRule="auto"/>
        <w:jc w:val="both"/>
        <w:rPr>
          <w:rFonts w:ascii="Arial" w:eastAsia="Calibri" w:hAnsi="Arial" w:cs="Arial"/>
        </w:rPr>
      </w:pPr>
    </w:p>
    <w:p w14:paraId="5659DC3E" w14:textId="77777777" w:rsidR="00424AB1" w:rsidRDefault="00424AB1">
      <w:pPr>
        <w:rPr>
          <w:rFonts w:ascii="Arial" w:eastAsia="Times New Roman" w:hAnsi="Arial" w:cs="Arial"/>
        </w:rPr>
      </w:pPr>
      <w:bookmarkStart w:id="238" w:name="_Toc178919550"/>
      <w:bookmarkStart w:id="239" w:name="_Toc178919712"/>
      <w:r>
        <w:rPr>
          <w:rFonts w:ascii="Arial" w:hAnsi="Arial" w:cs="Arial"/>
          <w:i/>
          <w:iCs/>
        </w:rPr>
        <w:br w:type="page"/>
      </w:r>
    </w:p>
    <w:p w14:paraId="6AAA07BD" w14:textId="77777777" w:rsidR="00AC2241" w:rsidRDefault="00AC2241" w:rsidP="00214DCC">
      <w:pPr>
        <w:pStyle w:val="Caption"/>
        <w:numPr>
          <w:ilvl w:val="0"/>
          <w:numId w:val="161"/>
        </w:numPr>
        <w:spacing w:after="0"/>
        <w:rPr>
          <w:rFonts w:ascii="Arial" w:hAnsi="Arial" w:cs="Arial"/>
          <w:i w:val="0"/>
          <w:iCs w:val="0"/>
          <w:color w:val="auto"/>
          <w:sz w:val="22"/>
          <w:szCs w:val="22"/>
        </w:rPr>
        <w:sectPr w:rsidR="00AC2241" w:rsidSect="00C14C18">
          <w:headerReference w:type="default" r:id="rId32"/>
          <w:footerReference w:type="even" r:id="rId33"/>
          <w:footerReference w:type="default" r:id="rId34"/>
          <w:pgSz w:w="12240" w:h="15840"/>
          <w:pgMar w:top="1440" w:right="1440" w:bottom="1440" w:left="1440" w:header="720" w:footer="720" w:gutter="0"/>
          <w:cols w:space="720"/>
          <w:docGrid w:linePitch="360"/>
        </w:sectPr>
      </w:pPr>
    </w:p>
    <w:p w14:paraId="5C04800D" w14:textId="222DE93F" w:rsidR="00DD3BBD" w:rsidRPr="00B01850" w:rsidRDefault="00017A85" w:rsidP="00214DCC">
      <w:pPr>
        <w:pStyle w:val="Caption"/>
        <w:numPr>
          <w:ilvl w:val="0"/>
          <w:numId w:val="161"/>
        </w:numPr>
        <w:spacing w:after="0"/>
        <w:rPr>
          <w:rFonts w:ascii="Arial" w:eastAsia="Calibri" w:hAnsi="Arial" w:cs="Arial"/>
          <w:b/>
          <w:i w:val="0"/>
          <w:iCs w:val="0"/>
          <w:color w:val="auto"/>
          <w:sz w:val="22"/>
          <w:szCs w:val="22"/>
        </w:rPr>
      </w:pPr>
      <w:r w:rsidRPr="00B01850">
        <w:rPr>
          <w:rFonts w:ascii="Arial" w:hAnsi="Arial" w:cs="Arial"/>
          <w:i w:val="0"/>
          <w:iCs w:val="0"/>
          <w:color w:val="auto"/>
          <w:sz w:val="22"/>
          <w:szCs w:val="22"/>
        </w:rPr>
        <w:lastRenderedPageBreak/>
        <w:t xml:space="preserve">Table </w:t>
      </w:r>
      <w:r w:rsidR="00207C89" w:rsidRPr="00B01850">
        <w:rPr>
          <w:rFonts w:ascii="Arial" w:hAnsi="Arial" w:cs="Arial"/>
          <w:i w:val="0"/>
          <w:iCs w:val="0"/>
          <w:color w:val="auto"/>
          <w:sz w:val="22"/>
          <w:szCs w:val="22"/>
        </w:rPr>
        <w:t>…. :</w:t>
      </w:r>
      <w:r w:rsidRPr="00B01850">
        <w:rPr>
          <w:rFonts w:ascii="Arial" w:hAnsi="Arial" w:cs="Arial"/>
          <w:i w:val="0"/>
          <w:iCs w:val="0"/>
          <w:color w:val="auto"/>
          <w:sz w:val="22"/>
          <w:szCs w:val="22"/>
        </w:rPr>
        <w:t xml:space="preserve"> Matrice de gestion des déchets</w:t>
      </w:r>
      <w:bookmarkEnd w:id="238"/>
      <w:bookmarkEnd w:id="239"/>
    </w:p>
    <w:tbl>
      <w:tblPr>
        <w:tblStyle w:val="TableGrid12"/>
        <w:tblW w:w="5000" w:type="pct"/>
        <w:tblLook w:val="04A0" w:firstRow="1" w:lastRow="0" w:firstColumn="1" w:lastColumn="0" w:noHBand="0" w:noVBand="1"/>
      </w:tblPr>
      <w:tblGrid>
        <w:gridCol w:w="821"/>
        <w:gridCol w:w="4105"/>
        <w:gridCol w:w="1922"/>
        <w:gridCol w:w="2378"/>
        <w:gridCol w:w="1919"/>
        <w:gridCol w:w="1805"/>
      </w:tblGrid>
      <w:tr w:rsidR="004F1D8F" w:rsidRPr="001B58C0" w14:paraId="2167FACA" w14:textId="77777777" w:rsidTr="004F1D8F">
        <w:trPr>
          <w:tblHeader/>
        </w:trPr>
        <w:tc>
          <w:tcPr>
            <w:tcW w:w="5000" w:type="pct"/>
            <w:gridSpan w:val="6"/>
            <w:shd w:val="clear" w:color="auto" w:fill="FDE9D9" w:themeFill="accent6" w:themeFillTint="33"/>
            <w:vAlign w:val="center"/>
          </w:tcPr>
          <w:p w14:paraId="5A2B140C" w14:textId="1DD7B4B5" w:rsidR="004F1D8F" w:rsidRPr="001B58C0" w:rsidRDefault="004F1D8F" w:rsidP="003014A1">
            <w:pPr>
              <w:jc w:val="center"/>
              <w:rPr>
                <w:rFonts w:ascii="Arial" w:hAnsi="Arial" w:cs="Arial"/>
                <w:bCs/>
                <w:i/>
                <w:iCs/>
                <w:sz w:val="16"/>
                <w:szCs w:val="16"/>
              </w:rPr>
            </w:pPr>
            <w:r w:rsidRPr="001B58C0">
              <w:rPr>
                <w:rFonts w:ascii="Arial" w:hAnsi="Arial" w:cs="Arial"/>
                <w:bCs/>
                <w:i/>
                <w:iCs/>
                <w:sz w:val="16"/>
                <w:szCs w:val="16"/>
              </w:rPr>
              <w:t>Matrice de gestion des déchets</w:t>
            </w:r>
          </w:p>
        </w:tc>
      </w:tr>
      <w:tr w:rsidR="004F1D8F" w:rsidRPr="001B58C0" w14:paraId="2F91E0A9" w14:textId="77777777" w:rsidTr="004F1D8F">
        <w:trPr>
          <w:tblHeader/>
        </w:trPr>
        <w:tc>
          <w:tcPr>
            <w:tcW w:w="317" w:type="pct"/>
            <w:shd w:val="clear" w:color="auto" w:fill="FDE9D9" w:themeFill="accent6" w:themeFillTint="33"/>
            <w:vAlign w:val="center"/>
          </w:tcPr>
          <w:p w14:paraId="6911ECB2" w14:textId="792634BA" w:rsidR="004F1D8F" w:rsidRPr="001B58C0" w:rsidRDefault="004F1D8F" w:rsidP="00205F40">
            <w:pPr>
              <w:jc w:val="center"/>
              <w:rPr>
                <w:rFonts w:ascii="Arial" w:hAnsi="Arial" w:cs="Arial"/>
                <w:bCs/>
                <w:i/>
                <w:iCs/>
                <w:sz w:val="16"/>
                <w:szCs w:val="16"/>
              </w:rPr>
            </w:pPr>
            <w:r w:rsidRPr="001B58C0">
              <w:rPr>
                <w:rFonts w:ascii="Arial" w:hAnsi="Arial" w:cs="Arial"/>
                <w:bCs/>
                <w:i/>
                <w:iCs/>
                <w:sz w:val="16"/>
                <w:szCs w:val="16"/>
              </w:rPr>
              <w:t>Non.</w:t>
            </w:r>
          </w:p>
        </w:tc>
        <w:tc>
          <w:tcPr>
            <w:tcW w:w="1585" w:type="pct"/>
            <w:shd w:val="clear" w:color="auto" w:fill="FDE9D9" w:themeFill="accent6" w:themeFillTint="33"/>
            <w:vAlign w:val="center"/>
          </w:tcPr>
          <w:p w14:paraId="6FB263C5" w14:textId="0C305D92" w:rsidR="004F1D8F" w:rsidRPr="001B58C0" w:rsidRDefault="004F1D8F" w:rsidP="003014A1">
            <w:pPr>
              <w:jc w:val="center"/>
              <w:rPr>
                <w:rFonts w:ascii="Arial" w:hAnsi="Arial" w:cs="Arial"/>
                <w:bCs/>
                <w:i/>
                <w:iCs/>
                <w:sz w:val="16"/>
                <w:szCs w:val="16"/>
              </w:rPr>
            </w:pPr>
            <w:r w:rsidRPr="001B58C0">
              <w:rPr>
                <w:rFonts w:ascii="Arial" w:hAnsi="Arial" w:cs="Arial"/>
                <w:bCs/>
                <w:i/>
                <w:iCs/>
                <w:sz w:val="16"/>
                <w:szCs w:val="16"/>
              </w:rPr>
              <w:t>Mesures d'exécution</w:t>
            </w:r>
          </w:p>
        </w:tc>
        <w:tc>
          <w:tcPr>
            <w:tcW w:w="742" w:type="pct"/>
            <w:shd w:val="clear" w:color="auto" w:fill="FDE9D9" w:themeFill="accent6" w:themeFillTint="33"/>
            <w:vAlign w:val="center"/>
          </w:tcPr>
          <w:p w14:paraId="29AA671E" w14:textId="77777777" w:rsidR="004F1D8F" w:rsidRPr="001B58C0" w:rsidRDefault="004F1D8F" w:rsidP="003014A1">
            <w:pPr>
              <w:jc w:val="center"/>
              <w:rPr>
                <w:rFonts w:ascii="Arial" w:hAnsi="Arial" w:cs="Arial"/>
                <w:bCs/>
                <w:i/>
                <w:iCs/>
                <w:sz w:val="16"/>
                <w:szCs w:val="16"/>
              </w:rPr>
            </w:pPr>
            <w:r w:rsidRPr="001B58C0">
              <w:rPr>
                <w:rFonts w:ascii="Arial" w:hAnsi="Arial" w:cs="Arial"/>
                <w:bCs/>
                <w:i/>
                <w:iCs/>
                <w:sz w:val="16"/>
                <w:szCs w:val="16"/>
              </w:rPr>
              <w:t>Indicateur de réalisations</w:t>
            </w:r>
          </w:p>
        </w:tc>
        <w:tc>
          <w:tcPr>
            <w:tcW w:w="918" w:type="pct"/>
            <w:shd w:val="clear" w:color="auto" w:fill="FDE9D9" w:themeFill="accent6" w:themeFillTint="33"/>
            <w:vAlign w:val="center"/>
          </w:tcPr>
          <w:p w14:paraId="0942A8C4" w14:textId="77777777" w:rsidR="004F1D8F" w:rsidRPr="001B58C0" w:rsidRDefault="004F1D8F" w:rsidP="003014A1">
            <w:pPr>
              <w:jc w:val="center"/>
              <w:rPr>
                <w:rFonts w:ascii="Arial" w:hAnsi="Arial" w:cs="Arial"/>
                <w:bCs/>
                <w:i/>
                <w:iCs/>
                <w:sz w:val="16"/>
                <w:szCs w:val="16"/>
              </w:rPr>
            </w:pPr>
            <w:r w:rsidRPr="001B58C0">
              <w:rPr>
                <w:rFonts w:ascii="Arial" w:hAnsi="Arial" w:cs="Arial"/>
                <w:bCs/>
                <w:i/>
                <w:iCs/>
                <w:sz w:val="16"/>
                <w:szCs w:val="16"/>
              </w:rPr>
              <w:t>Moyens de vérification</w:t>
            </w:r>
          </w:p>
        </w:tc>
        <w:tc>
          <w:tcPr>
            <w:tcW w:w="741" w:type="pct"/>
            <w:shd w:val="clear" w:color="auto" w:fill="FDE9D9" w:themeFill="accent6" w:themeFillTint="33"/>
            <w:vAlign w:val="center"/>
          </w:tcPr>
          <w:p w14:paraId="5D5129E3" w14:textId="77777777" w:rsidR="004F1D8F" w:rsidRPr="001B58C0" w:rsidRDefault="004F1D8F" w:rsidP="00167D9C">
            <w:pPr>
              <w:jc w:val="center"/>
              <w:rPr>
                <w:rFonts w:ascii="Arial" w:hAnsi="Arial" w:cs="Arial"/>
                <w:bCs/>
                <w:i/>
                <w:iCs/>
                <w:sz w:val="16"/>
                <w:szCs w:val="16"/>
              </w:rPr>
            </w:pPr>
            <w:r w:rsidRPr="001B58C0">
              <w:rPr>
                <w:rFonts w:ascii="Arial" w:hAnsi="Arial" w:cs="Arial"/>
                <w:bCs/>
                <w:i/>
                <w:iCs/>
                <w:sz w:val="16"/>
                <w:szCs w:val="16"/>
              </w:rPr>
              <w:t>Horizon</w:t>
            </w:r>
          </w:p>
        </w:tc>
        <w:tc>
          <w:tcPr>
            <w:tcW w:w="697" w:type="pct"/>
            <w:shd w:val="clear" w:color="auto" w:fill="FDE9D9" w:themeFill="accent6" w:themeFillTint="33"/>
            <w:vAlign w:val="center"/>
          </w:tcPr>
          <w:p w14:paraId="0DC0DCA2" w14:textId="77777777" w:rsidR="004F1D8F" w:rsidRPr="001B58C0" w:rsidRDefault="004F1D8F" w:rsidP="003014A1">
            <w:pPr>
              <w:jc w:val="center"/>
              <w:rPr>
                <w:rFonts w:ascii="Arial" w:hAnsi="Arial" w:cs="Arial"/>
                <w:bCs/>
                <w:i/>
                <w:iCs/>
                <w:sz w:val="16"/>
                <w:szCs w:val="16"/>
              </w:rPr>
            </w:pPr>
            <w:r w:rsidRPr="001B58C0">
              <w:rPr>
                <w:rFonts w:ascii="Arial" w:hAnsi="Arial" w:cs="Arial"/>
                <w:bCs/>
                <w:i/>
                <w:iCs/>
                <w:sz w:val="16"/>
                <w:szCs w:val="16"/>
              </w:rPr>
              <w:t>Personne responsable</w:t>
            </w:r>
          </w:p>
        </w:tc>
      </w:tr>
      <w:tr w:rsidR="004F1D8F" w:rsidRPr="001B58C0" w14:paraId="3B66D4F0" w14:textId="77777777" w:rsidTr="004F1D8F">
        <w:tc>
          <w:tcPr>
            <w:tcW w:w="317" w:type="pct"/>
            <w:shd w:val="clear" w:color="auto" w:fill="E5DFEC" w:themeFill="accent4" w:themeFillTint="33"/>
            <w:vAlign w:val="center"/>
          </w:tcPr>
          <w:p w14:paraId="0A647E1A" w14:textId="77777777" w:rsidR="004F1D8F" w:rsidRPr="001B58C0" w:rsidRDefault="004F1D8F" w:rsidP="00205F40">
            <w:pPr>
              <w:jc w:val="center"/>
              <w:rPr>
                <w:rFonts w:ascii="Arial" w:hAnsi="Arial" w:cs="Arial"/>
                <w:bCs/>
                <w:i/>
                <w:iCs/>
                <w:sz w:val="16"/>
                <w:szCs w:val="16"/>
              </w:rPr>
            </w:pPr>
            <w:r w:rsidRPr="001B58C0">
              <w:rPr>
                <w:rFonts w:ascii="Arial" w:hAnsi="Arial" w:cs="Arial"/>
                <w:bCs/>
                <w:i/>
                <w:iCs/>
                <w:sz w:val="16"/>
                <w:szCs w:val="16"/>
              </w:rPr>
              <w:t>1.0</w:t>
            </w:r>
          </w:p>
        </w:tc>
        <w:tc>
          <w:tcPr>
            <w:tcW w:w="1585" w:type="pct"/>
            <w:shd w:val="clear" w:color="auto" w:fill="E5DFEC" w:themeFill="accent4" w:themeFillTint="33"/>
            <w:vAlign w:val="center"/>
          </w:tcPr>
          <w:p w14:paraId="4C466298" w14:textId="77777777" w:rsidR="004F1D8F" w:rsidRPr="001B58C0" w:rsidRDefault="004F1D8F" w:rsidP="003014A1">
            <w:pPr>
              <w:jc w:val="center"/>
              <w:rPr>
                <w:rFonts w:ascii="Arial" w:hAnsi="Arial" w:cs="Arial"/>
                <w:bCs/>
                <w:i/>
                <w:iCs/>
                <w:sz w:val="16"/>
                <w:szCs w:val="16"/>
              </w:rPr>
            </w:pPr>
            <w:r w:rsidRPr="001B58C0">
              <w:rPr>
                <w:rFonts w:ascii="Arial" w:hAnsi="Arial" w:cs="Arial"/>
                <w:bCs/>
                <w:i/>
                <w:iCs/>
                <w:sz w:val="16"/>
                <w:szCs w:val="16"/>
              </w:rPr>
              <w:t>Mesures générales</w:t>
            </w:r>
          </w:p>
        </w:tc>
        <w:tc>
          <w:tcPr>
            <w:tcW w:w="742" w:type="pct"/>
            <w:shd w:val="clear" w:color="auto" w:fill="E5DFEC" w:themeFill="accent4" w:themeFillTint="33"/>
            <w:vAlign w:val="center"/>
          </w:tcPr>
          <w:p w14:paraId="43412F12" w14:textId="77777777" w:rsidR="004F1D8F" w:rsidRPr="001B58C0" w:rsidRDefault="004F1D8F" w:rsidP="003014A1">
            <w:pPr>
              <w:jc w:val="center"/>
              <w:rPr>
                <w:rFonts w:ascii="Arial" w:hAnsi="Arial" w:cs="Arial"/>
                <w:bCs/>
                <w:i/>
                <w:iCs/>
                <w:sz w:val="16"/>
                <w:szCs w:val="16"/>
              </w:rPr>
            </w:pPr>
          </w:p>
        </w:tc>
        <w:tc>
          <w:tcPr>
            <w:tcW w:w="918" w:type="pct"/>
            <w:shd w:val="clear" w:color="auto" w:fill="E5DFEC" w:themeFill="accent4" w:themeFillTint="33"/>
            <w:vAlign w:val="center"/>
          </w:tcPr>
          <w:p w14:paraId="36B794D0" w14:textId="77777777" w:rsidR="004F1D8F" w:rsidRPr="001B58C0" w:rsidRDefault="004F1D8F" w:rsidP="003014A1">
            <w:pPr>
              <w:jc w:val="center"/>
              <w:rPr>
                <w:rFonts w:ascii="Arial" w:hAnsi="Arial" w:cs="Arial"/>
                <w:bCs/>
                <w:i/>
                <w:iCs/>
                <w:sz w:val="16"/>
                <w:szCs w:val="16"/>
              </w:rPr>
            </w:pPr>
          </w:p>
        </w:tc>
        <w:tc>
          <w:tcPr>
            <w:tcW w:w="741" w:type="pct"/>
            <w:shd w:val="clear" w:color="auto" w:fill="E5DFEC" w:themeFill="accent4" w:themeFillTint="33"/>
            <w:vAlign w:val="center"/>
          </w:tcPr>
          <w:p w14:paraId="3BD4D025" w14:textId="6FC686BE" w:rsidR="004F1D8F" w:rsidRPr="001B58C0" w:rsidRDefault="004F1D8F" w:rsidP="00167D9C">
            <w:pPr>
              <w:jc w:val="center"/>
              <w:rPr>
                <w:rFonts w:ascii="Arial" w:hAnsi="Arial" w:cs="Arial"/>
                <w:bCs/>
                <w:i/>
                <w:iCs/>
                <w:sz w:val="16"/>
                <w:szCs w:val="16"/>
              </w:rPr>
            </w:pPr>
            <w:r w:rsidRPr="001B58C0">
              <w:rPr>
                <w:rFonts w:ascii="Arial" w:hAnsi="Arial" w:cs="Arial"/>
                <w:bCs/>
                <w:i/>
                <w:iCs/>
                <w:sz w:val="16"/>
                <w:szCs w:val="16"/>
              </w:rPr>
              <w:t>Phase construction</w:t>
            </w:r>
          </w:p>
        </w:tc>
        <w:tc>
          <w:tcPr>
            <w:tcW w:w="697" w:type="pct"/>
            <w:shd w:val="clear" w:color="auto" w:fill="E5DFEC" w:themeFill="accent4" w:themeFillTint="33"/>
            <w:vAlign w:val="center"/>
          </w:tcPr>
          <w:p w14:paraId="6E41FA73" w14:textId="77777777" w:rsidR="004F1D8F" w:rsidRPr="001B58C0" w:rsidRDefault="004F1D8F" w:rsidP="003014A1">
            <w:pPr>
              <w:jc w:val="center"/>
              <w:rPr>
                <w:rFonts w:ascii="Arial" w:hAnsi="Arial" w:cs="Arial"/>
                <w:bCs/>
                <w:i/>
                <w:iCs/>
                <w:sz w:val="16"/>
                <w:szCs w:val="16"/>
              </w:rPr>
            </w:pPr>
          </w:p>
        </w:tc>
      </w:tr>
      <w:tr w:rsidR="0073147C" w:rsidRPr="001B58C0" w14:paraId="3A787EB4" w14:textId="77777777" w:rsidTr="0073147C">
        <w:tc>
          <w:tcPr>
            <w:tcW w:w="317" w:type="pct"/>
            <w:vAlign w:val="center"/>
          </w:tcPr>
          <w:p w14:paraId="7303C3F1" w14:textId="77777777" w:rsidR="0073147C" w:rsidRPr="001B58C0" w:rsidRDefault="0073147C" w:rsidP="0073147C">
            <w:pPr>
              <w:jc w:val="center"/>
              <w:rPr>
                <w:rFonts w:ascii="Arial" w:hAnsi="Arial" w:cs="Arial"/>
                <w:sz w:val="16"/>
                <w:szCs w:val="16"/>
              </w:rPr>
            </w:pPr>
            <w:r w:rsidRPr="001B58C0">
              <w:rPr>
                <w:rFonts w:ascii="Arial" w:hAnsi="Arial" w:cs="Arial"/>
                <w:sz w:val="16"/>
                <w:szCs w:val="16"/>
              </w:rPr>
              <w:t>1.1</w:t>
            </w:r>
          </w:p>
        </w:tc>
        <w:tc>
          <w:tcPr>
            <w:tcW w:w="1585" w:type="pct"/>
            <w:vAlign w:val="center"/>
          </w:tcPr>
          <w:p w14:paraId="7280DCB3" w14:textId="36825D5E" w:rsidR="0073147C" w:rsidRPr="001B58C0" w:rsidRDefault="0073147C" w:rsidP="0073147C">
            <w:pPr>
              <w:jc w:val="both"/>
              <w:rPr>
                <w:rFonts w:ascii="Arial" w:hAnsi="Arial" w:cs="Arial"/>
                <w:sz w:val="16"/>
                <w:szCs w:val="16"/>
              </w:rPr>
            </w:pPr>
            <w:r w:rsidRPr="001B58C0">
              <w:rPr>
                <w:rFonts w:ascii="Arial" w:hAnsi="Arial" w:cs="Arial"/>
                <w:sz w:val="16"/>
                <w:szCs w:val="16"/>
              </w:rPr>
              <w:t xml:space="preserve">Élaborer et mettre en œuvre un programme de formation du personnel </w:t>
            </w:r>
          </w:p>
        </w:tc>
        <w:tc>
          <w:tcPr>
            <w:tcW w:w="742" w:type="pct"/>
            <w:vAlign w:val="center"/>
          </w:tcPr>
          <w:p w14:paraId="549FAB73" w14:textId="77777777" w:rsidR="0073147C" w:rsidRPr="001B58C0" w:rsidRDefault="0073147C" w:rsidP="0073147C">
            <w:pPr>
              <w:jc w:val="both"/>
              <w:rPr>
                <w:rFonts w:ascii="Arial" w:hAnsi="Arial" w:cs="Arial"/>
                <w:sz w:val="16"/>
                <w:szCs w:val="16"/>
              </w:rPr>
            </w:pPr>
            <w:r w:rsidRPr="001B58C0">
              <w:rPr>
                <w:rFonts w:ascii="Arial" w:hAnsi="Arial" w:cs="Arial"/>
                <w:sz w:val="16"/>
                <w:szCs w:val="16"/>
              </w:rPr>
              <w:t>Nombre d'agents formés</w:t>
            </w:r>
          </w:p>
        </w:tc>
        <w:tc>
          <w:tcPr>
            <w:tcW w:w="918" w:type="pct"/>
            <w:vAlign w:val="center"/>
          </w:tcPr>
          <w:p w14:paraId="0C812E53" w14:textId="77777777" w:rsidR="0073147C" w:rsidRPr="001B58C0" w:rsidRDefault="0073147C" w:rsidP="0073147C">
            <w:pPr>
              <w:jc w:val="both"/>
              <w:rPr>
                <w:rFonts w:ascii="Arial" w:hAnsi="Arial" w:cs="Arial"/>
                <w:sz w:val="16"/>
                <w:szCs w:val="16"/>
              </w:rPr>
            </w:pPr>
            <w:r w:rsidRPr="001B58C0">
              <w:rPr>
                <w:rFonts w:ascii="Arial" w:hAnsi="Arial" w:cs="Arial"/>
                <w:sz w:val="16"/>
                <w:szCs w:val="16"/>
              </w:rPr>
              <w:t>Formation/présentations sur la panoplie d'outils/rapports d'étape</w:t>
            </w:r>
          </w:p>
        </w:tc>
        <w:tc>
          <w:tcPr>
            <w:tcW w:w="741" w:type="pct"/>
            <w:vAlign w:val="center"/>
          </w:tcPr>
          <w:p w14:paraId="52DAEDEF" w14:textId="77777777" w:rsidR="0073147C" w:rsidRPr="001B58C0" w:rsidRDefault="0073147C" w:rsidP="0073147C">
            <w:pPr>
              <w:jc w:val="center"/>
              <w:rPr>
                <w:rFonts w:ascii="Arial" w:hAnsi="Arial" w:cs="Arial"/>
                <w:sz w:val="16"/>
                <w:szCs w:val="16"/>
              </w:rPr>
            </w:pPr>
          </w:p>
          <w:p w14:paraId="33E6C41D" w14:textId="1E01EDD7" w:rsidR="0073147C" w:rsidRPr="001B58C0" w:rsidRDefault="0073147C" w:rsidP="0073147C">
            <w:pPr>
              <w:jc w:val="center"/>
              <w:rPr>
                <w:rFonts w:ascii="Arial" w:hAnsi="Arial" w:cs="Arial"/>
                <w:sz w:val="16"/>
                <w:szCs w:val="16"/>
              </w:rPr>
            </w:pPr>
            <w:r w:rsidRPr="001B58C0">
              <w:rPr>
                <w:rFonts w:ascii="Arial" w:hAnsi="Arial" w:cs="Arial"/>
                <w:sz w:val="16"/>
                <w:szCs w:val="16"/>
              </w:rPr>
              <w:t>Continu</w:t>
            </w:r>
          </w:p>
        </w:tc>
        <w:tc>
          <w:tcPr>
            <w:tcW w:w="697" w:type="pct"/>
            <w:vAlign w:val="center"/>
          </w:tcPr>
          <w:p w14:paraId="36FE61A8" w14:textId="7AC09F4A" w:rsidR="0073147C" w:rsidRPr="001B58C0" w:rsidRDefault="0073147C" w:rsidP="0073147C">
            <w:pPr>
              <w:jc w:val="center"/>
              <w:rPr>
                <w:rFonts w:ascii="Arial" w:hAnsi="Arial" w:cs="Arial"/>
                <w:sz w:val="16"/>
                <w:szCs w:val="16"/>
              </w:rPr>
            </w:pPr>
            <w:r w:rsidRPr="00BE4C02">
              <w:rPr>
                <w:rFonts w:ascii="Arial" w:hAnsi="Arial" w:cs="Arial"/>
                <w:sz w:val="16"/>
                <w:szCs w:val="16"/>
              </w:rPr>
              <w:t>UGP Projet et Partenaires</w:t>
            </w:r>
          </w:p>
        </w:tc>
      </w:tr>
      <w:tr w:rsidR="0073147C" w:rsidRPr="001B58C0" w14:paraId="59A1BAFA" w14:textId="77777777" w:rsidTr="0073147C">
        <w:tc>
          <w:tcPr>
            <w:tcW w:w="317" w:type="pct"/>
            <w:vAlign w:val="center"/>
          </w:tcPr>
          <w:p w14:paraId="3BA182E7" w14:textId="77777777" w:rsidR="0073147C" w:rsidRPr="001B58C0" w:rsidRDefault="0073147C" w:rsidP="0073147C">
            <w:pPr>
              <w:jc w:val="center"/>
              <w:rPr>
                <w:rFonts w:ascii="Arial" w:hAnsi="Arial" w:cs="Arial"/>
                <w:sz w:val="16"/>
                <w:szCs w:val="16"/>
              </w:rPr>
            </w:pPr>
            <w:r w:rsidRPr="001B58C0">
              <w:rPr>
                <w:rFonts w:ascii="Arial" w:hAnsi="Arial" w:cs="Arial"/>
                <w:sz w:val="16"/>
                <w:szCs w:val="16"/>
              </w:rPr>
              <w:t>1.2</w:t>
            </w:r>
          </w:p>
        </w:tc>
        <w:tc>
          <w:tcPr>
            <w:tcW w:w="1585" w:type="pct"/>
            <w:vAlign w:val="center"/>
          </w:tcPr>
          <w:p w14:paraId="3E27A4A5" w14:textId="77777777" w:rsidR="0073147C" w:rsidRPr="001B58C0" w:rsidRDefault="0073147C" w:rsidP="0073147C">
            <w:pPr>
              <w:jc w:val="both"/>
              <w:rPr>
                <w:rFonts w:ascii="Arial" w:hAnsi="Arial" w:cs="Arial"/>
                <w:sz w:val="16"/>
                <w:szCs w:val="16"/>
              </w:rPr>
            </w:pPr>
            <w:r w:rsidRPr="001B58C0">
              <w:rPr>
                <w:rFonts w:ascii="Arial" w:hAnsi="Arial" w:cs="Arial"/>
                <w:sz w:val="16"/>
                <w:szCs w:val="16"/>
              </w:rPr>
              <w:t>Façades de travail et activités de manutention des déchets de bureau</w:t>
            </w:r>
          </w:p>
        </w:tc>
        <w:tc>
          <w:tcPr>
            <w:tcW w:w="742" w:type="pct"/>
            <w:vAlign w:val="center"/>
          </w:tcPr>
          <w:p w14:paraId="11E427C9" w14:textId="77777777" w:rsidR="0073147C" w:rsidRPr="001B58C0" w:rsidRDefault="0073147C" w:rsidP="0073147C">
            <w:pPr>
              <w:jc w:val="both"/>
              <w:rPr>
                <w:rFonts w:ascii="Arial" w:hAnsi="Arial" w:cs="Arial"/>
                <w:sz w:val="16"/>
                <w:szCs w:val="16"/>
              </w:rPr>
            </w:pPr>
            <w:r w:rsidRPr="001B58C0">
              <w:rPr>
                <w:rFonts w:ascii="Arial" w:hAnsi="Arial" w:cs="Arial"/>
                <w:sz w:val="16"/>
                <w:szCs w:val="16"/>
              </w:rPr>
              <w:t>Nettoyer les sites</w:t>
            </w:r>
          </w:p>
        </w:tc>
        <w:tc>
          <w:tcPr>
            <w:tcW w:w="918" w:type="pct"/>
            <w:vAlign w:val="center"/>
          </w:tcPr>
          <w:p w14:paraId="78D6F553" w14:textId="77777777" w:rsidR="0073147C" w:rsidRPr="001B58C0" w:rsidRDefault="0073147C" w:rsidP="0073147C">
            <w:pPr>
              <w:jc w:val="both"/>
              <w:rPr>
                <w:rFonts w:ascii="Arial" w:hAnsi="Arial" w:cs="Arial"/>
                <w:sz w:val="16"/>
                <w:szCs w:val="16"/>
              </w:rPr>
            </w:pPr>
            <w:r w:rsidRPr="001B58C0">
              <w:rPr>
                <w:rFonts w:ascii="Arial" w:hAnsi="Arial" w:cs="Arial"/>
                <w:sz w:val="16"/>
                <w:szCs w:val="16"/>
              </w:rPr>
              <w:t>Rapports d'étape</w:t>
            </w:r>
          </w:p>
        </w:tc>
        <w:tc>
          <w:tcPr>
            <w:tcW w:w="741" w:type="pct"/>
            <w:vAlign w:val="center"/>
          </w:tcPr>
          <w:p w14:paraId="698E70E7" w14:textId="77777777" w:rsidR="0073147C" w:rsidRPr="001B58C0" w:rsidRDefault="0073147C" w:rsidP="0073147C">
            <w:pPr>
              <w:jc w:val="center"/>
              <w:rPr>
                <w:rFonts w:ascii="Arial" w:hAnsi="Arial" w:cs="Arial"/>
                <w:sz w:val="16"/>
                <w:szCs w:val="16"/>
              </w:rPr>
            </w:pPr>
          </w:p>
          <w:p w14:paraId="188E4296" w14:textId="4B0E23C0" w:rsidR="0073147C" w:rsidRPr="001B58C0" w:rsidRDefault="0073147C" w:rsidP="0073147C">
            <w:pPr>
              <w:jc w:val="center"/>
              <w:rPr>
                <w:rFonts w:ascii="Arial" w:hAnsi="Arial" w:cs="Arial"/>
                <w:sz w:val="16"/>
                <w:szCs w:val="16"/>
              </w:rPr>
            </w:pPr>
            <w:r w:rsidRPr="001B58C0">
              <w:rPr>
                <w:rFonts w:ascii="Arial" w:hAnsi="Arial" w:cs="Arial"/>
                <w:sz w:val="16"/>
                <w:szCs w:val="16"/>
              </w:rPr>
              <w:t>Continu</w:t>
            </w:r>
          </w:p>
        </w:tc>
        <w:tc>
          <w:tcPr>
            <w:tcW w:w="697" w:type="pct"/>
            <w:vAlign w:val="center"/>
          </w:tcPr>
          <w:p w14:paraId="249D20DA" w14:textId="3E308BDC" w:rsidR="0073147C" w:rsidRPr="001B58C0" w:rsidRDefault="0073147C" w:rsidP="0073147C">
            <w:pPr>
              <w:jc w:val="center"/>
              <w:rPr>
                <w:rFonts w:ascii="Arial" w:hAnsi="Arial" w:cs="Arial"/>
                <w:sz w:val="16"/>
                <w:szCs w:val="16"/>
              </w:rPr>
            </w:pPr>
            <w:r w:rsidRPr="00BE4C02">
              <w:rPr>
                <w:rFonts w:ascii="Arial" w:hAnsi="Arial" w:cs="Arial"/>
                <w:sz w:val="16"/>
                <w:szCs w:val="16"/>
              </w:rPr>
              <w:t>UGP Projet et Partenaires</w:t>
            </w:r>
          </w:p>
        </w:tc>
      </w:tr>
      <w:tr w:rsidR="0073147C" w:rsidRPr="001B58C0" w14:paraId="532523A9" w14:textId="77777777" w:rsidTr="0073147C">
        <w:tc>
          <w:tcPr>
            <w:tcW w:w="317" w:type="pct"/>
            <w:vAlign w:val="center"/>
          </w:tcPr>
          <w:p w14:paraId="2C8F002F" w14:textId="77777777" w:rsidR="0073147C" w:rsidRPr="001B58C0" w:rsidRDefault="0073147C" w:rsidP="0073147C">
            <w:pPr>
              <w:jc w:val="center"/>
              <w:rPr>
                <w:rFonts w:ascii="Arial" w:hAnsi="Arial" w:cs="Arial"/>
                <w:sz w:val="16"/>
                <w:szCs w:val="16"/>
              </w:rPr>
            </w:pPr>
            <w:r w:rsidRPr="001B58C0">
              <w:rPr>
                <w:rFonts w:ascii="Arial" w:hAnsi="Arial" w:cs="Arial"/>
                <w:sz w:val="16"/>
                <w:szCs w:val="16"/>
              </w:rPr>
              <w:t>1.3</w:t>
            </w:r>
          </w:p>
        </w:tc>
        <w:tc>
          <w:tcPr>
            <w:tcW w:w="1585" w:type="pct"/>
            <w:vAlign w:val="center"/>
          </w:tcPr>
          <w:p w14:paraId="0506CC1E" w14:textId="77777777" w:rsidR="0073147C" w:rsidRPr="001B58C0" w:rsidRDefault="0073147C" w:rsidP="0073147C">
            <w:pPr>
              <w:jc w:val="both"/>
              <w:rPr>
                <w:rFonts w:ascii="Arial" w:hAnsi="Arial" w:cs="Arial"/>
                <w:sz w:val="16"/>
                <w:szCs w:val="16"/>
              </w:rPr>
            </w:pPr>
            <w:r w:rsidRPr="001B58C0">
              <w:rPr>
                <w:rFonts w:ascii="Arial" w:hAnsi="Arial" w:cs="Arial"/>
                <w:sz w:val="16"/>
                <w:szCs w:val="16"/>
              </w:rPr>
              <w:t>Identification et mise en œuvre de mesures permettant d'éviter ou de réduire la production de déchets sur les chantiers dans la mesure du possible.</w:t>
            </w:r>
          </w:p>
        </w:tc>
        <w:tc>
          <w:tcPr>
            <w:tcW w:w="742" w:type="pct"/>
            <w:vAlign w:val="center"/>
          </w:tcPr>
          <w:p w14:paraId="70D1417C" w14:textId="77777777" w:rsidR="0073147C" w:rsidRPr="001B58C0" w:rsidRDefault="0073147C" w:rsidP="0073147C">
            <w:pPr>
              <w:jc w:val="both"/>
              <w:rPr>
                <w:rFonts w:ascii="Arial" w:hAnsi="Arial" w:cs="Arial"/>
                <w:sz w:val="16"/>
                <w:szCs w:val="16"/>
              </w:rPr>
            </w:pPr>
            <w:r w:rsidRPr="001B58C0">
              <w:rPr>
                <w:rFonts w:ascii="Arial" w:hAnsi="Arial" w:cs="Arial"/>
                <w:sz w:val="16"/>
                <w:szCs w:val="16"/>
              </w:rPr>
              <w:t>Quantité/type de déchets produits</w:t>
            </w:r>
          </w:p>
        </w:tc>
        <w:tc>
          <w:tcPr>
            <w:tcW w:w="918" w:type="pct"/>
            <w:vAlign w:val="center"/>
          </w:tcPr>
          <w:p w14:paraId="26CA20CB" w14:textId="77777777" w:rsidR="0073147C" w:rsidRPr="001B58C0" w:rsidRDefault="0073147C" w:rsidP="0073147C">
            <w:pPr>
              <w:jc w:val="both"/>
              <w:rPr>
                <w:rFonts w:ascii="Arial" w:hAnsi="Arial" w:cs="Arial"/>
                <w:sz w:val="16"/>
                <w:szCs w:val="16"/>
              </w:rPr>
            </w:pPr>
            <w:r w:rsidRPr="001B58C0">
              <w:rPr>
                <w:rFonts w:ascii="Arial" w:hAnsi="Arial" w:cs="Arial"/>
                <w:sz w:val="16"/>
                <w:szCs w:val="16"/>
              </w:rPr>
              <w:t>Registre des déchets/rapports d'avancement</w:t>
            </w:r>
          </w:p>
        </w:tc>
        <w:tc>
          <w:tcPr>
            <w:tcW w:w="741" w:type="pct"/>
            <w:vAlign w:val="center"/>
          </w:tcPr>
          <w:p w14:paraId="3358D135" w14:textId="77777777" w:rsidR="0073147C" w:rsidRPr="001B58C0" w:rsidRDefault="0073147C" w:rsidP="0073147C">
            <w:pPr>
              <w:jc w:val="center"/>
              <w:rPr>
                <w:rFonts w:ascii="Arial" w:hAnsi="Arial" w:cs="Arial"/>
                <w:sz w:val="16"/>
                <w:szCs w:val="16"/>
              </w:rPr>
            </w:pPr>
          </w:p>
          <w:p w14:paraId="715EA057" w14:textId="787E6400" w:rsidR="0073147C" w:rsidRPr="001B58C0" w:rsidRDefault="0073147C" w:rsidP="0073147C">
            <w:pPr>
              <w:jc w:val="center"/>
              <w:rPr>
                <w:rFonts w:ascii="Arial" w:hAnsi="Arial" w:cs="Arial"/>
                <w:sz w:val="16"/>
                <w:szCs w:val="16"/>
              </w:rPr>
            </w:pPr>
            <w:r w:rsidRPr="001B58C0">
              <w:rPr>
                <w:rFonts w:ascii="Arial" w:hAnsi="Arial" w:cs="Arial"/>
                <w:sz w:val="16"/>
                <w:szCs w:val="16"/>
              </w:rPr>
              <w:t>Continu</w:t>
            </w:r>
          </w:p>
        </w:tc>
        <w:tc>
          <w:tcPr>
            <w:tcW w:w="697" w:type="pct"/>
            <w:vAlign w:val="center"/>
          </w:tcPr>
          <w:p w14:paraId="563A0B63" w14:textId="27437E01" w:rsidR="0073147C" w:rsidRPr="001B58C0" w:rsidRDefault="0073147C" w:rsidP="0073147C">
            <w:pPr>
              <w:jc w:val="center"/>
              <w:rPr>
                <w:rFonts w:ascii="Arial" w:hAnsi="Arial" w:cs="Arial"/>
                <w:sz w:val="16"/>
                <w:szCs w:val="16"/>
              </w:rPr>
            </w:pPr>
            <w:r w:rsidRPr="00BE4C02">
              <w:rPr>
                <w:rFonts w:ascii="Arial" w:hAnsi="Arial" w:cs="Arial"/>
                <w:sz w:val="16"/>
                <w:szCs w:val="16"/>
              </w:rPr>
              <w:t>UGP Projet et Partenaires</w:t>
            </w:r>
          </w:p>
        </w:tc>
      </w:tr>
      <w:tr w:rsidR="00205F40" w:rsidRPr="001B58C0" w14:paraId="3B23693E" w14:textId="77777777" w:rsidTr="00B24255">
        <w:tc>
          <w:tcPr>
            <w:tcW w:w="5000" w:type="pct"/>
            <w:gridSpan w:val="6"/>
            <w:shd w:val="clear" w:color="auto" w:fill="E5DFEC" w:themeFill="accent4" w:themeFillTint="33"/>
            <w:vAlign w:val="center"/>
          </w:tcPr>
          <w:p w14:paraId="6BDE5C80" w14:textId="44961543" w:rsidR="00205F40" w:rsidRPr="00205F40" w:rsidRDefault="00205F40" w:rsidP="00205F40">
            <w:pPr>
              <w:jc w:val="center"/>
              <w:rPr>
                <w:rFonts w:ascii="Arial" w:hAnsi="Arial" w:cs="Arial"/>
                <w:bCs/>
                <w:i/>
                <w:iCs/>
                <w:sz w:val="16"/>
                <w:szCs w:val="16"/>
              </w:rPr>
            </w:pPr>
            <w:r w:rsidRPr="00205F40">
              <w:rPr>
                <w:rFonts w:ascii="Arial" w:hAnsi="Arial" w:cs="Arial"/>
                <w:bCs/>
                <w:i/>
                <w:iCs/>
                <w:sz w:val="16"/>
                <w:szCs w:val="16"/>
              </w:rPr>
              <w:t>Traitement et stockage des déchets</w:t>
            </w:r>
          </w:p>
        </w:tc>
      </w:tr>
      <w:tr w:rsidR="0039148A" w:rsidRPr="001B58C0" w14:paraId="1D698314" w14:textId="77777777" w:rsidTr="0039148A">
        <w:tc>
          <w:tcPr>
            <w:tcW w:w="317" w:type="pct"/>
            <w:vAlign w:val="center"/>
          </w:tcPr>
          <w:p w14:paraId="5889301C" w14:textId="77777777" w:rsidR="0039148A" w:rsidRPr="001B58C0" w:rsidRDefault="0039148A" w:rsidP="0039148A">
            <w:pPr>
              <w:jc w:val="center"/>
              <w:rPr>
                <w:rFonts w:ascii="Arial" w:hAnsi="Arial" w:cs="Arial"/>
                <w:sz w:val="16"/>
                <w:szCs w:val="16"/>
              </w:rPr>
            </w:pPr>
            <w:r w:rsidRPr="001B58C0">
              <w:rPr>
                <w:rFonts w:ascii="Arial" w:hAnsi="Arial" w:cs="Arial"/>
                <w:sz w:val="16"/>
                <w:szCs w:val="16"/>
              </w:rPr>
              <w:t>1.3</w:t>
            </w:r>
          </w:p>
        </w:tc>
        <w:tc>
          <w:tcPr>
            <w:tcW w:w="1585" w:type="pct"/>
            <w:vAlign w:val="center"/>
          </w:tcPr>
          <w:p w14:paraId="2207920B" w14:textId="77777777" w:rsidR="0039148A" w:rsidRPr="001B58C0" w:rsidRDefault="0039148A" w:rsidP="0039148A">
            <w:pPr>
              <w:jc w:val="both"/>
              <w:rPr>
                <w:rFonts w:ascii="Arial" w:hAnsi="Arial" w:cs="Arial"/>
                <w:sz w:val="16"/>
                <w:szCs w:val="16"/>
              </w:rPr>
            </w:pPr>
            <w:r w:rsidRPr="001B58C0">
              <w:rPr>
                <w:rFonts w:ascii="Arial" w:hAnsi="Arial" w:cs="Arial"/>
                <w:sz w:val="16"/>
                <w:szCs w:val="16"/>
              </w:rPr>
              <w:t>Tri sélectif des déchets à la source : code couleur/étiquetage des bacs</w:t>
            </w:r>
          </w:p>
        </w:tc>
        <w:tc>
          <w:tcPr>
            <w:tcW w:w="742" w:type="pct"/>
            <w:vAlign w:val="center"/>
          </w:tcPr>
          <w:p w14:paraId="177A6ABE" w14:textId="77777777" w:rsidR="0039148A" w:rsidRPr="001B58C0" w:rsidRDefault="0039148A" w:rsidP="0039148A">
            <w:pPr>
              <w:jc w:val="both"/>
              <w:rPr>
                <w:rFonts w:ascii="Arial" w:hAnsi="Arial" w:cs="Arial"/>
                <w:sz w:val="16"/>
                <w:szCs w:val="16"/>
              </w:rPr>
            </w:pPr>
            <w:r w:rsidRPr="001B58C0">
              <w:rPr>
                <w:rFonts w:ascii="Arial" w:hAnsi="Arial" w:cs="Arial"/>
                <w:sz w:val="16"/>
                <w:szCs w:val="16"/>
              </w:rPr>
              <w:t>Récipients de stockage étiquetés pour différents types de déchets sur site</w:t>
            </w:r>
          </w:p>
        </w:tc>
        <w:tc>
          <w:tcPr>
            <w:tcW w:w="918" w:type="pct"/>
            <w:vAlign w:val="center"/>
          </w:tcPr>
          <w:p w14:paraId="4E5DBE15" w14:textId="77777777" w:rsidR="0039148A" w:rsidRPr="001B58C0" w:rsidRDefault="0039148A" w:rsidP="0039148A">
            <w:pPr>
              <w:jc w:val="both"/>
              <w:rPr>
                <w:rFonts w:ascii="Arial" w:hAnsi="Arial" w:cs="Arial"/>
                <w:sz w:val="16"/>
                <w:szCs w:val="16"/>
              </w:rPr>
            </w:pPr>
            <w:r w:rsidRPr="001B58C0">
              <w:rPr>
                <w:rFonts w:ascii="Arial" w:hAnsi="Arial" w:cs="Arial"/>
                <w:sz w:val="16"/>
                <w:szCs w:val="16"/>
              </w:rPr>
              <w:t>Inspection/état d'avancement</w:t>
            </w:r>
          </w:p>
          <w:p w14:paraId="7D521B45" w14:textId="77777777" w:rsidR="0039148A" w:rsidRPr="001B58C0" w:rsidRDefault="0039148A" w:rsidP="0039148A">
            <w:pPr>
              <w:jc w:val="both"/>
              <w:rPr>
                <w:rFonts w:ascii="Arial" w:hAnsi="Arial" w:cs="Arial"/>
                <w:sz w:val="16"/>
                <w:szCs w:val="16"/>
              </w:rPr>
            </w:pPr>
            <w:r w:rsidRPr="001B58C0">
              <w:rPr>
                <w:rFonts w:ascii="Arial" w:hAnsi="Arial" w:cs="Arial"/>
                <w:sz w:val="16"/>
                <w:szCs w:val="16"/>
              </w:rPr>
              <w:t>Rapports</w:t>
            </w:r>
          </w:p>
        </w:tc>
        <w:tc>
          <w:tcPr>
            <w:tcW w:w="741" w:type="pct"/>
            <w:vAlign w:val="center"/>
          </w:tcPr>
          <w:p w14:paraId="51ED18A2" w14:textId="77777777" w:rsidR="0039148A" w:rsidRPr="001B58C0" w:rsidRDefault="0039148A" w:rsidP="0039148A">
            <w:pPr>
              <w:jc w:val="center"/>
              <w:rPr>
                <w:rFonts w:ascii="Arial" w:hAnsi="Arial" w:cs="Arial"/>
                <w:sz w:val="16"/>
                <w:szCs w:val="16"/>
              </w:rPr>
            </w:pPr>
          </w:p>
          <w:p w14:paraId="0FD6CE5B" w14:textId="23CF3961" w:rsidR="0039148A" w:rsidRPr="001B58C0" w:rsidRDefault="0039148A" w:rsidP="0039148A">
            <w:pPr>
              <w:jc w:val="center"/>
              <w:rPr>
                <w:rFonts w:ascii="Arial" w:hAnsi="Arial" w:cs="Arial"/>
                <w:sz w:val="16"/>
                <w:szCs w:val="16"/>
              </w:rPr>
            </w:pPr>
            <w:r w:rsidRPr="001B58C0">
              <w:rPr>
                <w:rFonts w:ascii="Arial" w:hAnsi="Arial" w:cs="Arial"/>
                <w:sz w:val="16"/>
                <w:szCs w:val="16"/>
              </w:rPr>
              <w:t>Continu</w:t>
            </w:r>
          </w:p>
        </w:tc>
        <w:tc>
          <w:tcPr>
            <w:tcW w:w="697" w:type="pct"/>
            <w:vAlign w:val="center"/>
          </w:tcPr>
          <w:p w14:paraId="3EB721D2" w14:textId="6C79E8D0" w:rsidR="0039148A" w:rsidRPr="001B58C0" w:rsidRDefault="0039148A" w:rsidP="0039148A">
            <w:pPr>
              <w:jc w:val="center"/>
              <w:rPr>
                <w:rFonts w:ascii="Arial" w:hAnsi="Arial" w:cs="Arial"/>
                <w:sz w:val="16"/>
                <w:szCs w:val="16"/>
              </w:rPr>
            </w:pPr>
            <w:r w:rsidRPr="003C33C9">
              <w:rPr>
                <w:rFonts w:ascii="Arial" w:hAnsi="Arial" w:cs="Arial"/>
                <w:sz w:val="16"/>
                <w:szCs w:val="16"/>
              </w:rPr>
              <w:t>UGP Projet et Partenaires</w:t>
            </w:r>
          </w:p>
        </w:tc>
      </w:tr>
      <w:tr w:rsidR="0039148A" w:rsidRPr="001B58C0" w14:paraId="7B19FD91" w14:textId="77777777" w:rsidTr="0039148A">
        <w:tc>
          <w:tcPr>
            <w:tcW w:w="317" w:type="pct"/>
            <w:vAlign w:val="center"/>
          </w:tcPr>
          <w:p w14:paraId="73D65547" w14:textId="77777777" w:rsidR="0039148A" w:rsidRPr="001B58C0" w:rsidRDefault="0039148A" w:rsidP="0039148A">
            <w:pPr>
              <w:jc w:val="center"/>
              <w:rPr>
                <w:rFonts w:ascii="Arial" w:hAnsi="Arial" w:cs="Arial"/>
                <w:sz w:val="16"/>
                <w:szCs w:val="16"/>
              </w:rPr>
            </w:pPr>
            <w:r w:rsidRPr="001B58C0">
              <w:rPr>
                <w:rFonts w:ascii="Arial" w:hAnsi="Arial" w:cs="Arial"/>
                <w:sz w:val="16"/>
                <w:szCs w:val="16"/>
              </w:rPr>
              <w:t>1.4</w:t>
            </w:r>
          </w:p>
        </w:tc>
        <w:tc>
          <w:tcPr>
            <w:tcW w:w="1585" w:type="pct"/>
            <w:vAlign w:val="center"/>
          </w:tcPr>
          <w:p w14:paraId="00927BC9" w14:textId="0DCE1CFC" w:rsidR="0039148A" w:rsidRPr="001B58C0" w:rsidRDefault="0039148A" w:rsidP="0039148A">
            <w:pPr>
              <w:jc w:val="both"/>
              <w:rPr>
                <w:rFonts w:ascii="Arial" w:hAnsi="Arial" w:cs="Arial"/>
                <w:sz w:val="16"/>
                <w:szCs w:val="16"/>
              </w:rPr>
            </w:pPr>
            <w:r w:rsidRPr="001B58C0">
              <w:rPr>
                <w:rFonts w:ascii="Arial" w:hAnsi="Arial" w:cs="Arial"/>
                <w:sz w:val="16"/>
                <w:szCs w:val="16"/>
              </w:rPr>
              <w:t xml:space="preserve">Désignation d'aires de stockage temporaire sécurisées sur les sites pour différents types de déchets : dangereux/général. </w:t>
            </w:r>
          </w:p>
        </w:tc>
        <w:tc>
          <w:tcPr>
            <w:tcW w:w="742" w:type="pct"/>
            <w:vAlign w:val="center"/>
          </w:tcPr>
          <w:p w14:paraId="0EA36C38" w14:textId="77777777" w:rsidR="0039148A" w:rsidRPr="001B58C0" w:rsidRDefault="0039148A" w:rsidP="0039148A">
            <w:pPr>
              <w:jc w:val="both"/>
              <w:rPr>
                <w:rFonts w:ascii="Arial" w:hAnsi="Arial" w:cs="Arial"/>
                <w:sz w:val="16"/>
                <w:szCs w:val="16"/>
              </w:rPr>
            </w:pPr>
            <w:r w:rsidRPr="001B58C0">
              <w:rPr>
                <w:rFonts w:ascii="Arial" w:hAnsi="Arial" w:cs="Arial"/>
                <w:sz w:val="16"/>
                <w:szCs w:val="16"/>
              </w:rPr>
              <w:t>Disponibilité de parcs de stockage des déchets sécurisés</w:t>
            </w:r>
          </w:p>
        </w:tc>
        <w:tc>
          <w:tcPr>
            <w:tcW w:w="918" w:type="pct"/>
            <w:vAlign w:val="center"/>
          </w:tcPr>
          <w:p w14:paraId="2E7B5B8A" w14:textId="77777777" w:rsidR="0039148A" w:rsidRPr="001B58C0" w:rsidRDefault="0039148A" w:rsidP="0039148A">
            <w:pPr>
              <w:jc w:val="both"/>
              <w:rPr>
                <w:rFonts w:ascii="Arial" w:hAnsi="Arial" w:cs="Arial"/>
                <w:sz w:val="16"/>
                <w:szCs w:val="16"/>
              </w:rPr>
            </w:pPr>
            <w:r w:rsidRPr="001B58C0">
              <w:rPr>
                <w:rFonts w:ascii="Arial" w:hAnsi="Arial" w:cs="Arial"/>
                <w:sz w:val="16"/>
                <w:szCs w:val="16"/>
              </w:rPr>
              <w:t>Inspection/état d'avancement</w:t>
            </w:r>
          </w:p>
          <w:p w14:paraId="4D738F24" w14:textId="77777777" w:rsidR="0039148A" w:rsidRPr="001B58C0" w:rsidRDefault="0039148A" w:rsidP="0039148A">
            <w:pPr>
              <w:jc w:val="both"/>
              <w:rPr>
                <w:rFonts w:ascii="Arial" w:hAnsi="Arial" w:cs="Arial"/>
                <w:sz w:val="16"/>
                <w:szCs w:val="16"/>
              </w:rPr>
            </w:pPr>
            <w:r w:rsidRPr="001B58C0">
              <w:rPr>
                <w:rFonts w:ascii="Arial" w:hAnsi="Arial" w:cs="Arial"/>
                <w:sz w:val="16"/>
                <w:szCs w:val="16"/>
              </w:rPr>
              <w:t>Rapports</w:t>
            </w:r>
          </w:p>
        </w:tc>
        <w:tc>
          <w:tcPr>
            <w:tcW w:w="741" w:type="pct"/>
            <w:vAlign w:val="center"/>
          </w:tcPr>
          <w:p w14:paraId="65473DA4" w14:textId="77777777" w:rsidR="0039148A" w:rsidRPr="001B58C0" w:rsidRDefault="0039148A" w:rsidP="0039148A">
            <w:pPr>
              <w:jc w:val="center"/>
              <w:rPr>
                <w:rFonts w:ascii="Arial" w:hAnsi="Arial" w:cs="Arial"/>
                <w:sz w:val="16"/>
                <w:szCs w:val="16"/>
              </w:rPr>
            </w:pPr>
          </w:p>
          <w:p w14:paraId="7914B1C3" w14:textId="5FD90EEF" w:rsidR="0039148A" w:rsidRPr="001B58C0" w:rsidRDefault="0039148A" w:rsidP="0039148A">
            <w:pPr>
              <w:jc w:val="center"/>
              <w:rPr>
                <w:rFonts w:ascii="Arial" w:hAnsi="Arial" w:cs="Arial"/>
                <w:sz w:val="16"/>
                <w:szCs w:val="16"/>
              </w:rPr>
            </w:pPr>
            <w:r w:rsidRPr="001B58C0">
              <w:rPr>
                <w:rFonts w:ascii="Arial" w:hAnsi="Arial" w:cs="Arial"/>
                <w:sz w:val="16"/>
                <w:szCs w:val="16"/>
              </w:rPr>
              <w:t>Continu</w:t>
            </w:r>
          </w:p>
        </w:tc>
        <w:tc>
          <w:tcPr>
            <w:tcW w:w="697" w:type="pct"/>
            <w:vAlign w:val="center"/>
          </w:tcPr>
          <w:p w14:paraId="29F48957" w14:textId="49669CAE" w:rsidR="0039148A" w:rsidRPr="001B58C0" w:rsidRDefault="0039148A" w:rsidP="0039148A">
            <w:pPr>
              <w:jc w:val="center"/>
              <w:rPr>
                <w:rFonts w:ascii="Arial" w:hAnsi="Arial" w:cs="Arial"/>
                <w:sz w:val="16"/>
                <w:szCs w:val="16"/>
              </w:rPr>
            </w:pPr>
            <w:r w:rsidRPr="003C33C9">
              <w:rPr>
                <w:rFonts w:ascii="Arial" w:hAnsi="Arial" w:cs="Arial"/>
                <w:sz w:val="16"/>
                <w:szCs w:val="16"/>
              </w:rPr>
              <w:t>UGP Projet et Partenaires</w:t>
            </w:r>
          </w:p>
        </w:tc>
      </w:tr>
      <w:tr w:rsidR="0039148A" w:rsidRPr="001B58C0" w14:paraId="6C47272D" w14:textId="77777777" w:rsidTr="0039148A">
        <w:tc>
          <w:tcPr>
            <w:tcW w:w="317" w:type="pct"/>
            <w:vAlign w:val="center"/>
          </w:tcPr>
          <w:p w14:paraId="2E505025" w14:textId="77777777" w:rsidR="0039148A" w:rsidRPr="001B58C0" w:rsidRDefault="0039148A" w:rsidP="0039148A">
            <w:pPr>
              <w:jc w:val="center"/>
              <w:rPr>
                <w:rFonts w:ascii="Arial" w:hAnsi="Arial" w:cs="Arial"/>
                <w:sz w:val="16"/>
                <w:szCs w:val="16"/>
              </w:rPr>
            </w:pPr>
          </w:p>
        </w:tc>
        <w:tc>
          <w:tcPr>
            <w:tcW w:w="1585" w:type="pct"/>
            <w:vAlign w:val="center"/>
          </w:tcPr>
          <w:p w14:paraId="5A1F69E4" w14:textId="373AB9CD" w:rsidR="0039148A" w:rsidRPr="001B58C0" w:rsidRDefault="0039148A" w:rsidP="0039148A">
            <w:pPr>
              <w:jc w:val="both"/>
              <w:rPr>
                <w:rFonts w:ascii="Arial" w:hAnsi="Arial" w:cs="Arial"/>
                <w:sz w:val="16"/>
                <w:szCs w:val="16"/>
              </w:rPr>
            </w:pPr>
            <w:r w:rsidRPr="001B58C0">
              <w:rPr>
                <w:rFonts w:ascii="Arial" w:hAnsi="Arial" w:cs="Arial"/>
                <w:sz w:val="16"/>
                <w:szCs w:val="16"/>
              </w:rPr>
              <w:t>Fourniture de conteneurs de stockage appropriés, d'un revêtement de sol imperméable et d'une signalisation</w:t>
            </w:r>
          </w:p>
        </w:tc>
        <w:tc>
          <w:tcPr>
            <w:tcW w:w="742" w:type="pct"/>
            <w:vAlign w:val="center"/>
          </w:tcPr>
          <w:p w14:paraId="022E307D" w14:textId="506E59D8" w:rsidR="0039148A" w:rsidRPr="001B58C0" w:rsidRDefault="0039148A" w:rsidP="0039148A">
            <w:pPr>
              <w:jc w:val="center"/>
              <w:rPr>
                <w:rFonts w:ascii="Arial" w:hAnsi="Arial" w:cs="Arial"/>
                <w:sz w:val="16"/>
                <w:szCs w:val="16"/>
              </w:rPr>
            </w:pPr>
            <w:r w:rsidRPr="00AA5544">
              <w:rPr>
                <w:rFonts w:ascii="Arial" w:hAnsi="Arial" w:cs="Arial"/>
                <w:sz w:val="16"/>
                <w:szCs w:val="16"/>
              </w:rPr>
              <w:t>Disponibilité</w:t>
            </w:r>
            <w:r>
              <w:rPr>
                <w:rFonts w:ascii="Arial" w:hAnsi="Arial" w:cs="Arial"/>
                <w:sz w:val="16"/>
                <w:szCs w:val="16"/>
              </w:rPr>
              <w:t xml:space="preserve"> dans les stocks du projet</w:t>
            </w:r>
          </w:p>
        </w:tc>
        <w:tc>
          <w:tcPr>
            <w:tcW w:w="918" w:type="pct"/>
            <w:vAlign w:val="center"/>
          </w:tcPr>
          <w:p w14:paraId="4EAC3A41" w14:textId="6D224897" w:rsidR="0039148A" w:rsidRPr="001B58C0" w:rsidRDefault="0039148A" w:rsidP="0039148A">
            <w:pPr>
              <w:jc w:val="center"/>
              <w:rPr>
                <w:rFonts w:ascii="Arial" w:hAnsi="Arial" w:cs="Arial"/>
                <w:sz w:val="16"/>
                <w:szCs w:val="16"/>
              </w:rPr>
            </w:pPr>
            <w:r>
              <w:rPr>
                <w:rFonts w:ascii="Arial" w:hAnsi="Arial" w:cs="Arial"/>
                <w:sz w:val="16"/>
                <w:szCs w:val="16"/>
              </w:rPr>
              <w:t>Procédures de passation de marché/I</w:t>
            </w:r>
            <w:r w:rsidRPr="001B58C0">
              <w:rPr>
                <w:rFonts w:ascii="Arial" w:hAnsi="Arial" w:cs="Arial"/>
                <w:sz w:val="16"/>
                <w:szCs w:val="16"/>
              </w:rPr>
              <w:t>nspection/état d'avancement</w:t>
            </w:r>
          </w:p>
          <w:p w14:paraId="4106EB06" w14:textId="4043AB1A" w:rsidR="0039148A" w:rsidRPr="001B58C0" w:rsidRDefault="0039148A" w:rsidP="0039148A">
            <w:pPr>
              <w:jc w:val="center"/>
              <w:rPr>
                <w:rFonts w:ascii="Arial" w:hAnsi="Arial" w:cs="Arial"/>
                <w:sz w:val="16"/>
                <w:szCs w:val="16"/>
              </w:rPr>
            </w:pPr>
            <w:r w:rsidRPr="001B58C0">
              <w:rPr>
                <w:rFonts w:ascii="Arial" w:hAnsi="Arial" w:cs="Arial"/>
                <w:sz w:val="16"/>
                <w:szCs w:val="16"/>
              </w:rPr>
              <w:t>Rapports</w:t>
            </w:r>
          </w:p>
        </w:tc>
        <w:tc>
          <w:tcPr>
            <w:tcW w:w="741" w:type="pct"/>
            <w:vAlign w:val="center"/>
          </w:tcPr>
          <w:p w14:paraId="41732730" w14:textId="4162BBEE" w:rsidR="0039148A" w:rsidRPr="001B58C0" w:rsidRDefault="0039148A" w:rsidP="0039148A">
            <w:pPr>
              <w:jc w:val="center"/>
              <w:rPr>
                <w:rFonts w:ascii="Arial" w:hAnsi="Arial" w:cs="Arial"/>
                <w:sz w:val="16"/>
                <w:szCs w:val="16"/>
              </w:rPr>
            </w:pPr>
            <w:r w:rsidRPr="001B58C0">
              <w:rPr>
                <w:rFonts w:ascii="Arial" w:hAnsi="Arial" w:cs="Arial"/>
                <w:sz w:val="16"/>
                <w:szCs w:val="16"/>
              </w:rPr>
              <w:t>Continu</w:t>
            </w:r>
          </w:p>
        </w:tc>
        <w:tc>
          <w:tcPr>
            <w:tcW w:w="697" w:type="pct"/>
            <w:vAlign w:val="center"/>
          </w:tcPr>
          <w:p w14:paraId="79B33D64" w14:textId="04430EBD" w:rsidR="0039148A" w:rsidRPr="001B58C0" w:rsidRDefault="0039148A" w:rsidP="0039148A">
            <w:pPr>
              <w:jc w:val="center"/>
              <w:rPr>
                <w:rFonts w:ascii="Arial" w:hAnsi="Arial" w:cs="Arial"/>
                <w:sz w:val="16"/>
                <w:szCs w:val="16"/>
              </w:rPr>
            </w:pPr>
            <w:r w:rsidRPr="003C33C9">
              <w:rPr>
                <w:rFonts w:ascii="Arial" w:hAnsi="Arial" w:cs="Arial"/>
                <w:sz w:val="16"/>
                <w:szCs w:val="16"/>
              </w:rPr>
              <w:t>UGP Projet et Partenaires</w:t>
            </w:r>
          </w:p>
        </w:tc>
      </w:tr>
      <w:tr w:rsidR="00205F40" w:rsidRPr="00205F40" w14:paraId="7C796F1E" w14:textId="77777777" w:rsidTr="00B24255">
        <w:tc>
          <w:tcPr>
            <w:tcW w:w="5000" w:type="pct"/>
            <w:gridSpan w:val="6"/>
            <w:shd w:val="clear" w:color="auto" w:fill="E5DFEC" w:themeFill="accent4" w:themeFillTint="33"/>
            <w:vAlign w:val="center"/>
          </w:tcPr>
          <w:p w14:paraId="12675CBE" w14:textId="20217AB0" w:rsidR="00205F40" w:rsidRPr="00205F40" w:rsidRDefault="00205F40" w:rsidP="00205F40">
            <w:pPr>
              <w:jc w:val="center"/>
              <w:rPr>
                <w:rFonts w:ascii="Arial" w:hAnsi="Arial" w:cs="Arial"/>
                <w:bCs/>
                <w:i/>
                <w:iCs/>
                <w:sz w:val="16"/>
                <w:szCs w:val="16"/>
              </w:rPr>
            </w:pPr>
            <w:r w:rsidRPr="00205F40">
              <w:rPr>
                <w:rFonts w:ascii="Arial" w:hAnsi="Arial" w:cs="Arial"/>
                <w:bCs/>
                <w:i/>
                <w:iCs/>
                <w:sz w:val="16"/>
                <w:szCs w:val="16"/>
              </w:rPr>
              <w:t>Transport et élimination des déchets non dangereux</w:t>
            </w:r>
          </w:p>
        </w:tc>
      </w:tr>
      <w:tr w:rsidR="002A3743" w:rsidRPr="001B58C0" w14:paraId="30222076" w14:textId="77777777" w:rsidTr="002D555B">
        <w:tc>
          <w:tcPr>
            <w:tcW w:w="317" w:type="pct"/>
            <w:vAlign w:val="center"/>
          </w:tcPr>
          <w:p w14:paraId="59A8BDB8" w14:textId="77777777" w:rsidR="002A3743" w:rsidRPr="001B58C0" w:rsidRDefault="002A3743" w:rsidP="002A3743">
            <w:pPr>
              <w:jc w:val="center"/>
              <w:rPr>
                <w:rFonts w:ascii="Arial" w:hAnsi="Arial" w:cs="Arial"/>
                <w:sz w:val="16"/>
                <w:szCs w:val="16"/>
              </w:rPr>
            </w:pPr>
            <w:r w:rsidRPr="001B58C0">
              <w:rPr>
                <w:rFonts w:ascii="Arial" w:hAnsi="Arial" w:cs="Arial"/>
                <w:sz w:val="16"/>
                <w:szCs w:val="16"/>
              </w:rPr>
              <w:t>1.5</w:t>
            </w:r>
          </w:p>
        </w:tc>
        <w:tc>
          <w:tcPr>
            <w:tcW w:w="1585" w:type="pct"/>
            <w:vAlign w:val="center"/>
          </w:tcPr>
          <w:p w14:paraId="3983245F" w14:textId="77777777" w:rsidR="002A3743" w:rsidRPr="001B58C0" w:rsidRDefault="002A3743" w:rsidP="002A3743">
            <w:pPr>
              <w:jc w:val="both"/>
              <w:rPr>
                <w:rFonts w:ascii="Arial" w:hAnsi="Arial" w:cs="Arial"/>
                <w:sz w:val="16"/>
                <w:szCs w:val="16"/>
              </w:rPr>
            </w:pPr>
            <w:r w:rsidRPr="001B58C0">
              <w:rPr>
                <w:rFonts w:ascii="Arial" w:hAnsi="Arial" w:cs="Arial"/>
                <w:sz w:val="16"/>
                <w:szCs w:val="16"/>
              </w:rPr>
              <w:t>Collecte et transport des déchets sans les déverser pendant leur transport vers le site d'élimination.</w:t>
            </w:r>
          </w:p>
        </w:tc>
        <w:tc>
          <w:tcPr>
            <w:tcW w:w="742" w:type="pct"/>
            <w:vAlign w:val="center"/>
          </w:tcPr>
          <w:p w14:paraId="771712E5" w14:textId="77777777" w:rsidR="002A3743" w:rsidRPr="001B58C0" w:rsidRDefault="002A3743" w:rsidP="002A3743">
            <w:pPr>
              <w:jc w:val="both"/>
              <w:rPr>
                <w:rFonts w:ascii="Arial" w:hAnsi="Arial" w:cs="Arial"/>
                <w:sz w:val="16"/>
                <w:szCs w:val="16"/>
              </w:rPr>
            </w:pPr>
            <w:r w:rsidRPr="001B58C0">
              <w:rPr>
                <w:rFonts w:ascii="Arial" w:hAnsi="Arial" w:cs="Arial"/>
                <w:sz w:val="16"/>
                <w:szCs w:val="16"/>
              </w:rPr>
              <w:t>Véhicule couvert avec bâche</w:t>
            </w:r>
          </w:p>
        </w:tc>
        <w:tc>
          <w:tcPr>
            <w:tcW w:w="918" w:type="pct"/>
            <w:vAlign w:val="center"/>
          </w:tcPr>
          <w:p w14:paraId="4B3CD8D9" w14:textId="77777777" w:rsidR="002A3743" w:rsidRPr="001B58C0" w:rsidRDefault="002A3743" w:rsidP="002A3743">
            <w:pPr>
              <w:jc w:val="both"/>
              <w:rPr>
                <w:rFonts w:ascii="Arial" w:hAnsi="Arial" w:cs="Arial"/>
                <w:sz w:val="16"/>
                <w:szCs w:val="16"/>
              </w:rPr>
            </w:pPr>
            <w:r w:rsidRPr="001B58C0">
              <w:rPr>
                <w:rFonts w:ascii="Arial" w:hAnsi="Arial" w:cs="Arial"/>
                <w:sz w:val="16"/>
                <w:szCs w:val="16"/>
              </w:rPr>
              <w:t>Inspection/état d'avancement</w:t>
            </w:r>
          </w:p>
          <w:p w14:paraId="7857C7D5" w14:textId="77777777" w:rsidR="002A3743" w:rsidRPr="001B58C0" w:rsidRDefault="002A3743" w:rsidP="002A3743">
            <w:pPr>
              <w:jc w:val="center"/>
              <w:rPr>
                <w:rFonts w:ascii="Arial" w:hAnsi="Arial" w:cs="Arial"/>
                <w:sz w:val="16"/>
                <w:szCs w:val="16"/>
              </w:rPr>
            </w:pPr>
            <w:r w:rsidRPr="001B58C0">
              <w:rPr>
                <w:rFonts w:ascii="Arial" w:hAnsi="Arial" w:cs="Arial"/>
                <w:sz w:val="16"/>
                <w:szCs w:val="16"/>
              </w:rPr>
              <w:t>Rapports</w:t>
            </w:r>
          </w:p>
        </w:tc>
        <w:tc>
          <w:tcPr>
            <w:tcW w:w="741" w:type="pct"/>
            <w:vAlign w:val="center"/>
          </w:tcPr>
          <w:p w14:paraId="5A9A2FC3" w14:textId="77777777" w:rsidR="002A3743" w:rsidRPr="001B58C0" w:rsidRDefault="002A3743" w:rsidP="002A3743">
            <w:pPr>
              <w:jc w:val="center"/>
              <w:rPr>
                <w:rFonts w:ascii="Arial" w:hAnsi="Arial" w:cs="Arial"/>
                <w:sz w:val="16"/>
                <w:szCs w:val="16"/>
              </w:rPr>
            </w:pPr>
          </w:p>
          <w:p w14:paraId="68272F91" w14:textId="251ED8B8" w:rsidR="002A3743" w:rsidRPr="001B58C0" w:rsidRDefault="002A3743" w:rsidP="002A3743">
            <w:pPr>
              <w:jc w:val="center"/>
              <w:rPr>
                <w:rFonts w:ascii="Arial" w:hAnsi="Arial" w:cs="Arial"/>
                <w:sz w:val="16"/>
                <w:szCs w:val="16"/>
              </w:rPr>
            </w:pPr>
            <w:r w:rsidRPr="001B58C0">
              <w:rPr>
                <w:rFonts w:ascii="Arial" w:hAnsi="Arial" w:cs="Arial"/>
                <w:sz w:val="16"/>
                <w:szCs w:val="16"/>
              </w:rPr>
              <w:t>Continu</w:t>
            </w:r>
          </w:p>
        </w:tc>
        <w:tc>
          <w:tcPr>
            <w:tcW w:w="697" w:type="pct"/>
          </w:tcPr>
          <w:p w14:paraId="4258C4D0" w14:textId="0CD9BD3F" w:rsidR="002A3743" w:rsidRPr="001B58C0" w:rsidRDefault="002A3743" w:rsidP="0039148A">
            <w:pPr>
              <w:jc w:val="center"/>
              <w:rPr>
                <w:rFonts w:ascii="Arial" w:hAnsi="Arial" w:cs="Arial"/>
                <w:sz w:val="16"/>
                <w:szCs w:val="16"/>
              </w:rPr>
            </w:pPr>
            <w:r w:rsidRPr="00141BB5">
              <w:rPr>
                <w:rFonts w:ascii="Arial" w:hAnsi="Arial" w:cs="Arial"/>
                <w:sz w:val="16"/>
                <w:szCs w:val="16"/>
              </w:rPr>
              <w:t>UGP Projet et Partenaires</w:t>
            </w:r>
          </w:p>
        </w:tc>
      </w:tr>
      <w:tr w:rsidR="002A3743" w:rsidRPr="001B58C0" w14:paraId="324CF826" w14:textId="77777777" w:rsidTr="002D555B">
        <w:tc>
          <w:tcPr>
            <w:tcW w:w="317" w:type="pct"/>
            <w:vAlign w:val="center"/>
          </w:tcPr>
          <w:p w14:paraId="28441EBE" w14:textId="77777777" w:rsidR="002A3743" w:rsidRPr="001B58C0" w:rsidRDefault="002A3743" w:rsidP="002A3743">
            <w:pPr>
              <w:jc w:val="center"/>
              <w:rPr>
                <w:rFonts w:ascii="Arial" w:hAnsi="Arial" w:cs="Arial"/>
                <w:sz w:val="16"/>
                <w:szCs w:val="16"/>
              </w:rPr>
            </w:pPr>
            <w:r w:rsidRPr="001B58C0">
              <w:rPr>
                <w:rFonts w:ascii="Arial" w:hAnsi="Arial" w:cs="Arial"/>
                <w:sz w:val="16"/>
                <w:szCs w:val="16"/>
              </w:rPr>
              <w:t>1.6</w:t>
            </w:r>
          </w:p>
        </w:tc>
        <w:tc>
          <w:tcPr>
            <w:tcW w:w="1585" w:type="pct"/>
            <w:vAlign w:val="center"/>
          </w:tcPr>
          <w:p w14:paraId="585C2AA0" w14:textId="77777777" w:rsidR="002A3743" w:rsidRPr="001B58C0" w:rsidRDefault="002A3743" w:rsidP="002A3743">
            <w:pPr>
              <w:jc w:val="both"/>
              <w:rPr>
                <w:rFonts w:ascii="Arial" w:hAnsi="Arial" w:cs="Arial"/>
                <w:sz w:val="16"/>
                <w:szCs w:val="16"/>
              </w:rPr>
            </w:pPr>
            <w:r w:rsidRPr="001B58C0">
              <w:rPr>
                <w:rFonts w:ascii="Arial" w:hAnsi="Arial" w:cs="Arial"/>
                <w:sz w:val="16"/>
                <w:szCs w:val="16"/>
              </w:rPr>
              <w:t>Vider et collecter régulièrement (hebdomadairement) les déchets en vue de leur élimination</w:t>
            </w:r>
          </w:p>
        </w:tc>
        <w:tc>
          <w:tcPr>
            <w:tcW w:w="742" w:type="pct"/>
            <w:vAlign w:val="center"/>
          </w:tcPr>
          <w:p w14:paraId="62DC2087" w14:textId="77777777" w:rsidR="002A3743" w:rsidRPr="001B58C0" w:rsidRDefault="002A3743" w:rsidP="002A3743">
            <w:pPr>
              <w:jc w:val="both"/>
              <w:rPr>
                <w:rFonts w:ascii="Arial" w:hAnsi="Arial" w:cs="Arial"/>
                <w:sz w:val="16"/>
                <w:szCs w:val="16"/>
              </w:rPr>
            </w:pPr>
            <w:r w:rsidRPr="001B58C0">
              <w:rPr>
                <w:rFonts w:ascii="Arial" w:hAnsi="Arial" w:cs="Arial"/>
                <w:sz w:val="16"/>
                <w:szCs w:val="16"/>
              </w:rPr>
              <w:t>Fréquence et quantité de déchets éliminés</w:t>
            </w:r>
          </w:p>
        </w:tc>
        <w:tc>
          <w:tcPr>
            <w:tcW w:w="918" w:type="pct"/>
            <w:vAlign w:val="center"/>
          </w:tcPr>
          <w:p w14:paraId="31D8C42B" w14:textId="77777777" w:rsidR="002A3743" w:rsidRPr="001B58C0" w:rsidRDefault="002A3743" w:rsidP="002A3743">
            <w:pPr>
              <w:jc w:val="center"/>
              <w:rPr>
                <w:rFonts w:ascii="Arial" w:hAnsi="Arial" w:cs="Arial"/>
                <w:sz w:val="16"/>
                <w:szCs w:val="16"/>
              </w:rPr>
            </w:pPr>
            <w:r w:rsidRPr="001B58C0">
              <w:rPr>
                <w:rFonts w:ascii="Arial" w:hAnsi="Arial" w:cs="Arial"/>
                <w:sz w:val="16"/>
                <w:szCs w:val="16"/>
              </w:rPr>
              <w:t>Registres des déchets/</w:t>
            </w:r>
          </w:p>
          <w:p w14:paraId="63EA7964" w14:textId="77777777" w:rsidR="002A3743" w:rsidRPr="001B58C0" w:rsidRDefault="002A3743" w:rsidP="002A3743">
            <w:pPr>
              <w:jc w:val="center"/>
              <w:rPr>
                <w:rFonts w:ascii="Arial" w:hAnsi="Arial" w:cs="Arial"/>
                <w:sz w:val="16"/>
                <w:szCs w:val="16"/>
              </w:rPr>
            </w:pPr>
            <w:r w:rsidRPr="001B58C0">
              <w:rPr>
                <w:rFonts w:ascii="Arial" w:hAnsi="Arial" w:cs="Arial"/>
                <w:sz w:val="16"/>
                <w:szCs w:val="16"/>
              </w:rPr>
              <w:t>Rapports d'étape</w:t>
            </w:r>
          </w:p>
        </w:tc>
        <w:tc>
          <w:tcPr>
            <w:tcW w:w="741" w:type="pct"/>
            <w:vAlign w:val="center"/>
          </w:tcPr>
          <w:p w14:paraId="353FCE04" w14:textId="77777777" w:rsidR="002A3743" w:rsidRPr="001B58C0" w:rsidRDefault="002A3743" w:rsidP="002A3743">
            <w:pPr>
              <w:jc w:val="center"/>
              <w:rPr>
                <w:rFonts w:ascii="Arial" w:hAnsi="Arial" w:cs="Arial"/>
                <w:sz w:val="16"/>
                <w:szCs w:val="16"/>
              </w:rPr>
            </w:pPr>
          </w:p>
          <w:p w14:paraId="6BCF3D60" w14:textId="2B6CC1EB" w:rsidR="002A3743" w:rsidRPr="001B58C0" w:rsidRDefault="002A3743" w:rsidP="002A3743">
            <w:pPr>
              <w:jc w:val="center"/>
              <w:rPr>
                <w:rFonts w:ascii="Arial" w:hAnsi="Arial" w:cs="Arial"/>
                <w:sz w:val="16"/>
                <w:szCs w:val="16"/>
              </w:rPr>
            </w:pPr>
            <w:r w:rsidRPr="001B58C0">
              <w:rPr>
                <w:rFonts w:ascii="Arial" w:hAnsi="Arial" w:cs="Arial"/>
                <w:sz w:val="16"/>
                <w:szCs w:val="16"/>
              </w:rPr>
              <w:t>Continu</w:t>
            </w:r>
          </w:p>
        </w:tc>
        <w:tc>
          <w:tcPr>
            <w:tcW w:w="697" w:type="pct"/>
          </w:tcPr>
          <w:p w14:paraId="0872887C" w14:textId="1951F40D" w:rsidR="002A3743" w:rsidRPr="001B58C0" w:rsidRDefault="002A3743" w:rsidP="0039148A">
            <w:pPr>
              <w:jc w:val="center"/>
              <w:rPr>
                <w:rFonts w:ascii="Arial" w:hAnsi="Arial" w:cs="Arial"/>
                <w:sz w:val="16"/>
                <w:szCs w:val="16"/>
              </w:rPr>
            </w:pPr>
            <w:r w:rsidRPr="00141BB5">
              <w:rPr>
                <w:rFonts w:ascii="Arial" w:hAnsi="Arial" w:cs="Arial"/>
                <w:sz w:val="16"/>
                <w:szCs w:val="16"/>
              </w:rPr>
              <w:t>UGP Projet et Partenaires</w:t>
            </w:r>
          </w:p>
        </w:tc>
      </w:tr>
      <w:tr w:rsidR="002A3743" w:rsidRPr="001B58C0" w14:paraId="59E479D2" w14:textId="77777777" w:rsidTr="002D555B">
        <w:tc>
          <w:tcPr>
            <w:tcW w:w="317" w:type="pct"/>
            <w:vAlign w:val="center"/>
          </w:tcPr>
          <w:p w14:paraId="4DD8A584" w14:textId="77777777" w:rsidR="002A3743" w:rsidRPr="001B58C0" w:rsidRDefault="002A3743" w:rsidP="002A3743">
            <w:pPr>
              <w:jc w:val="center"/>
              <w:rPr>
                <w:rFonts w:ascii="Arial" w:hAnsi="Arial" w:cs="Arial"/>
                <w:sz w:val="16"/>
                <w:szCs w:val="16"/>
              </w:rPr>
            </w:pPr>
            <w:r w:rsidRPr="001B58C0">
              <w:rPr>
                <w:rFonts w:ascii="Arial" w:hAnsi="Arial" w:cs="Arial"/>
                <w:sz w:val="16"/>
                <w:szCs w:val="16"/>
              </w:rPr>
              <w:t>1.7</w:t>
            </w:r>
          </w:p>
        </w:tc>
        <w:tc>
          <w:tcPr>
            <w:tcW w:w="1585" w:type="pct"/>
            <w:vAlign w:val="center"/>
          </w:tcPr>
          <w:p w14:paraId="0B529F62" w14:textId="77777777" w:rsidR="002A3743" w:rsidRPr="001B58C0" w:rsidRDefault="002A3743" w:rsidP="002A3743">
            <w:pPr>
              <w:jc w:val="both"/>
              <w:rPr>
                <w:rFonts w:ascii="Arial" w:hAnsi="Arial" w:cs="Arial"/>
                <w:sz w:val="16"/>
                <w:szCs w:val="16"/>
              </w:rPr>
            </w:pPr>
            <w:r w:rsidRPr="001B58C0">
              <w:rPr>
                <w:rFonts w:ascii="Arial" w:hAnsi="Arial" w:cs="Arial"/>
                <w:sz w:val="16"/>
                <w:szCs w:val="16"/>
              </w:rPr>
              <w:t>Interdiction de brûler les déchets à l'air libre</w:t>
            </w:r>
          </w:p>
        </w:tc>
        <w:tc>
          <w:tcPr>
            <w:tcW w:w="742" w:type="pct"/>
            <w:vAlign w:val="center"/>
          </w:tcPr>
          <w:p w14:paraId="7BB931B0" w14:textId="77777777" w:rsidR="002A3743" w:rsidRPr="001B58C0" w:rsidRDefault="002A3743" w:rsidP="002A3743">
            <w:pPr>
              <w:jc w:val="both"/>
              <w:rPr>
                <w:rFonts w:ascii="Arial" w:hAnsi="Arial" w:cs="Arial"/>
                <w:sz w:val="16"/>
                <w:szCs w:val="16"/>
              </w:rPr>
            </w:pPr>
            <w:r w:rsidRPr="001B58C0">
              <w:rPr>
                <w:rFonts w:ascii="Arial" w:hAnsi="Arial" w:cs="Arial"/>
                <w:sz w:val="16"/>
                <w:szCs w:val="16"/>
              </w:rPr>
              <w:t>Aucune trace de gaspillage</w:t>
            </w:r>
          </w:p>
          <w:p w14:paraId="0AB42AE5" w14:textId="77777777" w:rsidR="002A3743" w:rsidRPr="001B58C0" w:rsidRDefault="002A3743" w:rsidP="002A3743">
            <w:pPr>
              <w:jc w:val="both"/>
              <w:rPr>
                <w:rFonts w:ascii="Arial" w:hAnsi="Arial" w:cs="Arial"/>
                <w:sz w:val="16"/>
                <w:szCs w:val="16"/>
              </w:rPr>
            </w:pPr>
            <w:r w:rsidRPr="001B58C0">
              <w:rPr>
                <w:rFonts w:ascii="Arial" w:hAnsi="Arial" w:cs="Arial"/>
                <w:sz w:val="16"/>
                <w:szCs w:val="16"/>
              </w:rPr>
              <w:t>Brûlage sur place</w:t>
            </w:r>
          </w:p>
        </w:tc>
        <w:tc>
          <w:tcPr>
            <w:tcW w:w="918" w:type="pct"/>
            <w:vAlign w:val="center"/>
          </w:tcPr>
          <w:p w14:paraId="3CDE53B5" w14:textId="77777777" w:rsidR="002A3743" w:rsidRPr="001B58C0" w:rsidRDefault="002A3743" w:rsidP="002A3743">
            <w:pPr>
              <w:jc w:val="center"/>
              <w:rPr>
                <w:rFonts w:ascii="Arial" w:hAnsi="Arial" w:cs="Arial"/>
                <w:sz w:val="16"/>
                <w:szCs w:val="16"/>
              </w:rPr>
            </w:pPr>
            <w:r w:rsidRPr="001B58C0">
              <w:rPr>
                <w:rFonts w:ascii="Arial" w:hAnsi="Arial" w:cs="Arial"/>
                <w:sz w:val="16"/>
                <w:szCs w:val="16"/>
              </w:rPr>
              <w:t>Inspection/rapports d'avancement</w:t>
            </w:r>
          </w:p>
        </w:tc>
        <w:tc>
          <w:tcPr>
            <w:tcW w:w="741" w:type="pct"/>
            <w:vAlign w:val="center"/>
          </w:tcPr>
          <w:p w14:paraId="383E094B" w14:textId="77777777" w:rsidR="002A3743" w:rsidRPr="001B58C0" w:rsidRDefault="002A3743" w:rsidP="002A3743">
            <w:pPr>
              <w:jc w:val="center"/>
              <w:rPr>
                <w:rFonts w:ascii="Arial" w:hAnsi="Arial" w:cs="Arial"/>
                <w:sz w:val="16"/>
                <w:szCs w:val="16"/>
              </w:rPr>
            </w:pPr>
          </w:p>
          <w:p w14:paraId="3EF7411C" w14:textId="06581B42" w:rsidR="002A3743" w:rsidRPr="001B58C0" w:rsidRDefault="002A3743" w:rsidP="002A3743">
            <w:pPr>
              <w:jc w:val="center"/>
              <w:rPr>
                <w:rFonts w:ascii="Arial" w:hAnsi="Arial" w:cs="Arial"/>
                <w:sz w:val="16"/>
                <w:szCs w:val="16"/>
              </w:rPr>
            </w:pPr>
            <w:r w:rsidRPr="001B58C0">
              <w:rPr>
                <w:rFonts w:ascii="Arial" w:hAnsi="Arial" w:cs="Arial"/>
                <w:sz w:val="16"/>
                <w:szCs w:val="16"/>
              </w:rPr>
              <w:t>Continu</w:t>
            </w:r>
          </w:p>
        </w:tc>
        <w:tc>
          <w:tcPr>
            <w:tcW w:w="697" w:type="pct"/>
          </w:tcPr>
          <w:p w14:paraId="2E89B839" w14:textId="0B02F2A4" w:rsidR="002A3743" w:rsidRPr="001B58C0" w:rsidRDefault="002A3743" w:rsidP="0039148A">
            <w:pPr>
              <w:jc w:val="center"/>
              <w:rPr>
                <w:rFonts w:ascii="Arial" w:hAnsi="Arial" w:cs="Arial"/>
                <w:sz w:val="16"/>
                <w:szCs w:val="16"/>
              </w:rPr>
            </w:pPr>
            <w:r w:rsidRPr="00141BB5">
              <w:rPr>
                <w:rFonts w:ascii="Arial" w:hAnsi="Arial" w:cs="Arial"/>
                <w:sz w:val="16"/>
                <w:szCs w:val="16"/>
              </w:rPr>
              <w:t>UGP Projet et Partenaires</w:t>
            </w:r>
          </w:p>
        </w:tc>
      </w:tr>
      <w:tr w:rsidR="002A3743" w:rsidRPr="001B58C0" w14:paraId="2E65DB51" w14:textId="77777777" w:rsidTr="002D555B">
        <w:tc>
          <w:tcPr>
            <w:tcW w:w="317" w:type="pct"/>
            <w:vAlign w:val="center"/>
          </w:tcPr>
          <w:p w14:paraId="2D22470E" w14:textId="77777777" w:rsidR="002A3743" w:rsidRPr="001B58C0" w:rsidRDefault="002A3743" w:rsidP="002A3743">
            <w:pPr>
              <w:jc w:val="center"/>
              <w:rPr>
                <w:rFonts w:ascii="Arial" w:hAnsi="Arial" w:cs="Arial"/>
                <w:sz w:val="16"/>
                <w:szCs w:val="16"/>
              </w:rPr>
            </w:pPr>
            <w:r w:rsidRPr="001B58C0">
              <w:rPr>
                <w:rFonts w:ascii="Arial" w:hAnsi="Arial" w:cs="Arial"/>
                <w:sz w:val="16"/>
                <w:szCs w:val="16"/>
              </w:rPr>
              <w:t>1.8</w:t>
            </w:r>
          </w:p>
        </w:tc>
        <w:tc>
          <w:tcPr>
            <w:tcW w:w="1585" w:type="pct"/>
            <w:vAlign w:val="center"/>
          </w:tcPr>
          <w:p w14:paraId="5C9A58E4" w14:textId="6132A832" w:rsidR="002A3743" w:rsidRPr="00255FF7" w:rsidRDefault="002A3743" w:rsidP="002A3743">
            <w:pPr>
              <w:jc w:val="both"/>
              <w:rPr>
                <w:rFonts w:ascii="Arial" w:hAnsi="Arial" w:cs="Arial"/>
                <w:sz w:val="16"/>
                <w:szCs w:val="16"/>
              </w:rPr>
            </w:pPr>
            <w:r w:rsidRPr="001B58C0">
              <w:rPr>
                <w:rFonts w:ascii="Arial" w:hAnsi="Arial" w:cs="Arial"/>
                <w:sz w:val="16"/>
                <w:szCs w:val="16"/>
              </w:rPr>
              <w:t>Le cas échéant, un</w:t>
            </w:r>
            <w:r>
              <w:rPr>
                <w:rFonts w:ascii="Arial" w:hAnsi="Arial" w:cs="Arial"/>
                <w:sz w:val="16"/>
                <w:szCs w:val="16"/>
              </w:rPr>
              <w:t xml:space="preserve"> permis </w:t>
            </w:r>
            <w:r w:rsidRPr="001B58C0">
              <w:rPr>
                <w:rFonts w:ascii="Arial" w:hAnsi="Arial" w:cs="Arial"/>
                <w:sz w:val="16"/>
                <w:szCs w:val="16"/>
              </w:rPr>
              <w:t>doit être obtenu auprès</w:t>
            </w:r>
            <w:r>
              <w:rPr>
                <w:rFonts w:ascii="Arial" w:hAnsi="Arial" w:cs="Arial"/>
                <w:sz w:val="16"/>
                <w:szCs w:val="16"/>
              </w:rPr>
              <w:t xml:space="preserve"> des services chargés de l’hygiène publique.</w:t>
            </w:r>
          </w:p>
        </w:tc>
        <w:tc>
          <w:tcPr>
            <w:tcW w:w="742" w:type="pct"/>
            <w:vAlign w:val="center"/>
          </w:tcPr>
          <w:p w14:paraId="2851170B" w14:textId="77777777" w:rsidR="002A3743" w:rsidRPr="001B58C0" w:rsidRDefault="002A3743" w:rsidP="002A3743">
            <w:pPr>
              <w:jc w:val="both"/>
              <w:rPr>
                <w:rFonts w:ascii="Arial" w:hAnsi="Arial" w:cs="Arial"/>
                <w:sz w:val="16"/>
                <w:szCs w:val="16"/>
              </w:rPr>
            </w:pPr>
            <w:r w:rsidRPr="001B58C0">
              <w:rPr>
                <w:rFonts w:ascii="Arial" w:hAnsi="Arial" w:cs="Arial"/>
                <w:sz w:val="16"/>
                <w:szCs w:val="16"/>
              </w:rPr>
              <w:t>Licences obtenues</w:t>
            </w:r>
          </w:p>
        </w:tc>
        <w:tc>
          <w:tcPr>
            <w:tcW w:w="918" w:type="pct"/>
            <w:vAlign w:val="center"/>
          </w:tcPr>
          <w:p w14:paraId="435BC7A6" w14:textId="1C434E74" w:rsidR="002A3743" w:rsidRPr="001B58C0" w:rsidRDefault="002A3743" w:rsidP="002A3743">
            <w:pPr>
              <w:jc w:val="center"/>
              <w:rPr>
                <w:rFonts w:ascii="Arial" w:hAnsi="Arial" w:cs="Arial"/>
                <w:sz w:val="16"/>
                <w:szCs w:val="16"/>
              </w:rPr>
            </w:pPr>
            <w:r w:rsidRPr="001B58C0">
              <w:rPr>
                <w:rFonts w:ascii="Arial" w:hAnsi="Arial" w:cs="Arial"/>
                <w:sz w:val="16"/>
                <w:szCs w:val="16"/>
              </w:rPr>
              <w:t>Copies d</w:t>
            </w:r>
            <w:r>
              <w:rPr>
                <w:rFonts w:ascii="Arial" w:hAnsi="Arial" w:cs="Arial"/>
                <w:sz w:val="16"/>
                <w:szCs w:val="16"/>
              </w:rPr>
              <w:t>es permis</w:t>
            </w:r>
          </w:p>
        </w:tc>
        <w:tc>
          <w:tcPr>
            <w:tcW w:w="741" w:type="pct"/>
            <w:vAlign w:val="center"/>
          </w:tcPr>
          <w:p w14:paraId="33070A51" w14:textId="5D621C07" w:rsidR="002A3743" w:rsidRPr="001B58C0" w:rsidRDefault="002A3743" w:rsidP="002A3743">
            <w:pPr>
              <w:jc w:val="center"/>
              <w:rPr>
                <w:rFonts w:ascii="Arial" w:hAnsi="Arial" w:cs="Arial"/>
                <w:sz w:val="16"/>
                <w:szCs w:val="16"/>
              </w:rPr>
            </w:pPr>
            <w:r>
              <w:rPr>
                <w:rFonts w:ascii="Arial" w:hAnsi="Arial" w:cs="Arial"/>
                <w:sz w:val="16"/>
                <w:szCs w:val="16"/>
              </w:rPr>
              <w:t>A</w:t>
            </w:r>
            <w:r w:rsidRPr="00E02A43">
              <w:rPr>
                <w:rFonts w:ascii="Arial" w:hAnsi="Arial" w:cs="Arial"/>
                <w:sz w:val="16"/>
                <w:szCs w:val="16"/>
              </w:rPr>
              <w:t>v</w:t>
            </w:r>
            <w:r>
              <w:rPr>
                <w:rFonts w:ascii="Arial" w:hAnsi="Arial" w:cs="Arial"/>
                <w:sz w:val="16"/>
                <w:szCs w:val="16"/>
              </w:rPr>
              <w:t>a</w:t>
            </w:r>
            <w:r w:rsidRPr="00E02A43">
              <w:rPr>
                <w:rFonts w:ascii="Arial" w:hAnsi="Arial" w:cs="Arial"/>
                <w:sz w:val="16"/>
                <w:szCs w:val="16"/>
              </w:rPr>
              <w:t>nt le d</w:t>
            </w:r>
            <w:r>
              <w:rPr>
                <w:rFonts w:ascii="Arial" w:hAnsi="Arial" w:cs="Arial"/>
                <w:sz w:val="16"/>
                <w:szCs w:val="16"/>
              </w:rPr>
              <w:t>éma</w:t>
            </w:r>
            <w:r w:rsidRPr="00E02A43">
              <w:rPr>
                <w:rFonts w:ascii="Arial" w:hAnsi="Arial" w:cs="Arial"/>
                <w:sz w:val="16"/>
                <w:szCs w:val="16"/>
              </w:rPr>
              <w:t>rrage des</w:t>
            </w:r>
            <w:r>
              <w:rPr>
                <w:rFonts w:ascii="Arial" w:hAnsi="Arial" w:cs="Arial"/>
                <w:sz w:val="16"/>
                <w:szCs w:val="16"/>
              </w:rPr>
              <w:t xml:space="preserve"> activités</w:t>
            </w:r>
          </w:p>
        </w:tc>
        <w:tc>
          <w:tcPr>
            <w:tcW w:w="697" w:type="pct"/>
          </w:tcPr>
          <w:p w14:paraId="30238531" w14:textId="623FDF2F" w:rsidR="002A3743" w:rsidRPr="001B58C0" w:rsidRDefault="002A3743" w:rsidP="0039148A">
            <w:pPr>
              <w:jc w:val="center"/>
              <w:rPr>
                <w:rFonts w:ascii="Arial" w:hAnsi="Arial" w:cs="Arial"/>
                <w:sz w:val="16"/>
                <w:szCs w:val="16"/>
              </w:rPr>
            </w:pPr>
            <w:r w:rsidRPr="00141BB5">
              <w:rPr>
                <w:rFonts w:ascii="Arial" w:hAnsi="Arial" w:cs="Arial"/>
                <w:sz w:val="16"/>
                <w:szCs w:val="16"/>
              </w:rPr>
              <w:t>UGP Projet et Partenaires</w:t>
            </w:r>
          </w:p>
        </w:tc>
      </w:tr>
      <w:tr w:rsidR="002A3743" w:rsidRPr="001B58C0" w14:paraId="084D52F1" w14:textId="77777777" w:rsidTr="002D555B">
        <w:tc>
          <w:tcPr>
            <w:tcW w:w="317" w:type="pct"/>
            <w:vAlign w:val="center"/>
          </w:tcPr>
          <w:p w14:paraId="05F209E8" w14:textId="77777777" w:rsidR="002A3743" w:rsidRPr="001B58C0" w:rsidRDefault="002A3743" w:rsidP="002A3743">
            <w:pPr>
              <w:jc w:val="center"/>
              <w:rPr>
                <w:rFonts w:ascii="Arial" w:hAnsi="Arial" w:cs="Arial"/>
                <w:sz w:val="16"/>
                <w:szCs w:val="16"/>
              </w:rPr>
            </w:pPr>
            <w:r w:rsidRPr="001B58C0">
              <w:rPr>
                <w:rFonts w:ascii="Arial" w:hAnsi="Arial" w:cs="Arial"/>
                <w:sz w:val="16"/>
                <w:szCs w:val="16"/>
              </w:rPr>
              <w:t>1.10</w:t>
            </w:r>
          </w:p>
        </w:tc>
        <w:tc>
          <w:tcPr>
            <w:tcW w:w="1585" w:type="pct"/>
            <w:vAlign w:val="center"/>
          </w:tcPr>
          <w:p w14:paraId="3172C227" w14:textId="77777777" w:rsidR="002A3743" w:rsidRPr="001B58C0" w:rsidRDefault="002A3743" w:rsidP="002A3743">
            <w:pPr>
              <w:jc w:val="both"/>
              <w:rPr>
                <w:rFonts w:ascii="Arial" w:hAnsi="Arial" w:cs="Arial"/>
                <w:b/>
                <w:sz w:val="16"/>
                <w:szCs w:val="16"/>
              </w:rPr>
            </w:pPr>
            <w:r w:rsidRPr="001B58C0">
              <w:rPr>
                <w:rFonts w:ascii="Arial" w:hAnsi="Arial" w:cs="Arial"/>
                <w:sz w:val="16"/>
                <w:szCs w:val="16"/>
              </w:rPr>
              <w:t>Interdire le déversement de déchets dans les plans d'eau et le dépôt de détritus en général</w:t>
            </w:r>
            <w:r w:rsidRPr="001B58C0">
              <w:rPr>
                <w:rFonts w:ascii="Arial" w:hAnsi="Arial" w:cs="Arial"/>
                <w:b/>
                <w:sz w:val="16"/>
                <w:szCs w:val="16"/>
              </w:rPr>
              <w:t>.</w:t>
            </w:r>
          </w:p>
        </w:tc>
        <w:tc>
          <w:tcPr>
            <w:tcW w:w="742" w:type="pct"/>
            <w:vAlign w:val="center"/>
          </w:tcPr>
          <w:p w14:paraId="1A8F26D7" w14:textId="77777777" w:rsidR="002A3743" w:rsidRPr="001B58C0" w:rsidRDefault="002A3743" w:rsidP="002A3743">
            <w:pPr>
              <w:jc w:val="both"/>
              <w:rPr>
                <w:rFonts w:ascii="Arial" w:hAnsi="Arial" w:cs="Arial"/>
                <w:sz w:val="16"/>
                <w:szCs w:val="16"/>
              </w:rPr>
            </w:pPr>
            <w:r w:rsidRPr="001B58C0">
              <w:rPr>
                <w:rFonts w:ascii="Arial" w:hAnsi="Arial" w:cs="Arial"/>
                <w:sz w:val="16"/>
                <w:szCs w:val="16"/>
              </w:rPr>
              <w:t>Aucune trace de déchets déversés dans les plans d'eau</w:t>
            </w:r>
          </w:p>
        </w:tc>
        <w:tc>
          <w:tcPr>
            <w:tcW w:w="918" w:type="pct"/>
            <w:vAlign w:val="center"/>
          </w:tcPr>
          <w:p w14:paraId="00D1C353" w14:textId="77777777" w:rsidR="002A3743" w:rsidRPr="001B58C0" w:rsidRDefault="002A3743" w:rsidP="002A3743">
            <w:pPr>
              <w:jc w:val="center"/>
              <w:rPr>
                <w:rFonts w:ascii="Arial" w:hAnsi="Arial" w:cs="Arial"/>
                <w:sz w:val="16"/>
                <w:szCs w:val="16"/>
              </w:rPr>
            </w:pPr>
            <w:r w:rsidRPr="001B58C0">
              <w:rPr>
                <w:rFonts w:ascii="Arial" w:hAnsi="Arial" w:cs="Arial"/>
                <w:sz w:val="16"/>
                <w:szCs w:val="16"/>
              </w:rPr>
              <w:t>Registres des déchets/</w:t>
            </w:r>
          </w:p>
          <w:p w14:paraId="0A3F09FE" w14:textId="77777777" w:rsidR="002A3743" w:rsidRPr="001B58C0" w:rsidRDefault="002A3743" w:rsidP="002A3743">
            <w:pPr>
              <w:jc w:val="center"/>
              <w:rPr>
                <w:rFonts w:ascii="Arial" w:hAnsi="Arial" w:cs="Arial"/>
                <w:sz w:val="16"/>
                <w:szCs w:val="16"/>
              </w:rPr>
            </w:pPr>
            <w:r w:rsidRPr="001B58C0">
              <w:rPr>
                <w:rFonts w:ascii="Arial" w:hAnsi="Arial" w:cs="Arial"/>
                <w:sz w:val="16"/>
                <w:szCs w:val="16"/>
              </w:rPr>
              <w:t>Rapports d'étape</w:t>
            </w:r>
          </w:p>
        </w:tc>
        <w:tc>
          <w:tcPr>
            <w:tcW w:w="741" w:type="pct"/>
            <w:vAlign w:val="center"/>
          </w:tcPr>
          <w:p w14:paraId="2F6F09A7" w14:textId="77777777" w:rsidR="002A3743" w:rsidRPr="001B58C0" w:rsidRDefault="002A3743" w:rsidP="002A3743">
            <w:pPr>
              <w:jc w:val="center"/>
              <w:rPr>
                <w:rFonts w:ascii="Arial" w:hAnsi="Arial" w:cs="Arial"/>
                <w:sz w:val="16"/>
                <w:szCs w:val="16"/>
              </w:rPr>
            </w:pPr>
          </w:p>
          <w:p w14:paraId="51D2095F" w14:textId="7D1A6001" w:rsidR="002A3743" w:rsidRPr="001B58C0" w:rsidRDefault="002A3743" w:rsidP="002A3743">
            <w:pPr>
              <w:jc w:val="center"/>
              <w:rPr>
                <w:rFonts w:ascii="Arial" w:hAnsi="Arial" w:cs="Arial"/>
                <w:sz w:val="16"/>
                <w:szCs w:val="16"/>
              </w:rPr>
            </w:pPr>
            <w:r w:rsidRPr="001B58C0">
              <w:rPr>
                <w:rFonts w:ascii="Arial" w:hAnsi="Arial" w:cs="Arial"/>
                <w:sz w:val="16"/>
                <w:szCs w:val="16"/>
              </w:rPr>
              <w:t>Continu</w:t>
            </w:r>
          </w:p>
        </w:tc>
        <w:tc>
          <w:tcPr>
            <w:tcW w:w="697" w:type="pct"/>
          </w:tcPr>
          <w:p w14:paraId="01BE5E77" w14:textId="155DA767" w:rsidR="002A3743" w:rsidRPr="001B58C0" w:rsidRDefault="002A3743" w:rsidP="0039148A">
            <w:pPr>
              <w:jc w:val="center"/>
              <w:rPr>
                <w:rFonts w:ascii="Arial" w:hAnsi="Arial" w:cs="Arial"/>
                <w:sz w:val="16"/>
                <w:szCs w:val="16"/>
              </w:rPr>
            </w:pPr>
            <w:r w:rsidRPr="00141BB5">
              <w:rPr>
                <w:rFonts w:ascii="Arial" w:hAnsi="Arial" w:cs="Arial"/>
                <w:sz w:val="16"/>
                <w:szCs w:val="16"/>
              </w:rPr>
              <w:t>UGP Projet et Partenaires</w:t>
            </w:r>
          </w:p>
        </w:tc>
      </w:tr>
      <w:tr w:rsidR="004F1D8F" w:rsidRPr="001B58C0" w14:paraId="4613D1A8" w14:textId="77777777" w:rsidTr="004F1D8F">
        <w:tc>
          <w:tcPr>
            <w:tcW w:w="317" w:type="pct"/>
            <w:vAlign w:val="center"/>
          </w:tcPr>
          <w:p w14:paraId="1973A0B9" w14:textId="77777777" w:rsidR="004F1D8F" w:rsidRPr="001B58C0" w:rsidRDefault="004F1D8F" w:rsidP="00205F40">
            <w:pPr>
              <w:jc w:val="center"/>
              <w:rPr>
                <w:rFonts w:ascii="Arial" w:hAnsi="Arial" w:cs="Arial"/>
                <w:sz w:val="16"/>
                <w:szCs w:val="16"/>
              </w:rPr>
            </w:pPr>
            <w:r w:rsidRPr="001B58C0">
              <w:rPr>
                <w:rFonts w:ascii="Arial" w:hAnsi="Arial" w:cs="Arial"/>
                <w:sz w:val="16"/>
                <w:szCs w:val="16"/>
              </w:rPr>
              <w:t>1.121</w:t>
            </w:r>
          </w:p>
        </w:tc>
        <w:tc>
          <w:tcPr>
            <w:tcW w:w="1585" w:type="pct"/>
            <w:vAlign w:val="center"/>
          </w:tcPr>
          <w:p w14:paraId="03E9A364" w14:textId="77777777" w:rsidR="004F1D8F" w:rsidRPr="001B58C0" w:rsidRDefault="004F1D8F" w:rsidP="00DD3BBD">
            <w:pPr>
              <w:jc w:val="both"/>
              <w:rPr>
                <w:rFonts w:ascii="Arial" w:hAnsi="Arial" w:cs="Arial"/>
                <w:sz w:val="16"/>
                <w:szCs w:val="16"/>
              </w:rPr>
            </w:pPr>
            <w:r w:rsidRPr="001B58C0">
              <w:rPr>
                <w:rFonts w:ascii="Arial" w:hAnsi="Arial" w:cs="Arial"/>
                <w:sz w:val="16"/>
                <w:szCs w:val="16"/>
              </w:rPr>
              <w:t>D'autres options d'élimination seront évaluées en fonction de la situation pendant la phase de construction et/ou au démarrage des travaux.</w:t>
            </w:r>
          </w:p>
        </w:tc>
        <w:tc>
          <w:tcPr>
            <w:tcW w:w="742" w:type="pct"/>
            <w:vAlign w:val="center"/>
          </w:tcPr>
          <w:p w14:paraId="352DE010" w14:textId="77777777" w:rsidR="004F1D8F" w:rsidRPr="001B58C0" w:rsidRDefault="004F1D8F" w:rsidP="00DD3BBD">
            <w:pPr>
              <w:jc w:val="both"/>
              <w:rPr>
                <w:rFonts w:ascii="Arial" w:hAnsi="Arial" w:cs="Arial"/>
                <w:sz w:val="16"/>
                <w:szCs w:val="16"/>
              </w:rPr>
            </w:pPr>
            <w:r w:rsidRPr="001B58C0">
              <w:rPr>
                <w:rFonts w:ascii="Arial" w:hAnsi="Arial" w:cs="Arial"/>
                <w:sz w:val="16"/>
                <w:szCs w:val="16"/>
              </w:rPr>
              <w:t>Identification d'autres méthodes d'élimination.</w:t>
            </w:r>
          </w:p>
          <w:p w14:paraId="3BF98A26" w14:textId="77777777" w:rsidR="004F1D8F" w:rsidRPr="001B58C0" w:rsidRDefault="004F1D8F" w:rsidP="00DD3BBD">
            <w:pPr>
              <w:jc w:val="both"/>
              <w:rPr>
                <w:rFonts w:ascii="Arial" w:hAnsi="Arial" w:cs="Arial"/>
                <w:sz w:val="16"/>
                <w:szCs w:val="16"/>
              </w:rPr>
            </w:pPr>
          </w:p>
        </w:tc>
        <w:tc>
          <w:tcPr>
            <w:tcW w:w="918" w:type="pct"/>
            <w:vAlign w:val="center"/>
          </w:tcPr>
          <w:p w14:paraId="6F35A074" w14:textId="77777777" w:rsidR="004F1D8F" w:rsidRPr="001B58C0" w:rsidRDefault="004F1D8F" w:rsidP="00E02A43">
            <w:pPr>
              <w:jc w:val="center"/>
              <w:rPr>
                <w:rFonts w:ascii="Arial" w:hAnsi="Arial" w:cs="Arial"/>
                <w:sz w:val="16"/>
                <w:szCs w:val="16"/>
              </w:rPr>
            </w:pPr>
            <w:r w:rsidRPr="001B58C0">
              <w:rPr>
                <w:rFonts w:ascii="Arial" w:hAnsi="Arial" w:cs="Arial"/>
                <w:sz w:val="16"/>
                <w:szCs w:val="16"/>
              </w:rPr>
              <w:t>Rapports d'étape</w:t>
            </w:r>
          </w:p>
        </w:tc>
        <w:tc>
          <w:tcPr>
            <w:tcW w:w="741" w:type="pct"/>
            <w:vAlign w:val="center"/>
          </w:tcPr>
          <w:p w14:paraId="77597B5F" w14:textId="77777777" w:rsidR="004F1D8F" w:rsidRPr="001B58C0" w:rsidRDefault="004F1D8F" w:rsidP="00167D9C">
            <w:pPr>
              <w:jc w:val="center"/>
              <w:rPr>
                <w:rFonts w:ascii="Arial" w:hAnsi="Arial" w:cs="Arial"/>
                <w:sz w:val="16"/>
                <w:szCs w:val="16"/>
              </w:rPr>
            </w:pPr>
          </w:p>
          <w:p w14:paraId="3EDEE7D1" w14:textId="77E20CEE" w:rsidR="004F1D8F" w:rsidRPr="001B58C0" w:rsidRDefault="004F1D8F" w:rsidP="00167D9C">
            <w:pPr>
              <w:jc w:val="center"/>
              <w:rPr>
                <w:rFonts w:ascii="Arial" w:hAnsi="Arial" w:cs="Arial"/>
                <w:sz w:val="16"/>
                <w:szCs w:val="16"/>
              </w:rPr>
            </w:pPr>
            <w:r w:rsidRPr="001B58C0">
              <w:rPr>
                <w:rFonts w:ascii="Arial" w:hAnsi="Arial" w:cs="Arial"/>
                <w:sz w:val="16"/>
                <w:szCs w:val="16"/>
              </w:rPr>
              <w:t>Continu</w:t>
            </w:r>
          </w:p>
        </w:tc>
        <w:tc>
          <w:tcPr>
            <w:tcW w:w="697" w:type="pct"/>
            <w:vAlign w:val="center"/>
          </w:tcPr>
          <w:p w14:paraId="087023F5" w14:textId="2B2C10B8" w:rsidR="004F1D8F" w:rsidRPr="001B58C0" w:rsidRDefault="002A3743" w:rsidP="002A3743">
            <w:pPr>
              <w:jc w:val="center"/>
              <w:rPr>
                <w:rFonts w:ascii="Arial" w:hAnsi="Arial" w:cs="Arial"/>
                <w:sz w:val="16"/>
                <w:szCs w:val="16"/>
              </w:rPr>
            </w:pPr>
            <w:r w:rsidRPr="006F3385">
              <w:rPr>
                <w:rFonts w:ascii="Arial" w:hAnsi="Arial" w:cs="Arial"/>
                <w:sz w:val="16"/>
                <w:szCs w:val="16"/>
              </w:rPr>
              <w:t>UGP</w:t>
            </w:r>
            <w:r>
              <w:rPr>
                <w:rFonts w:ascii="Arial" w:hAnsi="Arial" w:cs="Arial"/>
                <w:sz w:val="16"/>
                <w:szCs w:val="16"/>
              </w:rPr>
              <w:t xml:space="preserve"> Projet</w:t>
            </w:r>
            <w:r w:rsidRPr="001B58C0">
              <w:rPr>
                <w:rFonts w:ascii="Arial" w:hAnsi="Arial" w:cs="Arial"/>
                <w:sz w:val="16"/>
                <w:szCs w:val="16"/>
              </w:rPr>
              <w:t xml:space="preserve"> </w:t>
            </w:r>
            <w:r>
              <w:rPr>
                <w:rFonts w:ascii="Arial" w:hAnsi="Arial" w:cs="Arial"/>
                <w:sz w:val="16"/>
                <w:szCs w:val="16"/>
              </w:rPr>
              <w:t xml:space="preserve">et </w:t>
            </w:r>
            <w:r w:rsidR="004F1D8F" w:rsidRPr="001B58C0">
              <w:rPr>
                <w:rFonts w:ascii="Arial" w:hAnsi="Arial" w:cs="Arial"/>
                <w:sz w:val="16"/>
                <w:szCs w:val="16"/>
              </w:rPr>
              <w:t>Partenaire</w:t>
            </w:r>
            <w:r>
              <w:rPr>
                <w:rFonts w:ascii="Arial" w:hAnsi="Arial" w:cs="Arial"/>
                <w:sz w:val="16"/>
                <w:szCs w:val="16"/>
              </w:rPr>
              <w:t>s</w:t>
            </w:r>
          </w:p>
        </w:tc>
      </w:tr>
    </w:tbl>
    <w:p w14:paraId="0A31CED7" w14:textId="77777777" w:rsidR="00AC2241" w:rsidRDefault="00AC2241" w:rsidP="00AC2241">
      <w:pPr>
        <w:pStyle w:val="ListParagraph"/>
        <w:spacing w:before="240" w:after="240" w:line="240" w:lineRule="auto"/>
        <w:contextualSpacing w:val="0"/>
        <w:jc w:val="both"/>
        <w:rPr>
          <w:rFonts w:ascii="Arial" w:hAnsi="Arial" w:cs="Arial"/>
          <w:b/>
        </w:rPr>
      </w:pPr>
    </w:p>
    <w:p w14:paraId="33D8D104" w14:textId="77777777" w:rsidR="00AC2241" w:rsidRPr="00A24BF5" w:rsidRDefault="00AC2241">
      <w:pPr>
        <w:rPr>
          <w:rFonts w:ascii="Arial" w:eastAsia="Calibri" w:hAnsi="Arial" w:cs="Arial"/>
          <w:b/>
        </w:rPr>
      </w:pPr>
      <w:r>
        <w:rPr>
          <w:rFonts w:ascii="Arial" w:hAnsi="Arial" w:cs="Arial"/>
          <w:b/>
        </w:rPr>
        <w:lastRenderedPageBreak/>
        <w:br w:type="page"/>
      </w:r>
    </w:p>
    <w:p w14:paraId="1FD76829" w14:textId="77777777" w:rsidR="00AC2241" w:rsidRDefault="00AC2241" w:rsidP="00214DCC">
      <w:pPr>
        <w:pStyle w:val="ListParagraph"/>
        <w:numPr>
          <w:ilvl w:val="0"/>
          <w:numId w:val="168"/>
        </w:numPr>
        <w:spacing w:before="240" w:after="240" w:line="240" w:lineRule="auto"/>
        <w:contextualSpacing w:val="0"/>
        <w:jc w:val="both"/>
        <w:rPr>
          <w:rFonts w:ascii="Arial" w:hAnsi="Arial" w:cs="Arial"/>
          <w:b/>
        </w:rPr>
        <w:sectPr w:rsidR="00AC2241" w:rsidSect="00AC2241">
          <w:pgSz w:w="15840" w:h="12240" w:orient="landscape"/>
          <w:pgMar w:top="1440" w:right="1440" w:bottom="1440" w:left="1440" w:header="720" w:footer="720" w:gutter="0"/>
          <w:cols w:space="720"/>
          <w:docGrid w:linePitch="360"/>
        </w:sectPr>
      </w:pPr>
    </w:p>
    <w:p w14:paraId="74BA9A5A" w14:textId="3E22FBEC" w:rsidR="00DD3BBD" w:rsidRPr="00FC24C9" w:rsidRDefault="00017A85" w:rsidP="00214DCC">
      <w:pPr>
        <w:pStyle w:val="ListParagraph"/>
        <w:numPr>
          <w:ilvl w:val="0"/>
          <w:numId w:val="168"/>
        </w:numPr>
        <w:spacing w:before="240" w:after="240" w:line="240" w:lineRule="auto"/>
        <w:contextualSpacing w:val="0"/>
        <w:jc w:val="both"/>
        <w:rPr>
          <w:rFonts w:ascii="Arial" w:hAnsi="Arial" w:cs="Arial"/>
          <w:b/>
        </w:rPr>
      </w:pPr>
      <w:r w:rsidRPr="00B01850">
        <w:rPr>
          <w:rFonts w:ascii="Arial" w:hAnsi="Arial" w:cs="Arial"/>
          <w:b/>
        </w:rPr>
        <w:lastRenderedPageBreak/>
        <w:t>Contrôle de gestion</w:t>
      </w:r>
    </w:p>
    <w:p w14:paraId="32629F9E" w14:textId="3CB97958" w:rsidR="00DD3BBD" w:rsidRPr="00B01850" w:rsidRDefault="00DD3BBD" w:rsidP="00DD3BBD">
      <w:pPr>
        <w:spacing w:after="0" w:line="240" w:lineRule="auto"/>
        <w:jc w:val="both"/>
        <w:rPr>
          <w:rFonts w:ascii="Arial" w:eastAsia="Calibri" w:hAnsi="Arial" w:cs="Arial"/>
        </w:rPr>
      </w:pPr>
      <w:r w:rsidRPr="00B01850">
        <w:rPr>
          <w:rFonts w:ascii="Arial" w:hAnsi="Arial" w:cs="Arial"/>
          <w:bCs/>
          <w:i/>
          <w:iCs/>
        </w:rPr>
        <w:t>Inspections :</w:t>
      </w:r>
      <w:r w:rsidRPr="00B01850">
        <w:rPr>
          <w:rFonts w:ascii="Arial" w:hAnsi="Arial" w:cs="Arial"/>
          <w:b/>
          <w:bCs/>
        </w:rPr>
        <w:t xml:space="preserve"> </w:t>
      </w:r>
      <w:r w:rsidR="00017A85" w:rsidRPr="00B01850">
        <w:rPr>
          <w:rFonts w:ascii="Arial" w:hAnsi="Arial" w:cs="Arial"/>
        </w:rPr>
        <w:t xml:space="preserve"> </w:t>
      </w:r>
      <w:r w:rsidR="00434EF4">
        <w:rPr>
          <w:rFonts w:ascii="Arial" w:hAnsi="Arial" w:cs="Arial"/>
        </w:rPr>
        <w:t>d</w:t>
      </w:r>
      <w:r w:rsidR="00017A85" w:rsidRPr="00B01850">
        <w:rPr>
          <w:rFonts w:ascii="Arial" w:hAnsi="Arial" w:cs="Arial"/>
        </w:rPr>
        <w:t xml:space="preserve">es inspections </w:t>
      </w:r>
      <w:r w:rsidR="00434EF4">
        <w:rPr>
          <w:rFonts w:ascii="Arial" w:hAnsi="Arial" w:cs="Arial"/>
        </w:rPr>
        <w:t xml:space="preserve">périodiques </w:t>
      </w:r>
      <w:r w:rsidRPr="00B01850">
        <w:rPr>
          <w:rFonts w:ascii="Arial" w:eastAsia="Calibri" w:hAnsi="Arial" w:cs="Arial"/>
        </w:rPr>
        <w:t xml:space="preserve">seront effectuées par le responsable de la santé, de la sécurité </w:t>
      </w:r>
      <w:r w:rsidR="00915081">
        <w:rPr>
          <w:rFonts w:ascii="Arial" w:eastAsia="Calibri" w:hAnsi="Arial" w:cs="Arial"/>
        </w:rPr>
        <w:t>au travail de l’entreprise partenaire ou du fournisseur</w:t>
      </w:r>
      <w:r w:rsidRPr="00B01850">
        <w:rPr>
          <w:rFonts w:ascii="Arial" w:eastAsia="Calibri" w:hAnsi="Arial" w:cs="Arial"/>
        </w:rPr>
        <w:t xml:space="preserve">. </w:t>
      </w:r>
      <w:r w:rsidR="0033228F">
        <w:rPr>
          <w:rFonts w:ascii="Arial" w:eastAsia="Calibri" w:hAnsi="Arial" w:cs="Arial"/>
        </w:rPr>
        <w:t xml:space="preserve">A la suite de cette inspection, ce dernier fera l’état </w:t>
      </w:r>
      <w:r w:rsidR="00D77035">
        <w:rPr>
          <w:rFonts w:ascii="Arial" w:eastAsia="Calibri" w:hAnsi="Arial" w:cs="Arial"/>
        </w:rPr>
        <w:t xml:space="preserve">de la mise en œuvre du plan de gestion des déchets et rendra compte à la hiérarchie. En effet, cette pratique </w:t>
      </w:r>
      <w:r w:rsidR="009D48CE">
        <w:rPr>
          <w:rFonts w:ascii="Arial" w:eastAsia="Calibri" w:hAnsi="Arial" w:cs="Arial"/>
        </w:rPr>
        <w:t xml:space="preserve">permet </w:t>
      </w:r>
      <w:r w:rsidRPr="00B01850">
        <w:rPr>
          <w:rFonts w:ascii="Arial" w:eastAsia="Calibri" w:hAnsi="Arial" w:cs="Arial"/>
        </w:rPr>
        <w:t xml:space="preserve">de s'assurer que tous les engagements pris dans </w:t>
      </w:r>
      <w:r w:rsidR="00070CA9">
        <w:rPr>
          <w:rFonts w:ascii="Arial" w:eastAsia="Calibri" w:hAnsi="Arial" w:cs="Arial"/>
        </w:rPr>
        <w:t xml:space="preserve">le </w:t>
      </w:r>
      <w:r w:rsidRPr="00B01850">
        <w:rPr>
          <w:rFonts w:ascii="Arial" w:eastAsia="Calibri" w:hAnsi="Arial" w:cs="Arial"/>
        </w:rPr>
        <w:t xml:space="preserve">plan </w:t>
      </w:r>
      <w:r w:rsidR="00070CA9">
        <w:rPr>
          <w:rFonts w:ascii="Arial" w:eastAsia="Calibri" w:hAnsi="Arial" w:cs="Arial"/>
        </w:rPr>
        <w:t>de gestion des d</w:t>
      </w:r>
      <w:r w:rsidR="00070CA9" w:rsidRPr="00070CA9">
        <w:rPr>
          <w:rFonts w:ascii="Arial" w:eastAsia="Calibri" w:hAnsi="Arial" w:cs="Arial"/>
        </w:rPr>
        <w:t>é</w:t>
      </w:r>
      <w:r w:rsidR="00070CA9">
        <w:rPr>
          <w:rFonts w:ascii="Arial" w:eastAsia="Calibri" w:hAnsi="Arial" w:cs="Arial"/>
        </w:rPr>
        <w:t xml:space="preserve">chets </w:t>
      </w:r>
      <w:r w:rsidRPr="00B01850">
        <w:rPr>
          <w:rFonts w:ascii="Arial" w:eastAsia="Calibri" w:hAnsi="Arial" w:cs="Arial"/>
        </w:rPr>
        <w:t xml:space="preserve">sont respectés </w:t>
      </w:r>
      <w:r w:rsidR="00B632F7">
        <w:rPr>
          <w:rFonts w:ascii="Arial" w:eastAsia="Calibri" w:hAnsi="Arial" w:cs="Arial"/>
        </w:rPr>
        <w:t>à travers une vérification stricte sur le terrain.</w:t>
      </w:r>
    </w:p>
    <w:p w14:paraId="5F40257C" w14:textId="4A543F3F" w:rsidR="00DD3BBD" w:rsidRPr="00B01850" w:rsidRDefault="00DD3BBD" w:rsidP="00FC24C9">
      <w:pPr>
        <w:spacing w:before="120" w:after="0" w:line="240" w:lineRule="auto"/>
        <w:jc w:val="both"/>
        <w:rPr>
          <w:rFonts w:ascii="Arial" w:hAnsi="Arial" w:cs="Arial"/>
        </w:rPr>
      </w:pPr>
      <w:r w:rsidRPr="00B01850">
        <w:rPr>
          <w:rFonts w:ascii="Arial" w:hAnsi="Arial" w:cs="Arial"/>
          <w:bCs/>
          <w:i/>
        </w:rPr>
        <w:t>Collecte des données</w:t>
      </w:r>
      <w:r w:rsidR="00017A85" w:rsidRPr="00B01850">
        <w:rPr>
          <w:rFonts w:ascii="Arial" w:hAnsi="Arial" w:cs="Arial"/>
          <w:i/>
        </w:rPr>
        <w:t xml:space="preserve"> :</w:t>
      </w:r>
      <w:r w:rsidR="00017A85" w:rsidRPr="00B01850">
        <w:rPr>
          <w:rFonts w:ascii="Arial" w:hAnsi="Arial" w:cs="Arial"/>
        </w:rPr>
        <w:t xml:space="preserve"> </w:t>
      </w:r>
      <w:r w:rsidR="003018E8">
        <w:rPr>
          <w:rFonts w:ascii="Arial" w:hAnsi="Arial" w:cs="Arial"/>
        </w:rPr>
        <w:t>les spécialistes devront tenir u</w:t>
      </w:r>
      <w:r w:rsidRPr="00B01850">
        <w:rPr>
          <w:rFonts w:ascii="Arial" w:eastAsia="Calibri" w:hAnsi="Arial" w:cs="Arial"/>
        </w:rPr>
        <w:t xml:space="preserve">n registre des déchets </w:t>
      </w:r>
      <w:r w:rsidR="00FF72DC">
        <w:rPr>
          <w:rFonts w:ascii="Arial" w:eastAsia="Calibri" w:hAnsi="Arial" w:cs="Arial"/>
        </w:rPr>
        <w:t xml:space="preserve">pour </w:t>
      </w:r>
      <w:r w:rsidRPr="00B01850">
        <w:rPr>
          <w:rFonts w:ascii="Arial" w:eastAsia="Calibri" w:hAnsi="Arial" w:cs="Arial"/>
        </w:rPr>
        <w:t>assurer la mesure des déchets éliminés et des matières résiduelles destinées à la réutilisation</w:t>
      </w:r>
      <w:r w:rsidR="003E1E97">
        <w:rPr>
          <w:rFonts w:ascii="Arial" w:eastAsia="Calibri" w:hAnsi="Arial" w:cs="Arial"/>
        </w:rPr>
        <w:t xml:space="preserve"> et </w:t>
      </w:r>
      <w:r w:rsidRPr="00B01850">
        <w:rPr>
          <w:rFonts w:ascii="Arial" w:eastAsia="Calibri" w:hAnsi="Arial" w:cs="Arial"/>
        </w:rPr>
        <w:t>au recyclage.</w:t>
      </w:r>
    </w:p>
    <w:p w14:paraId="5F14BF37" w14:textId="7A5EEA5A" w:rsidR="00DD3BBD" w:rsidRPr="00B01850" w:rsidRDefault="00DD3BBD" w:rsidP="00FC24C9">
      <w:pPr>
        <w:spacing w:before="120" w:after="0" w:line="240" w:lineRule="auto"/>
        <w:jc w:val="both"/>
        <w:rPr>
          <w:rFonts w:ascii="Arial" w:eastAsia="Calibri" w:hAnsi="Arial" w:cs="Arial"/>
        </w:rPr>
      </w:pPr>
      <w:r w:rsidRPr="001415C5">
        <w:rPr>
          <w:rFonts w:ascii="Arial" w:hAnsi="Arial" w:cs="Arial"/>
          <w:i/>
          <w:iCs/>
        </w:rPr>
        <w:t xml:space="preserve">Audit </w:t>
      </w:r>
      <w:r w:rsidR="00017A85" w:rsidRPr="001415C5">
        <w:rPr>
          <w:rFonts w:ascii="Arial" w:hAnsi="Arial" w:cs="Arial"/>
          <w:i/>
          <w:iCs/>
        </w:rPr>
        <w:t>:</w:t>
      </w:r>
      <w:r w:rsidR="00017A85" w:rsidRPr="00B01850">
        <w:rPr>
          <w:rFonts w:ascii="Arial" w:hAnsi="Arial" w:cs="Arial"/>
        </w:rPr>
        <w:t xml:space="preserve"> </w:t>
      </w:r>
      <w:r w:rsidRPr="00B01850">
        <w:rPr>
          <w:rFonts w:ascii="Arial" w:eastAsia="Calibri" w:hAnsi="Arial" w:cs="Arial"/>
        </w:rPr>
        <w:t>Six mois après l</w:t>
      </w:r>
      <w:r w:rsidR="003E1E97">
        <w:rPr>
          <w:rFonts w:ascii="Arial" w:eastAsia="Calibri" w:hAnsi="Arial" w:cs="Arial"/>
        </w:rPr>
        <w:t>’activation du CERP</w:t>
      </w:r>
      <w:r w:rsidRPr="00B01850">
        <w:rPr>
          <w:rFonts w:ascii="Arial" w:eastAsia="Calibri" w:hAnsi="Arial" w:cs="Arial"/>
        </w:rPr>
        <w:t xml:space="preserve">, un audit de la gestion des déchets devrait être effectué sur </w:t>
      </w:r>
      <w:r w:rsidR="003E1E97">
        <w:rPr>
          <w:rFonts w:ascii="Arial" w:eastAsia="Calibri" w:hAnsi="Arial" w:cs="Arial"/>
        </w:rPr>
        <w:t>l’ensemble des sites d’intervention du projet.</w:t>
      </w:r>
    </w:p>
    <w:p w14:paraId="0CC33982" w14:textId="70331EE1" w:rsidR="00DD3BBD" w:rsidRPr="00B01850" w:rsidRDefault="00DD3BBD" w:rsidP="00FC24C9">
      <w:pPr>
        <w:spacing w:before="120" w:after="0" w:line="240" w:lineRule="auto"/>
        <w:jc w:val="both"/>
        <w:rPr>
          <w:rFonts w:ascii="Arial" w:eastAsia="Calibri" w:hAnsi="Arial" w:cs="Arial"/>
        </w:rPr>
      </w:pPr>
      <w:r w:rsidRPr="00B01850">
        <w:rPr>
          <w:rFonts w:ascii="Arial" w:hAnsi="Arial" w:cs="Arial"/>
          <w:i/>
          <w:iCs/>
        </w:rPr>
        <w:t xml:space="preserve">Responsabilités </w:t>
      </w:r>
      <w:r w:rsidR="00017A85" w:rsidRPr="00B01850">
        <w:rPr>
          <w:rFonts w:ascii="Arial" w:hAnsi="Arial" w:cs="Arial"/>
        </w:rPr>
        <w:t xml:space="preserve">: </w:t>
      </w:r>
      <w:r w:rsidRPr="00B01850">
        <w:rPr>
          <w:rFonts w:ascii="Arial" w:eastAsia="Calibri" w:hAnsi="Arial" w:cs="Arial"/>
        </w:rPr>
        <w:t>Les rôles et responsabilités inhérents à ce plan de gestion des déchets sont les suivants :</w:t>
      </w:r>
    </w:p>
    <w:p w14:paraId="0E48AB2B" w14:textId="5A662BE8" w:rsidR="00017A85" w:rsidRPr="00B01850" w:rsidRDefault="00017A85" w:rsidP="00214DCC">
      <w:pPr>
        <w:pStyle w:val="Caption"/>
        <w:numPr>
          <w:ilvl w:val="0"/>
          <w:numId w:val="161"/>
        </w:numPr>
        <w:spacing w:after="0"/>
        <w:rPr>
          <w:rFonts w:ascii="Arial" w:hAnsi="Arial" w:cs="Arial"/>
          <w:i w:val="0"/>
          <w:iCs w:val="0"/>
          <w:color w:val="auto"/>
          <w:sz w:val="22"/>
          <w:szCs w:val="22"/>
        </w:rPr>
      </w:pPr>
      <w:bookmarkStart w:id="240" w:name="_Toc178919551"/>
      <w:bookmarkStart w:id="241" w:name="_Toc178919713"/>
      <w:proofErr w:type="gramStart"/>
      <w:r w:rsidRPr="00B01850">
        <w:rPr>
          <w:rFonts w:ascii="Arial" w:hAnsi="Arial" w:cs="Arial"/>
          <w:i w:val="0"/>
          <w:iCs w:val="0"/>
          <w:color w:val="auto"/>
          <w:sz w:val="22"/>
          <w:szCs w:val="22"/>
        </w:rPr>
        <w:t>Table</w:t>
      </w:r>
      <w:r w:rsidR="00474DCF" w:rsidRPr="00B01850">
        <w:rPr>
          <w:rFonts w:ascii="Arial" w:hAnsi="Arial" w:cs="Arial"/>
          <w:i w:val="0"/>
          <w:iCs w:val="0"/>
          <w:color w:val="auto"/>
          <w:sz w:val="22"/>
          <w:szCs w:val="22"/>
        </w:rPr>
        <w:t>….</w:t>
      </w:r>
      <w:proofErr w:type="gramEnd"/>
      <w:r w:rsidR="00474DCF" w:rsidRPr="00B01850">
        <w:rPr>
          <w:rFonts w:ascii="Arial" w:hAnsi="Arial" w:cs="Arial"/>
          <w:i w:val="0"/>
          <w:iCs w:val="0"/>
          <w:color w:val="auto"/>
          <w:sz w:val="22"/>
          <w:szCs w:val="22"/>
        </w:rPr>
        <w:t>. :</w:t>
      </w:r>
      <w:r w:rsidRPr="00B01850">
        <w:rPr>
          <w:rFonts w:ascii="Arial" w:hAnsi="Arial" w:cs="Arial"/>
          <w:i w:val="0"/>
          <w:iCs w:val="0"/>
          <w:color w:val="auto"/>
          <w:sz w:val="22"/>
          <w:szCs w:val="22"/>
        </w:rPr>
        <w:t xml:space="preserve"> Rôles et responsabilités</w:t>
      </w:r>
      <w:bookmarkEnd w:id="240"/>
      <w:bookmarkEnd w:id="241"/>
    </w:p>
    <w:tbl>
      <w:tblPr>
        <w:tblStyle w:val="TableGrid11"/>
        <w:tblW w:w="0" w:type="auto"/>
        <w:tblLook w:val="04A0" w:firstRow="1" w:lastRow="0" w:firstColumn="1" w:lastColumn="0" w:noHBand="0" w:noVBand="1"/>
      </w:tblPr>
      <w:tblGrid>
        <w:gridCol w:w="2419"/>
        <w:gridCol w:w="6931"/>
      </w:tblGrid>
      <w:tr w:rsidR="00DD3BBD" w:rsidRPr="00B01850" w14:paraId="5ECB0E27" w14:textId="77777777" w:rsidTr="00112B14">
        <w:trPr>
          <w:trHeight w:val="432"/>
        </w:trPr>
        <w:tc>
          <w:tcPr>
            <w:tcW w:w="2419" w:type="dxa"/>
            <w:shd w:val="clear" w:color="auto" w:fill="FDE9D9" w:themeFill="accent6" w:themeFillTint="33"/>
            <w:vAlign w:val="center"/>
          </w:tcPr>
          <w:p w14:paraId="3881E1AE" w14:textId="1FA20962" w:rsidR="00DD3BBD" w:rsidRPr="00B01850" w:rsidRDefault="00112B14" w:rsidP="00112B14">
            <w:pPr>
              <w:jc w:val="center"/>
              <w:rPr>
                <w:rFonts w:ascii="Arial" w:hAnsi="Arial" w:cs="Arial"/>
                <w:bCs/>
                <w:i/>
                <w:iCs/>
              </w:rPr>
            </w:pPr>
            <w:r w:rsidRPr="00B01850">
              <w:rPr>
                <w:rFonts w:ascii="Arial" w:hAnsi="Arial" w:cs="Arial"/>
                <w:bCs/>
                <w:i/>
                <w:iCs/>
              </w:rPr>
              <w:t>Entité</w:t>
            </w:r>
          </w:p>
        </w:tc>
        <w:tc>
          <w:tcPr>
            <w:tcW w:w="6931" w:type="dxa"/>
            <w:shd w:val="clear" w:color="auto" w:fill="FDE9D9" w:themeFill="accent6" w:themeFillTint="33"/>
            <w:vAlign w:val="center"/>
          </w:tcPr>
          <w:p w14:paraId="69BBA58D" w14:textId="340B67FF" w:rsidR="00DD3BBD" w:rsidRPr="00B01850" w:rsidRDefault="00112B14" w:rsidP="00B01850">
            <w:pPr>
              <w:jc w:val="center"/>
              <w:rPr>
                <w:rFonts w:ascii="Arial" w:hAnsi="Arial" w:cs="Arial"/>
                <w:bCs/>
                <w:i/>
                <w:iCs/>
              </w:rPr>
            </w:pPr>
            <w:r w:rsidRPr="00B01850">
              <w:rPr>
                <w:rFonts w:ascii="Arial" w:hAnsi="Arial" w:cs="Arial"/>
                <w:bCs/>
                <w:i/>
                <w:iCs/>
              </w:rPr>
              <w:t>Responsabilité</w:t>
            </w:r>
          </w:p>
        </w:tc>
      </w:tr>
      <w:tr w:rsidR="00DD3BBD" w:rsidRPr="00B01850" w14:paraId="55354140" w14:textId="77777777" w:rsidTr="00112B14">
        <w:tc>
          <w:tcPr>
            <w:tcW w:w="2419" w:type="dxa"/>
            <w:vAlign w:val="center"/>
          </w:tcPr>
          <w:p w14:paraId="2EEAD8A4" w14:textId="0C3DC77D" w:rsidR="00DD3BBD" w:rsidRPr="00B01850" w:rsidRDefault="00474DCF" w:rsidP="00112B14">
            <w:pPr>
              <w:jc w:val="center"/>
              <w:rPr>
                <w:rFonts w:ascii="Arial" w:hAnsi="Arial" w:cs="Arial"/>
              </w:rPr>
            </w:pPr>
            <w:r w:rsidRPr="00B01850">
              <w:rPr>
                <w:rFonts w:ascii="Arial" w:hAnsi="Arial" w:cs="Arial"/>
              </w:rPr>
              <w:t>UGP</w:t>
            </w:r>
          </w:p>
        </w:tc>
        <w:tc>
          <w:tcPr>
            <w:tcW w:w="6931" w:type="dxa"/>
          </w:tcPr>
          <w:p w14:paraId="0285E9B1" w14:textId="42959A4C" w:rsidR="00DD3BBD" w:rsidRPr="00112B14" w:rsidRDefault="00DD3BBD" w:rsidP="00214DCC">
            <w:pPr>
              <w:pStyle w:val="ListParagraph"/>
              <w:numPr>
                <w:ilvl w:val="0"/>
                <w:numId w:val="169"/>
              </w:numPr>
              <w:ind w:left="437"/>
              <w:jc w:val="both"/>
              <w:rPr>
                <w:rFonts w:ascii="Arial" w:hAnsi="Arial" w:cs="Arial"/>
              </w:rPr>
            </w:pPr>
            <w:r w:rsidRPr="00112B14">
              <w:rPr>
                <w:rFonts w:ascii="Arial" w:hAnsi="Arial" w:cs="Arial"/>
              </w:rPr>
              <w:t>Appliquer le cadre de gestion des déchets.</w:t>
            </w:r>
          </w:p>
          <w:p w14:paraId="6662E42B" w14:textId="5CF9C85D" w:rsidR="00DD3BBD" w:rsidRPr="00112B14" w:rsidRDefault="00112B14" w:rsidP="00214DCC">
            <w:pPr>
              <w:pStyle w:val="ListParagraph"/>
              <w:numPr>
                <w:ilvl w:val="0"/>
                <w:numId w:val="169"/>
              </w:numPr>
              <w:ind w:left="437"/>
              <w:jc w:val="both"/>
              <w:rPr>
                <w:rFonts w:ascii="Arial" w:hAnsi="Arial" w:cs="Arial"/>
              </w:rPr>
            </w:pPr>
            <w:r w:rsidRPr="00112B14">
              <w:rPr>
                <w:rFonts w:ascii="Arial" w:hAnsi="Arial" w:cs="Arial"/>
              </w:rPr>
              <w:t>E</w:t>
            </w:r>
            <w:r w:rsidR="00DD3BBD" w:rsidRPr="00112B14">
              <w:rPr>
                <w:rFonts w:ascii="Arial" w:hAnsi="Arial" w:cs="Arial"/>
              </w:rPr>
              <w:t>ngage le Partenaire de mise en œuvre à respecter les exigences du présent Cadre de gestion des déchets.</w:t>
            </w:r>
          </w:p>
          <w:p w14:paraId="7AD840A7" w14:textId="77777777" w:rsidR="00DD3BBD" w:rsidRPr="00B01850" w:rsidRDefault="00DD3BBD" w:rsidP="00DD3BBD">
            <w:pPr>
              <w:jc w:val="both"/>
              <w:rPr>
                <w:rFonts w:ascii="Arial" w:hAnsi="Arial" w:cs="Arial"/>
              </w:rPr>
            </w:pPr>
          </w:p>
        </w:tc>
      </w:tr>
      <w:tr w:rsidR="00DD3BBD" w:rsidRPr="00B01850" w14:paraId="11158905" w14:textId="77777777" w:rsidTr="00112B14">
        <w:tc>
          <w:tcPr>
            <w:tcW w:w="2419" w:type="dxa"/>
            <w:vAlign w:val="center"/>
          </w:tcPr>
          <w:p w14:paraId="77151461" w14:textId="1B0FC458" w:rsidR="00DD3BBD" w:rsidRPr="00B01850" w:rsidRDefault="00017A85" w:rsidP="00112B14">
            <w:pPr>
              <w:jc w:val="center"/>
              <w:rPr>
                <w:rFonts w:ascii="Arial" w:hAnsi="Arial" w:cs="Arial"/>
              </w:rPr>
            </w:pPr>
            <w:r w:rsidRPr="00B01850">
              <w:rPr>
                <w:rFonts w:ascii="Arial" w:hAnsi="Arial" w:cs="Arial"/>
              </w:rPr>
              <w:t>Partenaire de mise en œuvre</w:t>
            </w:r>
          </w:p>
        </w:tc>
        <w:tc>
          <w:tcPr>
            <w:tcW w:w="6931" w:type="dxa"/>
          </w:tcPr>
          <w:p w14:paraId="7EBBCF29" w14:textId="77777777" w:rsidR="00DD3BBD" w:rsidRPr="00112B14" w:rsidRDefault="00DD3BBD" w:rsidP="00214DCC">
            <w:pPr>
              <w:pStyle w:val="ListParagraph"/>
              <w:numPr>
                <w:ilvl w:val="0"/>
                <w:numId w:val="170"/>
              </w:numPr>
              <w:ind w:left="437"/>
              <w:jc w:val="both"/>
              <w:rPr>
                <w:rFonts w:ascii="Arial" w:hAnsi="Arial" w:cs="Arial"/>
              </w:rPr>
            </w:pPr>
            <w:r w:rsidRPr="00112B14">
              <w:rPr>
                <w:rFonts w:ascii="Arial" w:hAnsi="Arial" w:cs="Arial"/>
              </w:rPr>
              <w:t>Employer une personne chargée de superviser les questions de gestion environnementale.</w:t>
            </w:r>
          </w:p>
          <w:p w14:paraId="060756E7" w14:textId="77777777" w:rsidR="00DD3BBD" w:rsidRPr="00112B14" w:rsidRDefault="00DD3BBD" w:rsidP="00214DCC">
            <w:pPr>
              <w:pStyle w:val="ListParagraph"/>
              <w:numPr>
                <w:ilvl w:val="0"/>
                <w:numId w:val="170"/>
              </w:numPr>
              <w:ind w:left="437"/>
              <w:jc w:val="both"/>
              <w:rPr>
                <w:rFonts w:ascii="Arial" w:hAnsi="Arial" w:cs="Arial"/>
              </w:rPr>
            </w:pPr>
            <w:r w:rsidRPr="00112B14">
              <w:rPr>
                <w:rFonts w:ascii="Arial" w:hAnsi="Arial" w:cs="Arial"/>
              </w:rPr>
              <w:t>Prévoir des poubelles pour permettre le tri des déchets.</w:t>
            </w:r>
          </w:p>
          <w:p w14:paraId="629D8AE5" w14:textId="77777777" w:rsidR="00DD3BBD" w:rsidRPr="00112B14" w:rsidRDefault="00DD3BBD" w:rsidP="00214DCC">
            <w:pPr>
              <w:pStyle w:val="ListParagraph"/>
              <w:numPr>
                <w:ilvl w:val="0"/>
                <w:numId w:val="170"/>
              </w:numPr>
              <w:ind w:left="437"/>
              <w:jc w:val="both"/>
              <w:rPr>
                <w:rFonts w:ascii="Arial" w:hAnsi="Arial" w:cs="Arial"/>
              </w:rPr>
            </w:pPr>
            <w:r w:rsidRPr="00112B14">
              <w:rPr>
                <w:rFonts w:ascii="Arial" w:hAnsi="Arial" w:cs="Arial"/>
              </w:rPr>
              <w:t>Élaborer un plan de gestion des déchets propre au site pour les activités entreprises par l'Entrepreneur.</w:t>
            </w:r>
          </w:p>
          <w:p w14:paraId="50E66F1F" w14:textId="77777777" w:rsidR="00DD3BBD" w:rsidRPr="00112B14" w:rsidRDefault="00DD3BBD" w:rsidP="00214DCC">
            <w:pPr>
              <w:pStyle w:val="ListParagraph"/>
              <w:numPr>
                <w:ilvl w:val="0"/>
                <w:numId w:val="170"/>
              </w:numPr>
              <w:ind w:left="437"/>
              <w:jc w:val="both"/>
              <w:rPr>
                <w:rFonts w:ascii="Arial" w:hAnsi="Arial" w:cs="Arial"/>
              </w:rPr>
            </w:pPr>
            <w:r w:rsidRPr="00112B14">
              <w:rPr>
                <w:rFonts w:ascii="Arial" w:hAnsi="Arial" w:cs="Arial"/>
              </w:rPr>
              <w:t>Éduquer tous les membres du personnel sur la hiérarchie des déchets.</w:t>
            </w:r>
          </w:p>
          <w:p w14:paraId="3341E2BC" w14:textId="46EC23F5" w:rsidR="00DD3BBD" w:rsidRPr="00112B14" w:rsidRDefault="00DD3BBD" w:rsidP="00214DCC">
            <w:pPr>
              <w:pStyle w:val="ListParagraph"/>
              <w:numPr>
                <w:ilvl w:val="0"/>
                <w:numId w:val="170"/>
              </w:numPr>
              <w:ind w:left="437"/>
              <w:jc w:val="both"/>
              <w:rPr>
                <w:rFonts w:ascii="Arial" w:hAnsi="Arial" w:cs="Arial"/>
              </w:rPr>
            </w:pPr>
            <w:r w:rsidRPr="00112B14">
              <w:rPr>
                <w:rFonts w:ascii="Arial" w:hAnsi="Arial" w:cs="Arial"/>
              </w:rPr>
              <w:t xml:space="preserve">Chaque membre du personnel doit être éduqué avant son entrée en fonction et des séances de recyclage doivent être organisées régulièrement </w:t>
            </w:r>
          </w:p>
          <w:p w14:paraId="01A42469" w14:textId="77777777" w:rsidR="00DD3BBD" w:rsidRPr="00112B14" w:rsidRDefault="00DD3BBD" w:rsidP="00214DCC">
            <w:pPr>
              <w:pStyle w:val="ListParagraph"/>
              <w:numPr>
                <w:ilvl w:val="0"/>
                <w:numId w:val="170"/>
              </w:numPr>
              <w:ind w:left="437"/>
              <w:jc w:val="both"/>
              <w:rPr>
                <w:rFonts w:ascii="Arial" w:hAnsi="Arial" w:cs="Arial"/>
              </w:rPr>
            </w:pPr>
            <w:r w:rsidRPr="00112B14">
              <w:rPr>
                <w:rFonts w:ascii="Arial" w:hAnsi="Arial" w:cs="Arial"/>
              </w:rPr>
              <w:t>Fournir et distribuer du matériel d'information, d'éducation et de communication (IEC) à tous sur les sites</w:t>
            </w:r>
          </w:p>
        </w:tc>
      </w:tr>
      <w:tr w:rsidR="00DD3BBD" w:rsidRPr="00B01850" w14:paraId="59A9D074" w14:textId="77777777" w:rsidTr="00112B14">
        <w:tc>
          <w:tcPr>
            <w:tcW w:w="2419" w:type="dxa"/>
            <w:vAlign w:val="center"/>
          </w:tcPr>
          <w:p w14:paraId="02363321" w14:textId="2BEB1649" w:rsidR="00DD3BBD" w:rsidRPr="00B01850" w:rsidRDefault="00112B14" w:rsidP="00112B14">
            <w:pPr>
              <w:jc w:val="center"/>
              <w:rPr>
                <w:rFonts w:ascii="Arial" w:hAnsi="Arial" w:cs="Arial"/>
              </w:rPr>
            </w:pPr>
            <w:r>
              <w:rPr>
                <w:rFonts w:ascii="Arial" w:hAnsi="Arial" w:cs="Arial"/>
              </w:rPr>
              <w:t>Services publics chargés des questions sanitaires.</w:t>
            </w:r>
          </w:p>
        </w:tc>
        <w:tc>
          <w:tcPr>
            <w:tcW w:w="6931" w:type="dxa"/>
          </w:tcPr>
          <w:p w14:paraId="74541B57" w14:textId="5914F48F" w:rsidR="00DD3BBD" w:rsidRPr="00424AB1" w:rsidRDefault="00112B14" w:rsidP="00214DCC">
            <w:pPr>
              <w:pStyle w:val="ListParagraph"/>
              <w:numPr>
                <w:ilvl w:val="0"/>
                <w:numId w:val="175"/>
              </w:numPr>
              <w:ind w:left="437"/>
              <w:jc w:val="both"/>
              <w:rPr>
                <w:rFonts w:ascii="Arial" w:hAnsi="Arial" w:cs="Arial"/>
              </w:rPr>
            </w:pPr>
            <w:r w:rsidRPr="00424AB1">
              <w:rPr>
                <w:rFonts w:ascii="Arial" w:hAnsi="Arial" w:cs="Arial"/>
              </w:rPr>
              <w:t>S’assurer de la prise en compte des questions de gestion des déchets dans le cadre de la mise en œuvre du projet.</w:t>
            </w:r>
          </w:p>
        </w:tc>
      </w:tr>
    </w:tbl>
    <w:p w14:paraId="73845937" w14:textId="0F6AEF25" w:rsidR="00DD3BBD" w:rsidRPr="00B01850" w:rsidRDefault="00DD3BBD" w:rsidP="00DD3BBD">
      <w:pPr>
        <w:spacing w:after="0" w:line="240" w:lineRule="auto"/>
        <w:jc w:val="both"/>
        <w:rPr>
          <w:rFonts w:ascii="Arial" w:hAnsi="Arial" w:cs="Arial"/>
        </w:rPr>
      </w:pPr>
    </w:p>
    <w:p w14:paraId="0769D3A5" w14:textId="419D88D8" w:rsidR="00017A85" w:rsidRPr="00B01850" w:rsidRDefault="00017A85" w:rsidP="00214DCC">
      <w:pPr>
        <w:pStyle w:val="Caption"/>
        <w:numPr>
          <w:ilvl w:val="0"/>
          <w:numId w:val="171"/>
        </w:numPr>
        <w:spacing w:after="0"/>
        <w:rPr>
          <w:rFonts w:ascii="Arial" w:hAnsi="Arial" w:cs="Arial"/>
          <w:b/>
          <w:bCs/>
          <w:i w:val="0"/>
          <w:iCs w:val="0"/>
          <w:color w:val="auto"/>
          <w:sz w:val="22"/>
          <w:szCs w:val="22"/>
        </w:rPr>
      </w:pPr>
      <w:bookmarkStart w:id="242" w:name="_Toc178919552"/>
      <w:bookmarkStart w:id="243" w:name="_Toc178919714"/>
      <w:proofErr w:type="gramStart"/>
      <w:r w:rsidRPr="00B01850">
        <w:rPr>
          <w:rFonts w:ascii="Arial" w:hAnsi="Arial" w:cs="Arial"/>
          <w:i w:val="0"/>
          <w:iCs w:val="0"/>
          <w:color w:val="auto"/>
          <w:sz w:val="22"/>
          <w:szCs w:val="22"/>
        </w:rPr>
        <w:t>Table</w:t>
      </w:r>
      <w:r w:rsidR="0045055B" w:rsidRPr="00B01850">
        <w:rPr>
          <w:rFonts w:ascii="Arial" w:hAnsi="Arial" w:cs="Arial"/>
          <w:i w:val="0"/>
          <w:iCs w:val="0"/>
          <w:color w:val="auto"/>
          <w:sz w:val="22"/>
          <w:szCs w:val="22"/>
        </w:rPr>
        <w:t>….</w:t>
      </w:r>
      <w:proofErr w:type="gramEnd"/>
      <w:r w:rsidR="0045055B" w:rsidRPr="00B01850">
        <w:rPr>
          <w:rFonts w:ascii="Arial" w:hAnsi="Arial" w:cs="Arial"/>
          <w:i w:val="0"/>
          <w:iCs w:val="0"/>
          <w:color w:val="auto"/>
          <w:sz w:val="22"/>
          <w:szCs w:val="22"/>
        </w:rPr>
        <w:t xml:space="preserve">. : </w:t>
      </w:r>
      <w:r w:rsidRPr="00B01850">
        <w:rPr>
          <w:rFonts w:ascii="Arial" w:hAnsi="Arial" w:cs="Arial"/>
          <w:i w:val="0"/>
          <w:iCs w:val="0"/>
          <w:color w:val="auto"/>
          <w:sz w:val="22"/>
          <w:szCs w:val="22"/>
        </w:rPr>
        <w:t>Responsabilités spécifiques de l'</w:t>
      </w:r>
      <w:r w:rsidR="00347DBC">
        <w:rPr>
          <w:rFonts w:ascii="Arial" w:hAnsi="Arial" w:cs="Arial"/>
          <w:i w:val="0"/>
          <w:iCs w:val="0"/>
          <w:color w:val="auto"/>
          <w:sz w:val="22"/>
          <w:szCs w:val="22"/>
        </w:rPr>
        <w:t>UGP du projet</w:t>
      </w:r>
      <w:bookmarkEnd w:id="242"/>
      <w:bookmarkEnd w:id="243"/>
    </w:p>
    <w:tbl>
      <w:tblPr>
        <w:tblStyle w:val="TableGrid"/>
        <w:tblW w:w="0" w:type="auto"/>
        <w:tblLook w:val="04A0" w:firstRow="1" w:lastRow="0" w:firstColumn="1" w:lastColumn="0" w:noHBand="0" w:noVBand="1"/>
      </w:tblPr>
      <w:tblGrid>
        <w:gridCol w:w="1936"/>
        <w:gridCol w:w="7414"/>
      </w:tblGrid>
      <w:tr w:rsidR="00B01850" w:rsidRPr="00424AB1" w14:paraId="16CEE786" w14:textId="77777777" w:rsidTr="00B01850">
        <w:tc>
          <w:tcPr>
            <w:tcW w:w="1936" w:type="dxa"/>
            <w:shd w:val="clear" w:color="auto" w:fill="FDE9D9" w:themeFill="accent6" w:themeFillTint="33"/>
            <w:vAlign w:val="center"/>
          </w:tcPr>
          <w:p w14:paraId="375F8DCA" w14:textId="77777777" w:rsidR="00DD3BBD" w:rsidRPr="00424AB1" w:rsidRDefault="00DD3BBD" w:rsidP="00B01850">
            <w:pPr>
              <w:jc w:val="center"/>
              <w:rPr>
                <w:rFonts w:ascii="Arial" w:hAnsi="Arial" w:cs="Arial"/>
                <w:bCs/>
                <w:i/>
                <w:iCs/>
              </w:rPr>
            </w:pPr>
            <w:r w:rsidRPr="00424AB1">
              <w:rPr>
                <w:rFonts w:ascii="Arial" w:hAnsi="Arial" w:cs="Arial"/>
                <w:bCs/>
                <w:i/>
                <w:iCs/>
              </w:rPr>
              <w:t>Personne responsable</w:t>
            </w:r>
          </w:p>
        </w:tc>
        <w:tc>
          <w:tcPr>
            <w:tcW w:w="7414" w:type="dxa"/>
            <w:shd w:val="clear" w:color="auto" w:fill="FDE9D9" w:themeFill="accent6" w:themeFillTint="33"/>
            <w:vAlign w:val="center"/>
          </w:tcPr>
          <w:p w14:paraId="67CF4D21" w14:textId="77777777" w:rsidR="00DD3BBD" w:rsidRPr="00424AB1" w:rsidRDefault="00DD3BBD" w:rsidP="00B01850">
            <w:pPr>
              <w:jc w:val="center"/>
              <w:rPr>
                <w:rFonts w:ascii="Arial" w:hAnsi="Arial" w:cs="Arial"/>
                <w:bCs/>
                <w:i/>
                <w:iCs/>
              </w:rPr>
            </w:pPr>
            <w:r w:rsidRPr="00424AB1">
              <w:rPr>
                <w:rFonts w:ascii="Arial" w:hAnsi="Arial" w:cs="Arial"/>
                <w:bCs/>
                <w:i/>
                <w:iCs/>
              </w:rPr>
              <w:t>Responsabilité</w:t>
            </w:r>
          </w:p>
        </w:tc>
      </w:tr>
      <w:tr w:rsidR="00B01850" w:rsidRPr="00424AB1" w14:paraId="605EDF1A" w14:textId="77777777" w:rsidTr="00B01850">
        <w:tc>
          <w:tcPr>
            <w:tcW w:w="1936" w:type="dxa"/>
            <w:vAlign w:val="center"/>
          </w:tcPr>
          <w:p w14:paraId="1A94AED0" w14:textId="5754C67B" w:rsidR="00DD3BBD" w:rsidRPr="00424AB1" w:rsidRDefault="00B01850" w:rsidP="00B01850">
            <w:pPr>
              <w:jc w:val="center"/>
              <w:rPr>
                <w:rFonts w:ascii="Arial" w:hAnsi="Arial" w:cs="Arial"/>
              </w:rPr>
            </w:pPr>
            <w:r w:rsidRPr="00424AB1">
              <w:rPr>
                <w:rFonts w:ascii="Arial" w:hAnsi="Arial" w:cs="Arial"/>
              </w:rPr>
              <w:t xml:space="preserve">Coordonnateur du </w:t>
            </w:r>
            <w:r w:rsidR="00DD3BBD" w:rsidRPr="00424AB1">
              <w:rPr>
                <w:rFonts w:ascii="Arial" w:hAnsi="Arial" w:cs="Arial"/>
              </w:rPr>
              <w:t>projet</w:t>
            </w:r>
            <w:r w:rsidRPr="00424AB1">
              <w:rPr>
                <w:rFonts w:ascii="Arial" w:hAnsi="Arial" w:cs="Arial"/>
              </w:rPr>
              <w:t xml:space="preserve"> et ANGUCH</w:t>
            </w:r>
          </w:p>
        </w:tc>
        <w:tc>
          <w:tcPr>
            <w:tcW w:w="7414" w:type="dxa"/>
          </w:tcPr>
          <w:p w14:paraId="55031EB4" w14:textId="77777777" w:rsidR="00DD3BBD" w:rsidRPr="00424AB1" w:rsidRDefault="00DD3BBD" w:rsidP="00214DCC">
            <w:pPr>
              <w:pStyle w:val="ListParagraph"/>
              <w:numPr>
                <w:ilvl w:val="0"/>
                <w:numId w:val="172"/>
              </w:numPr>
              <w:jc w:val="both"/>
              <w:rPr>
                <w:rFonts w:ascii="Arial" w:hAnsi="Arial" w:cs="Arial"/>
              </w:rPr>
            </w:pPr>
            <w:r w:rsidRPr="00424AB1">
              <w:rPr>
                <w:rFonts w:ascii="Arial" w:hAnsi="Arial" w:cs="Arial"/>
              </w:rPr>
              <w:t>Veillera à ce qu'il y ait suffisamment de ressources (humaines et financières) pour gérer et surveiller les problèmes de déchets du projet.</w:t>
            </w:r>
          </w:p>
          <w:p w14:paraId="73BDC19E" w14:textId="77777777" w:rsidR="00DD3BBD" w:rsidRPr="00424AB1" w:rsidRDefault="00DD3BBD" w:rsidP="00214DCC">
            <w:pPr>
              <w:pStyle w:val="ListParagraph"/>
              <w:numPr>
                <w:ilvl w:val="0"/>
                <w:numId w:val="172"/>
              </w:numPr>
              <w:jc w:val="both"/>
              <w:rPr>
                <w:rFonts w:ascii="Arial" w:hAnsi="Arial" w:cs="Arial"/>
              </w:rPr>
            </w:pPr>
            <w:r w:rsidRPr="00424AB1">
              <w:rPr>
                <w:rFonts w:ascii="Arial" w:hAnsi="Arial" w:cs="Arial"/>
              </w:rPr>
              <w:t>Veillera à ce que le plan de gestion des déchets généraux reflète tout changement survenu pendant le processus de construction qui pourrait avoir un impact environnemental significatif et les gérera en conséquence.</w:t>
            </w:r>
          </w:p>
          <w:p w14:paraId="51B9CF9F" w14:textId="77777777" w:rsidR="00DD3BBD" w:rsidRPr="00424AB1" w:rsidRDefault="00DD3BBD" w:rsidP="00214DCC">
            <w:pPr>
              <w:pStyle w:val="ListParagraph"/>
              <w:numPr>
                <w:ilvl w:val="0"/>
                <w:numId w:val="172"/>
              </w:numPr>
              <w:jc w:val="both"/>
              <w:rPr>
                <w:rFonts w:ascii="Arial" w:hAnsi="Arial" w:cs="Arial"/>
              </w:rPr>
            </w:pPr>
            <w:r w:rsidRPr="00424AB1">
              <w:rPr>
                <w:rFonts w:ascii="Arial" w:hAnsi="Arial" w:cs="Arial"/>
              </w:rPr>
              <w:t>Veillera à ce que les registres de déchets soient retournés au siège pour examen.</w:t>
            </w:r>
          </w:p>
        </w:tc>
      </w:tr>
      <w:tr w:rsidR="00B01850" w:rsidRPr="00424AB1" w14:paraId="45D6CF0B" w14:textId="77777777" w:rsidTr="00B01850">
        <w:tc>
          <w:tcPr>
            <w:tcW w:w="1936" w:type="dxa"/>
            <w:vAlign w:val="center"/>
          </w:tcPr>
          <w:p w14:paraId="32A1C834" w14:textId="3538FE49" w:rsidR="00DD3BBD" w:rsidRPr="00424AB1" w:rsidRDefault="00B01850" w:rsidP="00B01850">
            <w:pPr>
              <w:jc w:val="center"/>
              <w:rPr>
                <w:rFonts w:ascii="Arial" w:hAnsi="Arial" w:cs="Arial"/>
              </w:rPr>
            </w:pPr>
            <w:r w:rsidRPr="00424AB1">
              <w:rPr>
                <w:rFonts w:ascii="Arial" w:hAnsi="Arial" w:cs="Arial"/>
              </w:rPr>
              <w:lastRenderedPageBreak/>
              <w:t>Entreprises partenaires et sous-traitantes</w:t>
            </w:r>
          </w:p>
        </w:tc>
        <w:tc>
          <w:tcPr>
            <w:tcW w:w="7414" w:type="dxa"/>
          </w:tcPr>
          <w:p w14:paraId="038A51FB" w14:textId="77777777" w:rsidR="00DD3BBD" w:rsidRPr="00424AB1" w:rsidRDefault="00DD3BBD" w:rsidP="00214DCC">
            <w:pPr>
              <w:pStyle w:val="ListParagraph"/>
              <w:numPr>
                <w:ilvl w:val="0"/>
                <w:numId w:val="173"/>
              </w:numPr>
              <w:jc w:val="both"/>
              <w:rPr>
                <w:rFonts w:ascii="Arial" w:hAnsi="Arial" w:cs="Arial"/>
              </w:rPr>
            </w:pPr>
            <w:r w:rsidRPr="00424AB1">
              <w:rPr>
                <w:rFonts w:ascii="Arial" w:hAnsi="Arial" w:cs="Arial"/>
              </w:rPr>
              <w:t>Sera responsable de s'assurer que tout le personnel du site, y compris les sous-traitants, et les activités se conforment au plan général de gestion des déchets.</w:t>
            </w:r>
          </w:p>
          <w:p w14:paraId="6C77AA8D" w14:textId="77777777" w:rsidR="00DD3BBD" w:rsidRPr="00424AB1" w:rsidRDefault="00DD3BBD" w:rsidP="00214DCC">
            <w:pPr>
              <w:pStyle w:val="ListParagraph"/>
              <w:numPr>
                <w:ilvl w:val="0"/>
                <w:numId w:val="173"/>
              </w:numPr>
              <w:jc w:val="both"/>
              <w:rPr>
                <w:rFonts w:ascii="Arial" w:hAnsi="Arial" w:cs="Arial"/>
              </w:rPr>
            </w:pPr>
            <w:r w:rsidRPr="00424AB1">
              <w:rPr>
                <w:rFonts w:ascii="Arial" w:hAnsi="Arial" w:cs="Arial"/>
              </w:rPr>
              <w:t>Veillera à ce que tous les incidents environnementaux soient signalés et traités efficacement.</w:t>
            </w:r>
          </w:p>
        </w:tc>
      </w:tr>
      <w:tr w:rsidR="00B01850" w:rsidRPr="00424AB1" w14:paraId="2F632D9B" w14:textId="77777777" w:rsidTr="00B01850">
        <w:tc>
          <w:tcPr>
            <w:tcW w:w="1936" w:type="dxa"/>
            <w:vAlign w:val="center"/>
          </w:tcPr>
          <w:p w14:paraId="5CD1C185" w14:textId="174FD4F6" w:rsidR="00DD3BBD" w:rsidRPr="00424AB1" w:rsidRDefault="00B01850" w:rsidP="008F6AEB">
            <w:pPr>
              <w:jc w:val="center"/>
              <w:rPr>
                <w:rFonts w:ascii="Arial" w:hAnsi="Arial" w:cs="Arial"/>
              </w:rPr>
            </w:pPr>
            <w:r w:rsidRPr="00424AB1">
              <w:rPr>
                <w:rFonts w:ascii="Arial" w:hAnsi="Arial" w:cs="Arial"/>
              </w:rPr>
              <w:t>S</w:t>
            </w:r>
            <w:r w:rsidR="008F6AEB" w:rsidRPr="00424AB1">
              <w:rPr>
                <w:rFonts w:ascii="Arial" w:hAnsi="Arial" w:cs="Arial"/>
              </w:rPr>
              <w:t>p</w:t>
            </w:r>
            <w:r w:rsidRPr="00424AB1">
              <w:rPr>
                <w:rFonts w:ascii="Arial" w:hAnsi="Arial" w:cs="Arial"/>
              </w:rPr>
              <w:t xml:space="preserve">écialistes en Sauvegarde de l’UGP et </w:t>
            </w:r>
            <w:r w:rsidR="00DD3BBD" w:rsidRPr="00424AB1">
              <w:rPr>
                <w:rFonts w:ascii="Arial" w:hAnsi="Arial" w:cs="Arial"/>
              </w:rPr>
              <w:t xml:space="preserve">Responsable </w:t>
            </w:r>
            <w:r w:rsidR="008F6AEB" w:rsidRPr="00424AB1">
              <w:rPr>
                <w:rFonts w:ascii="Arial" w:hAnsi="Arial" w:cs="Arial"/>
              </w:rPr>
              <w:t>SST</w:t>
            </w:r>
          </w:p>
        </w:tc>
        <w:tc>
          <w:tcPr>
            <w:tcW w:w="7414" w:type="dxa"/>
          </w:tcPr>
          <w:p w14:paraId="75F9F410" w14:textId="55226089" w:rsidR="00DD3BBD" w:rsidRPr="00424AB1" w:rsidRDefault="00DD3BBD" w:rsidP="00214DCC">
            <w:pPr>
              <w:pStyle w:val="ListParagraph"/>
              <w:numPr>
                <w:ilvl w:val="0"/>
                <w:numId w:val="174"/>
              </w:numPr>
              <w:jc w:val="both"/>
              <w:rPr>
                <w:rFonts w:ascii="Arial" w:hAnsi="Arial" w:cs="Arial"/>
              </w:rPr>
            </w:pPr>
            <w:r w:rsidRPr="00424AB1">
              <w:rPr>
                <w:rFonts w:ascii="Arial" w:hAnsi="Arial" w:cs="Arial"/>
              </w:rPr>
              <w:t>Veillera à ce que les activités de gestion de l'environnement et des déchets soient conformes aux normes ESSS applicables et à tous les instruments environnementaux et sociaux du projet.</w:t>
            </w:r>
          </w:p>
          <w:p w14:paraId="6ECC5198" w14:textId="4CA5B6A4" w:rsidR="00DD3BBD" w:rsidRPr="00424AB1" w:rsidRDefault="00DD3BBD" w:rsidP="00214DCC">
            <w:pPr>
              <w:pStyle w:val="ListParagraph"/>
              <w:numPr>
                <w:ilvl w:val="0"/>
                <w:numId w:val="174"/>
              </w:numPr>
              <w:jc w:val="both"/>
              <w:rPr>
                <w:rFonts w:ascii="Arial" w:hAnsi="Arial" w:cs="Arial"/>
              </w:rPr>
            </w:pPr>
            <w:r w:rsidRPr="00424AB1">
              <w:rPr>
                <w:rFonts w:ascii="Arial" w:hAnsi="Arial" w:cs="Arial"/>
              </w:rPr>
              <w:t>Veiller à ce que la signalisation indiquant le tri des déchets et d'autres panneaux de sécurité pertinents soient clairement placés au besoin.</w:t>
            </w:r>
          </w:p>
        </w:tc>
      </w:tr>
    </w:tbl>
    <w:p w14:paraId="154EA88D" w14:textId="77777777" w:rsidR="00017A85" w:rsidRPr="00B01850" w:rsidRDefault="00017A85" w:rsidP="00DD3BBD">
      <w:pPr>
        <w:spacing w:after="0" w:line="240" w:lineRule="auto"/>
        <w:jc w:val="both"/>
        <w:rPr>
          <w:rFonts w:ascii="Arial" w:eastAsia="Calibri" w:hAnsi="Arial" w:cs="Arial"/>
        </w:rPr>
      </w:pPr>
    </w:p>
    <w:p w14:paraId="35FBE7C2" w14:textId="77777777" w:rsidR="00DD3BBD" w:rsidRPr="00B01850" w:rsidRDefault="00DD3BBD" w:rsidP="00CC2043">
      <w:pPr>
        <w:rPr>
          <w:rFonts w:ascii="Arial" w:hAnsi="Arial" w:cs="Arial"/>
        </w:rPr>
      </w:pPr>
    </w:p>
    <w:p w14:paraId="4E6BFA00" w14:textId="77777777" w:rsidR="00644028" w:rsidRPr="00B01850" w:rsidRDefault="00644028">
      <w:pPr>
        <w:rPr>
          <w:rFonts w:ascii="Arial" w:eastAsiaTheme="majorEastAsia" w:hAnsi="Arial" w:cs="Arial"/>
          <w:color w:val="365F91" w:themeColor="accent1" w:themeShade="BF"/>
        </w:rPr>
      </w:pPr>
      <w:bookmarkStart w:id="244" w:name="_Toc375923230"/>
      <w:bookmarkStart w:id="245" w:name="_Hlk196718877"/>
      <w:r w:rsidRPr="00B01850">
        <w:rPr>
          <w:rFonts w:ascii="Arial" w:hAnsi="Arial" w:cs="Arial"/>
        </w:rPr>
        <w:br w:type="page"/>
      </w:r>
    </w:p>
    <w:p w14:paraId="79E662AF" w14:textId="1DCC6FDC" w:rsidR="00D33BF6" w:rsidRPr="00B01850" w:rsidRDefault="00FF1DB9" w:rsidP="00D33BF6">
      <w:pPr>
        <w:pStyle w:val="Heading1"/>
        <w:rPr>
          <w:rFonts w:ascii="Arial" w:hAnsi="Arial" w:cs="Arial"/>
          <w:color w:val="auto"/>
          <w:sz w:val="22"/>
          <w:szCs w:val="22"/>
        </w:rPr>
      </w:pPr>
      <w:bookmarkStart w:id="246" w:name="_Toc2049639115"/>
      <w:bookmarkStart w:id="247" w:name="_Hlk196719192"/>
      <w:bookmarkStart w:id="248" w:name="_Toc197382164"/>
      <w:bookmarkEnd w:id="244"/>
      <w:bookmarkEnd w:id="245"/>
      <w:r w:rsidRPr="00B01850">
        <w:rPr>
          <w:rFonts w:ascii="Arial" w:hAnsi="Arial" w:cs="Arial"/>
          <w:color w:val="auto"/>
          <w:sz w:val="22"/>
          <w:szCs w:val="22"/>
        </w:rPr>
        <w:lastRenderedPageBreak/>
        <w:t xml:space="preserve">Annexe </w:t>
      </w:r>
      <w:r w:rsidR="00F97295" w:rsidRPr="00B01850">
        <w:rPr>
          <w:rFonts w:ascii="Arial" w:hAnsi="Arial" w:cs="Arial"/>
          <w:color w:val="auto"/>
          <w:sz w:val="22"/>
          <w:szCs w:val="22"/>
        </w:rPr>
        <w:t>6</w:t>
      </w:r>
      <w:r w:rsidRPr="00B01850">
        <w:rPr>
          <w:rFonts w:ascii="Arial" w:hAnsi="Arial" w:cs="Arial"/>
          <w:color w:val="auto"/>
          <w:sz w:val="22"/>
          <w:szCs w:val="22"/>
        </w:rPr>
        <w:t xml:space="preserve"> : Cadre de gestion de la sécurité routière</w:t>
      </w:r>
      <w:bookmarkEnd w:id="248"/>
      <w:r w:rsidRPr="00B01850">
        <w:rPr>
          <w:rFonts w:ascii="Arial" w:hAnsi="Arial" w:cs="Arial"/>
          <w:color w:val="auto"/>
          <w:sz w:val="22"/>
          <w:szCs w:val="22"/>
        </w:rPr>
        <w:t xml:space="preserve"> </w:t>
      </w:r>
      <w:bookmarkEnd w:id="246"/>
    </w:p>
    <w:p w14:paraId="019842E1" w14:textId="77777777" w:rsidR="00C119C5" w:rsidRPr="00B01850" w:rsidRDefault="00C119C5" w:rsidP="00713C2D">
      <w:pPr>
        <w:spacing w:after="0" w:line="240" w:lineRule="auto"/>
        <w:jc w:val="both"/>
        <w:rPr>
          <w:rFonts w:ascii="Arial" w:hAnsi="Arial" w:cs="Arial"/>
          <w:b/>
          <w:bCs/>
        </w:rPr>
      </w:pPr>
      <w:bookmarkStart w:id="249" w:name="_Hlk134518718"/>
      <w:bookmarkEnd w:id="247"/>
    </w:p>
    <w:p w14:paraId="3C18D7A8" w14:textId="55BEBC56" w:rsidR="00354FB4" w:rsidRPr="00B01850" w:rsidRDefault="00354FB4" w:rsidP="00214DCC">
      <w:pPr>
        <w:pStyle w:val="ListParagraph"/>
        <w:numPr>
          <w:ilvl w:val="0"/>
          <w:numId w:val="139"/>
        </w:numPr>
        <w:spacing w:after="0" w:line="240" w:lineRule="auto"/>
        <w:jc w:val="both"/>
        <w:rPr>
          <w:rFonts w:ascii="Arial" w:hAnsi="Arial" w:cs="Arial"/>
          <w:b/>
          <w:bCs/>
        </w:rPr>
      </w:pPr>
      <w:r w:rsidRPr="00B01850">
        <w:rPr>
          <w:rFonts w:ascii="Arial" w:hAnsi="Arial" w:cs="Arial"/>
          <w:b/>
          <w:bCs/>
        </w:rPr>
        <w:t>Objet et champ d'application d</w:t>
      </w:r>
      <w:r w:rsidR="0096760A" w:rsidRPr="00B01850">
        <w:rPr>
          <w:rFonts w:ascii="Arial" w:hAnsi="Arial" w:cs="Arial"/>
          <w:b/>
          <w:bCs/>
        </w:rPr>
        <w:t>u cadre</w:t>
      </w:r>
    </w:p>
    <w:p w14:paraId="737D867A" w14:textId="77777777" w:rsidR="00F220B0" w:rsidRPr="00B01850" w:rsidRDefault="00F220B0" w:rsidP="008769A5">
      <w:pPr>
        <w:spacing w:after="0" w:line="240" w:lineRule="auto"/>
        <w:jc w:val="both"/>
        <w:rPr>
          <w:rFonts w:ascii="Arial" w:hAnsi="Arial" w:cs="Arial"/>
        </w:rPr>
      </w:pPr>
    </w:p>
    <w:p w14:paraId="72DBBC2A" w14:textId="77777777" w:rsidR="00231E28" w:rsidRPr="00B01850" w:rsidRDefault="00951B00" w:rsidP="008769A5">
      <w:pPr>
        <w:spacing w:after="0" w:line="240" w:lineRule="auto"/>
        <w:jc w:val="both"/>
        <w:rPr>
          <w:rFonts w:ascii="Arial" w:hAnsi="Arial" w:cs="Arial"/>
        </w:rPr>
      </w:pPr>
      <w:r w:rsidRPr="00B01850">
        <w:rPr>
          <w:rFonts w:ascii="Arial" w:hAnsi="Arial" w:cs="Arial"/>
        </w:rPr>
        <w:t xml:space="preserve">La mise en œuvre </w:t>
      </w:r>
      <w:r w:rsidR="00665616" w:rsidRPr="00B01850">
        <w:rPr>
          <w:rFonts w:ascii="Arial" w:hAnsi="Arial" w:cs="Arial"/>
        </w:rPr>
        <w:t xml:space="preserve">des activités d’urgence </w:t>
      </w:r>
      <w:r w:rsidRPr="00B01850">
        <w:rPr>
          <w:rFonts w:ascii="Arial" w:hAnsi="Arial" w:cs="Arial"/>
        </w:rPr>
        <w:t>du CERP</w:t>
      </w:r>
      <w:r w:rsidR="00665616" w:rsidRPr="00B01850">
        <w:rPr>
          <w:rFonts w:ascii="Arial" w:hAnsi="Arial" w:cs="Arial"/>
        </w:rPr>
        <w:t xml:space="preserve"> générera un flux de transport des biens et marchandise et qui nécessitera la mise en œuvre d’un cadre de gestion de la sécurité routière. A cet effet, il est important de </w:t>
      </w:r>
      <w:r w:rsidR="00354FB4" w:rsidRPr="00B01850">
        <w:rPr>
          <w:rFonts w:ascii="Arial" w:hAnsi="Arial" w:cs="Arial"/>
        </w:rPr>
        <w:t xml:space="preserve">veiller à </w:t>
      </w:r>
      <w:r w:rsidR="00665616" w:rsidRPr="00B01850">
        <w:rPr>
          <w:rFonts w:ascii="Arial" w:hAnsi="Arial" w:cs="Arial"/>
        </w:rPr>
        <w:t xml:space="preserve">une meilleure </w:t>
      </w:r>
      <w:r w:rsidR="00354FB4" w:rsidRPr="00B01850">
        <w:rPr>
          <w:rFonts w:ascii="Arial" w:hAnsi="Arial" w:cs="Arial"/>
        </w:rPr>
        <w:t xml:space="preserve">circulation </w:t>
      </w:r>
      <w:r w:rsidR="00665616" w:rsidRPr="00B01850">
        <w:rPr>
          <w:rFonts w:ascii="Arial" w:hAnsi="Arial" w:cs="Arial"/>
        </w:rPr>
        <w:t xml:space="preserve">des véhicules </w:t>
      </w:r>
      <w:r w:rsidR="0087406C" w:rsidRPr="00B01850">
        <w:rPr>
          <w:rFonts w:ascii="Arial" w:hAnsi="Arial" w:cs="Arial"/>
        </w:rPr>
        <w:t xml:space="preserve">du </w:t>
      </w:r>
      <w:r w:rsidR="00665616" w:rsidRPr="00B01850">
        <w:rPr>
          <w:rFonts w:ascii="Arial" w:hAnsi="Arial" w:cs="Arial"/>
        </w:rPr>
        <w:t>projet et des entreprises partenaires</w:t>
      </w:r>
      <w:r w:rsidR="0087406C" w:rsidRPr="00B01850">
        <w:rPr>
          <w:rFonts w:ascii="Arial" w:hAnsi="Arial" w:cs="Arial"/>
        </w:rPr>
        <w:t xml:space="preserve"> et sous-traitantes</w:t>
      </w:r>
      <w:r w:rsidR="00665616" w:rsidRPr="00B01850">
        <w:rPr>
          <w:rFonts w:ascii="Arial" w:hAnsi="Arial" w:cs="Arial"/>
        </w:rPr>
        <w:t>.</w:t>
      </w:r>
    </w:p>
    <w:p w14:paraId="4B26E5D3" w14:textId="77777777" w:rsidR="00231E28" w:rsidRPr="00B01850" w:rsidRDefault="00231E28" w:rsidP="008769A5">
      <w:pPr>
        <w:spacing w:after="0" w:line="240" w:lineRule="auto"/>
        <w:jc w:val="both"/>
        <w:rPr>
          <w:rFonts w:ascii="Arial" w:hAnsi="Arial" w:cs="Arial"/>
        </w:rPr>
      </w:pPr>
    </w:p>
    <w:p w14:paraId="43C42961" w14:textId="647781D2" w:rsidR="00231E28" w:rsidRPr="00B01850" w:rsidRDefault="0087406C" w:rsidP="008769A5">
      <w:pPr>
        <w:spacing w:after="0" w:line="240" w:lineRule="auto"/>
        <w:jc w:val="both"/>
        <w:rPr>
          <w:rFonts w:ascii="Arial" w:hAnsi="Arial" w:cs="Arial"/>
        </w:rPr>
      </w:pPr>
      <w:r w:rsidRPr="00B01850">
        <w:rPr>
          <w:rFonts w:ascii="Arial" w:hAnsi="Arial" w:cs="Arial"/>
        </w:rPr>
        <w:t>Ce cadre</w:t>
      </w:r>
      <w:r w:rsidR="00231E28" w:rsidRPr="00B01850">
        <w:rPr>
          <w:rFonts w:ascii="Arial" w:hAnsi="Arial" w:cs="Arial"/>
        </w:rPr>
        <w:t xml:space="preserve"> de gestion de la sécurité routière permettra au CERP et à ses agents d'exécution d'identifier et de mettre en œuvre toutes les exigences juridiques</w:t>
      </w:r>
      <w:r w:rsidR="00197200" w:rsidRPr="00B01850">
        <w:rPr>
          <w:rFonts w:ascii="Arial" w:hAnsi="Arial" w:cs="Arial"/>
        </w:rPr>
        <w:t>, les normes</w:t>
      </w:r>
      <w:r w:rsidR="00231E28" w:rsidRPr="00B01850">
        <w:rPr>
          <w:rFonts w:ascii="Arial" w:hAnsi="Arial" w:cs="Arial"/>
        </w:rPr>
        <w:t xml:space="preserve"> et </w:t>
      </w:r>
      <w:r w:rsidR="00197200" w:rsidRPr="00B01850">
        <w:rPr>
          <w:rFonts w:ascii="Arial" w:hAnsi="Arial" w:cs="Arial"/>
        </w:rPr>
        <w:t xml:space="preserve">les </w:t>
      </w:r>
      <w:r w:rsidR="00231E28" w:rsidRPr="00B01850">
        <w:rPr>
          <w:rFonts w:ascii="Arial" w:hAnsi="Arial" w:cs="Arial"/>
        </w:rPr>
        <w:t xml:space="preserve">bonnes pratiques en matière de gestion des risques et des impacts liés </w:t>
      </w:r>
      <w:r w:rsidR="00197200" w:rsidRPr="00B01850">
        <w:rPr>
          <w:rFonts w:ascii="Arial" w:hAnsi="Arial" w:cs="Arial"/>
        </w:rPr>
        <w:t xml:space="preserve">à la circulation des biens et services relatifs </w:t>
      </w:r>
      <w:r w:rsidR="00231E28" w:rsidRPr="00B01850">
        <w:rPr>
          <w:rFonts w:ascii="Arial" w:hAnsi="Arial" w:cs="Arial"/>
        </w:rPr>
        <w:t>aux activités du projet</w:t>
      </w:r>
      <w:r w:rsidR="00197200" w:rsidRPr="00B01850">
        <w:rPr>
          <w:rFonts w:ascii="Arial" w:hAnsi="Arial" w:cs="Arial"/>
        </w:rPr>
        <w:t>.</w:t>
      </w:r>
    </w:p>
    <w:p w14:paraId="219F48B8" w14:textId="77777777" w:rsidR="00231E28" w:rsidRPr="00B01850" w:rsidRDefault="00231E28" w:rsidP="008769A5">
      <w:pPr>
        <w:spacing w:after="0" w:line="240" w:lineRule="auto"/>
        <w:jc w:val="both"/>
        <w:rPr>
          <w:rFonts w:ascii="Arial" w:hAnsi="Arial" w:cs="Arial"/>
        </w:rPr>
      </w:pPr>
    </w:p>
    <w:p w14:paraId="29E00B41" w14:textId="4B341760" w:rsidR="00231E28" w:rsidRPr="00B01850" w:rsidRDefault="00231E28" w:rsidP="008769A5">
      <w:pPr>
        <w:spacing w:after="0" w:line="240" w:lineRule="auto"/>
        <w:jc w:val="both"/>
        <w:rPr>
          <w:rFonts w:ascii="Arial" w:hAnsi="Arial" w:cs="Arial"/>
        </w:rPr>
      </w:pPr>
      <w:r w:rsidRPr="00B01850">
        <w:rPr>
          <w:rFonts w:ascii="Arial" w:hAnsi="Arial" w:cs="Arial"/>
        </w:rPr>
        <w:t>Le présent Cadre a pour objet de s'assurer que la gestion du trafic (et des véhicules et des équipements dans le cadre du Projet) est assurée de manière sûre et efficace</w:t>
      </w:r>
      <w:r w:rsidR="00197200" w:rsidRPr="00B01850">
        <w:rPr>
          <w:rFonts w:ascii="Arial" w:hAnsi="Arial" w:cs="Arial"/>
        </w:rPr>
        <w:t xml:space="preserve"> particulièrement pour les activités d’urgence</w:t>
      </w:r>
      <w:r w:rsidRPr="00B01850">
        <w:rPr>
          <w:rFonts w:ascii="Arial" w:hAnsi="Arial" w:cs="Arial"/>
        </w:rPr>
        <w:t>.</w:t>
      </w:r>
    </w:p>
    <w:p w14:paraId="0A131139" w14:textId="5FB919F4" w:rsidR="00354FB4" w:rsidRPr="00B01850" w:rsidRDefault="00E866AF" w:rsidP="001D0D0A">
      <w:pPr>
        <w:spacing w:before="120" w:after="0" w:line="240" w:lineRule="auto"/>
        <w:jc w:val="both"/>
        <w:rPr>
          <w:rFonts w:ascii="Arial" w:hAnsi="Arial" w:cs="Arial"/>
        </w:rPr>
      </w:pPr>
      <w:r w:rsidRPr="00B01850">
        <w:rPr>
          <w:rFonts w:ascii="Arial" w:hAnsi="Arial" w:cs="Arial"/>
        </w:rPr>
        <w:t xml:space="preserve">Dans ce cadre, la </w:t>
      </w:r>
      <w:r w:rsidR="00354FB4" w:rsidRPr="00B01850">
        <w:rPr>
          <w:rFonts w:ascii="Arial" w:hAnsi="Arial" w:cs="Arial"/>
        </w:rPr>
        <w:t xml:space="preserve">gestion de la circulation vise à éviter et à minimiser les risques liés à la circulation pour la santé et la sécurité </w:t>
      </w:r>
      <w:r w:rsidR="00197200" w:rsidRPr="00B01850">
        <w:rPr>
          <w:rFonts w:ascii="Arial" w:hAnsi="Arial" w:cs="Arial"/>
        </w:rPr>
        <w:t xml:space="preserve">des différentes catégories de travailleurs du projet d’urgence et des </w:t>
      </w:r>
      <w:r w:rsidR="00354FB4" w:rsidRPr="00B01850">
        <w:rPr>
          <w:rFonts w:ascii="Arial" w:hAnsi="Arial" w:cs="Arial"/>
        </w:rPr>
        <w:t>communauté</w:t>
      </w:r>
      <w:r w:rsidR="00197200" w:rsidRPr="00B01850">
        <w:rPr>
          <w:rFonts w:ascii="Arial" w:hAnsi="Arial" w:cs="Arial"/>
        </w:rPr>
        <w:t>s</w:t>
      </w:r>
      <w:r w:rsidR="00354FB4" w:rsidRPr="00B01850">
        <w:rPr>
          <w:rFonts w:ascii="Arial" w:hAnsi="Arial" w:cs="Arial"/>
        </w:rPr>
        <w:t xml:space="preserve"> locale</w:t>
      </w:r>
      <w:r w:rsidR="00197200" w:rsidRPr="00B01850">
        <w:rPr>
          <w:rFonts w:ascii="Arial" w:hAnsi="Arial" w:cs="Arial"/>
        </w:rPr>
        <w:t xml:space="preserve">s durant le cicle de vie du projet. </w:t>
      </w:r>
      <w:r w:rsidR="00354FB4" w:rsidRPr="00B01850">
        <w:rPr>
          <w:rFonts w:ascii="Arial" w:hAnsi="Arial" w:cs="Arial"/>
        </w:rPr>
        <w:t xml:space="preserve">Les </w:t>
      </w:r>
      <w:r w:rsidR="00197200" w:rsidRPr="00B01850">
        <w:rPr>
          <w:rFonts w:ascii="Arial" w:hAnsi="Arial" w:cs="Arial"/>
        </w:rPr>
        <w:t>mesures indiquées dans ce cadre s’applique</w:t>
      </w:r>
      <w:r w:rsidR="007105B8" w:rsidRPr="00B01850">
        <w:rPr>
          <w:rFonts w:ascii="Arial" w:hAnsi="Arial" w:cs="Arial"/>
        </w:rPr>
        <w:t>nt</w:t>
      </w:r>
      <w:r w:rsidR="00197200" w:rsidRPr="00B01850">
        <w:rPr>
          <w:rFonts w:ascii="Arial" w:hAnsi="Arial" w:cs="Arial"/>
        </w:rPr>
        <w:t xml:space="preserve"> à toutes les activités proposées par l’Etat guinéen, </w:t>
      </w:r>
      <w:r w:rsidR="00354FB4" w:rsidRPr="00B01850">
        <w:rPr>
          <w:rFonts w:ascii="Arial" w:hAnsi="Arial" w:cs="Arial"/>
        </w:rPr>
        <w:t>y compris à toute entité chargée de fournir des véhicules, des engins ou des chauffeurs pour le projet</w:t>
      </w:r>
      <w:r w:rsidR="00197200" w:rsidRPr="00B01850">
        <w:rPr>
          <w:rFonts w:ascii="Arial" w:hAnsi="Arial" w:cs="Arial"/>
        </w:rPr>
        <w:t xml:space="preserve"> ou d’assurer l’acheminement des biens et services durant la mise en œuvre du CERP</w:t>
      </w:r>
      <w:r w:rsidR="00354FB4" w:rsidRPr="00B01850">
        <w:rPr>
          <w:rFonts w:ascii="Arial" w:hAnsi="Arial" w:cs="Arial"/>
        </w:rPr>
        <w:t>.</w:t>
      </w:r>
    </w:p>
    <w:p w14:paraId="479E180D" w14:textId="1249F927" w:rsidR="00354FB4" w:rsidRPr="00B01850" w:rsidRDefault="00FC6BF4" w:rsidP="001D0D0A">
      <w:pPr>
        <w:spacing w:before="120" w:after="0" w:line="240" w:lineRule="auto"/>
        <w:jc w:val="both"/>
        <w:rPr>
          <w:rFonts w:ascii="Arial" w:hAnsi="Arial" w:cs="Arial"/>
        </w:rPr>
      </w:pPr>
      <w:r w:rsidRPr="00B01850">
        <w:rPr>
          <w:rFonts w:ascii="Arial" w:hAnsi="Arial" w:cs="Arial"/>
        </w:rPr>
        <w:t xml:space="preserve">Cet instrument </w:t>
      </w:r>
      <w:r w:rsidR="00354FB4" w:rsidRPr="00B01850">
        <w:rPr>
          <w:rFonts w:ascii="Arial" w:hAnsi="Arial" w:cs="Arial"/>
        </w:rPr>
        <w:t xml:space="preserve">guidera </w:t>
      </w:r>
      <w:r w:rsidRPr="00B01850">
        <w:rPr>
          <w:rFonts w:ascii="Arial" w:hAnsi="Arial" w:cs="Arial"/>
        </w:rPr>
        <w:t xml:space="preserve">les acteurs impliqués dans la mise en œuvre du CREP </w:t>
      </w:r>
      <w:r w:rsidR="00354FB4" w:rsidRPr="00B01850">
        <w:rPr>
          <w:rFonts w:ascii="Arial" w:hAnsi="Arial" w:cs="Arial"/>
        </w:rPr>
        <w:t xml:space="preserve">dans l'élaboration </w:t>
      </w:r>
      <w:r w:rsidR="007F18DD" w:rsidRPr="00B01850">
        <w:rPr>
          <w:rFonts w:ascii="Arial" w:hAnsi="Arial" w:cs="Arial"/>
        </w:rPr>
        <w:t xml:space="preserve">du plan global de gestion de la sécurité routière ainsi que des plans spécifiques si nécessaires. </w:t>
      </w:r>
      <w:r w:rsidR="00A9324A" w:rsidRPr="00B01850">
        <w:rPr>
          <w:rFonts w:ascii="Arial" w:hAnsi="Arial" w:cs="Arial"/>
        </w:rPr>
        <w:t xml:space="preserve">Pour élaborer leurs plans spécifiques, les entreprises partenaires et sous-traitantes seront tenues de </w:t>
      </w:r>
      <w:r w:rsidR="00354FB4" w:rsidRPr="00B01850">
        <w:rPr>
          <w:rFonts w:ascii="Arial" w:hAnsi="Arial" w:cs="Arial"/>
        </w:rPr>
        <w:t xml:space="preserve">réaliser une évaluation de la sécurité routière et des risques </w:t>
      </w:r>
      <w:r w:rsidR="00A9324A" w:rsidRPr="00B01850">
        <w:rPr>
          <w:rFonts w:ascii="Arial" w:hAnsi="Arial" w:cs="Arial"/>
        </w:rPr>
        <w:t xml:space="preserve">y relatifs afin de déterminer les risques d’accidents sur leurs trajets respectifs : itinéraires, </w:t>
      </w:r>
      <w:r w:rsidR="00354FB4" w:rsidRPr="00B01850">
        <w:rPr>
          <w:rFonts w:ascii="Arial" w:hAnsi="Arial" w:cs="Arial"/>
        </w:rPr>
        <w:t xml:space="preserve">types de routes, emplacement </w:t>
      </w:r>
      <w:r w:rsidR="00A9324A" w:rsidRPr="00B01850">
        <w:rPr>
          <w:rFonts w:ascii="Arial" w:hAnsi="Arial" w:cs="Arial"/>
        </w:rPr>
        <w:t xml:space="preserve">des </w:t>
      </w:r>
      <w:r w:rsidR="00354FB4" w:rsidRPr="00B01850">
        <w:rPr>
          <w:rFonts w:ascii="Arial" w:hAnsi="Arial" w:cs="Arial"/>
        </w:rPr>
        <w:t>communautés</w:t>
      </w:r>
      <w:r w:rsidR="00A9324A" w:rsidRPr="00B01850">
        <w:rPr>
          <w:rFonts w:ascii="Arial" w:hAnsi="Arial" w:cs="Arial"/>
        </w:rPr>
        <w:t xml:space="preserve"> par rapport à la circulation</w:t>
      </w:r>
      <w:r w:rsidR="00354FB4" w:rsidRPr="00B01850">
        <w:rPr>
          <w:rFonts w:ascii="Arial" w:hAnsi="Arial" w:cs="Arial"/>
        </w:rPr>
        <w:t xml:space="preserve">, </w:t>
      </w:r>
      <w:r w:rsidR="00A9324A" w:rsidRPr="00B01850">
        <w:rPr>
          <w:rFonts w:ascii="Arial" w:hAnsi="Arial" w:cs="Arial"/>
        </w:rPr>
        <w:t xml:space="preserve">ouvrages de franchissements, </w:t>
      </w:r>
      <w:r w:rsidR="00354FB4" w:rsidRPr="00B01850">
        <w:rPr>
          <w:rFonts w:ascii="Arial" w:hAnsi="Arial" w:cs="Arial"/>
        </w:rPr>
        <w:t xml:space="preserve">écoles, </w:t>
      </w:r>
      <w:r w:rsidR="00A9324A" w:rsidRPr="00B01850">
        <w:rPr>
          <w:rFonts w:ascii="Arial" w:hAnsi="Arial" w:cs="Arial"/>
        </w:rPr>
        <w:t xml:space="preserve">autres questions </w:t>
      </w:r>
      <w:r w:rsidR="00354FB4" w:rsidRPr="00B01850">
        <w:rPr>
          <w:rFonts w:ascii="Arial" w:hAnsi="Arial" w:cs="Arial"/>
        </w:rPr>
        <w:t>sensibles, etc.</w:t>
      </w:r>
      <w:r w:rsidR="00A9324A" w:rsidRPr="00B01850">
        <w:rPr>
          <w:rFonts w:ascii="Arial" w:hAnsi="Arial" w:cs="Arial"/>
        </w:rPr>
        <w:t xml:space="preserve"> ils tiendront compte des </w:t>
      </w:r>
      <w:r w:rsidR="00354FB4" w:rsidRPr="00B01850">
        <w:rPr>
          <w:rFonts w:ascii="Arial" w:hAnsi="Arial" w:cs="Arial"/>
        </w:rPr>
        <w:t xml:space="preserve">conditions </w:t>
      </w:r>
      <w:r w:rsidR="00A9324A" w:rsidRPr="00B01850">
        <w:rPr>
          <w:rFonts w:ascii="Arial" w:hAnsi="Arial" w:cs="Arial"/>
        </w:rPr>
        <w:t xml:space="preserve">actuelles </w:t>
      </w:r>
      <w:r w:rsidR="00354FB4" w:rsidRPr="00B01850">
        <w:rPr>
          <w:rFonts w:ascii="Arial" w:hAnsi="Arial" w:cs="Arial"/>
        </w:rPr>
        <w:t xml:space="preserve">de </w:t>
      </w:r>
      <w:r w:rsidR="00A9324A" w:rsidRPr="00B01850">
        <w:rPr>
          <w:rFonts w:ascii="Arial" w:hAnsi="Arial" w:cs="Arial"/>
        </w:rPr>
        <w:t xml:space="preserve">la </w:t>
      </w:r>
      <w:r w:rsidR="00354FB4" w:rsidRPr="00B01850">
        <w:rPr>
          <w:rFonts w:ascii="Arial" w:hAnsi="Arial" w:cs="Arial"/>
        </w:rPr>
        <w:t>circulation et des projections.</w:t>
      </w:r>
    </w:p>
    <w:p w14:paraId="170D919A" w14:textId="3CD0F8A4" w:rsidR="00354FB4" w:rsidRPr="00B01850" w:rsidRDefault="00A9324A" w:rsidP="001D0D0A">
      <w:pPr>
        <w:spacing w:before="120" w:after="0" w:line="240" w:lineRule="auto"/>
        <w:jc w:val="both"/>
        <w:rPr>
          <w:rFonts w:ascii="Arial" w:hAnsi="Arial" w:cs="Arial"/>
        </w:rPr>
      </w:pPr>
      <w:r w:rsidRPr="00B01850">
        <w:rPr>
          <w:rFonts w:ascii="Arial" w:hAnsi="Arial" w:cs="Arial"/>
        </w:rPr>
        <w:t xml:space="preserve">Le </w:t>
      </w:r>
      <w:r w:rsidR="00354FB4" w:rsidRPr="00B01850">
        <w:rPr>
          <w:rFonts w:ascii="Arial" w:hAnsi="Arial" w:cs="Arial"/>
        </w:rPr>
        <w:t xml:space="preserve">cadre de gestion de la sécurité routière </w:t>
      </w:r>
      <w:r w:rsidRPr="00B01850">
        <w:rPr>
          <w:rFonts w:ascii="Arial" w:hAnsi="Arial" w:cs="Arial"/>
        </w:rPr>
        <w:t>doit être in</w:t>
      </w:r>
      <w:r w:rsidR="00C21952" w:rsidRPr="00B01850">
        <w:rPr>
          <w:rFonts w:ascii="Arial" w:hAnsi="Arial" w:cs="Arial"/>
        </w:rPr>
        <w:t xml:space="preserve">séré </w:t>
      </w:r>
      <w:r w:rsidRPr="00B01850">
        <w:rPr>
          <w:rFonts w:ascii="Arial" w:hAnsi="Arial" w:cs="Arial"/>
        </w:rPr>
        <w:t>à l’annexe du PGES du projet ou des entreprises partenaires et sous-traitantes</w:t>
      </w:r>
      <w:r w:rsidR="00354FB4" w:rsidRPr="00B01850">
        <w:rPr>
          <w:rFonts w:ascii="Arial" w:hAnsi="Arial" w:cs="Arial"/>
        </w:rPr>
        <w:t xml:space="preserve">. </w:t>
      </w:r>
      <w:r w:rsidRPr="00B01850">
        <w:rPr>
          <w:rFonts w:ascii="Arial" w:hAnsi="Arial" w:cs="Arial"/>
        </w:rPr>
        <w:t xml:space="preserve">Un exemplaire du plan spécifique de gestion de la sécurité routière </w:t>
      </w:r>
      <w:r w:rsidR="00C21952" w:rsidRPr="00B01850">
        <w:rPr>
          <w:rFonts w:ascii="Arial" w:hAnsi="Arial" w:cs="Arial"/>
        </w:rPr>
        <w:t xml:space="preserve">doit être gardé à portée de main dans les locaux des entreprises ou des fournisseurs. Des sensibilisations et des formations doivent réalisées à l’attention de tout le personnel et par la suite tous </w:t>
      </w:r>
      <w:r w:rsidR="00354FB4" w:rsidRPr="00B01850">
        <w:rPr>
          <w:rFonts w:ascii="Arial" w:hAnsi="Arial" w:cs="Arial"/>
        </w:rPr>
        <w:t xml:space="preserve">les employés sont </w:t>
      </w:r>
      <w:r w:rsidR="00414EA0" w:rsidRPr="00B01850">
        <w:rPr>
          <w:rFonts w:ascii="Arial" w:hAnsi="Arial" w:cs="Arial"/>
        </w:rPr>
        <w:t xml:space="preserve">invités à </w:t>
      </w:r>
      <w:r w:rsidR="00354FB4" w:rsidRPr="00B01850">
        <w:rPr>
          <w:rFonts w:ascii="Arial" w:hAnsi="Arial" w:cs="Arial"/>
        </w:rPr>
        <w:t xml:space="preserve">conformer à </w:t>
      </w:r>
      <w:r w:rsidR="00414EA0" w:rsidRPr="00B01850">
        <w:rPr>
          <w:rFonts w:ascii="Arial" w:hAnsi="Arial" w:cs="Arial"/>
        </w:rPr>
        <w:t>ce plan</w:t>
      </w:r>
      <w:r w:rsidR="00354FB4" w:rsidRPr="00B01850">
        <w:rPr>
          <w:rFonts w:ascii="Arial" w:hAnsi="Arial" w:cs="Arial"/>
        </w:rPr>
        <w:t>.</w:t>
      </w:r>
    </w:p>
    <w:p w14:paraId="45849F3E" w14:textId="77777777" w:rsidR="00F220B0" w:rsidRPr="00B01850" w:rsidRDefault="00F220B0" w:rsidP="008769A5">
      <w:pPr>
        <w:spacing w:after="0" w:line="240" w:lineRule="auto"/>
        <w:jc w:val="both"/>
        <w:rPr>
          <w:rFonts w:ascii="Arial" w:hAnsi="Arial" w:cs="Arial"/>
          <w:b/>
          <w:bCs/>
        </w:rPr>
      </w:pPr>
    </w:p>
    <w:p w14:paraId="7E97837A" w14:textId="67AA8847" w:rsidR="00354FB4" w:rsidRPr="00B01850" w:rsidRDefault="00F220B0" w:rsidP="00214DCC">
      <w:pPr>
        <w:pStyle w:val="ListParagraph"/>
        <w:numPr>
          <w:ilvl w:val="0"/>
          <w:numId w:val="140"/>
        </w:numPr>
        <w:spacing w:after="0" w:line="240" w:lineRule="auto"/>
        <w:jc w:val="both"/>
        <w:rPr>
          <w:rFonts w:ascii="Arial" w:hAnsi="Arial" w:cs="Arial"/>
          <w:b/>
          <w:bCs/>
        </w:rPr>
      </w:pPr>
      <w:r w:rsidRPr="00B01850">
        <w:rPr>
          <w:rFonts w:ascii="Arial" w:hAnsi="Arial" w:cs="Arial"/>
          <w:b/>
          <w:bCs/>
        </w:rPr>
        <w:t>Plans de gestion de la sécurité routière par activité</w:t>
      </w:r>
    </w:p>
    <w:p w14:paraId="5A43F4FE" w14:textId="77777777" w:rsidR="00F220B0" w:rsidRPr="00B01850" w:rsidRDefault="00F220B0" w:rsidP="008769A5">
      <w:pPr>
        <w:spacing w:after="0" w:line="240" w:lineRule="auto"/>
        <w:jc w:val="both"/>
        <w:rPr>
          <w:rFonts w:ascii="Arial" w:hAnsi="Arial" w:cs="Arial"/>
        </w:rPr>
      </w:pPr>
    </w:p>
    <w:p w14:paraId="159BEAEA" w14:textId="73244081" w:rsidR="00354FB4" w:rsidRPr="00B01850" w:rsidRDefault="00354FB4" w:rsidP="008769A5">
      <w:pPr>
        <w:spacing w:after="0" w:line="240" w:lineRule="auto"/>
        <w:jc w:val="both"/>
        <w:rPr>
          <w:rFonts w:ascii="Arial" w:hAnsi="Arial" w:cs="Arial"/>
        </w:rPr>
      </w:pPr>
      <w:r w:rsidRPr="00B01850">
        <w:rPr>
          <w:rFonts w:ascii="Arial" w:hAnsi="Arial" w:cs="Arial"/>
        </w:rPr>
        <w:t xml:space="preserve">Cette section décrit les exigences relatives à l'élaboration d'un plan de gestion de la sécurité routière par activité, qui doit également prendre en considération la section 5 de la Note de bonnes pratiques de la Banque mondiale sur la sécurité routière dans le cadre de la NES n°4 du CES et les considérations environnementales et sociales énumérées dans le présent PGES. Des mesures spécifiques aux activités du projet devraient être ajoutées en fonction des risques et effets spécifiques identifiés. Le maître d'ouvrage ou le fournisseur est tenu d'établir un plan détaillé sur la manière dont il effectuera ses travaux afin de s'assurer que les risques pour la santé et la sécurité posés par les engins et véhicules mobiles sont </w:t>
      </w:r>
      <w:r w:rsidR="009D7EB1" w:rsidRPr="00B01850">
        <w:rPr>
          <w:rFonts w:ascii="Arial" w:hAnsi="Arial" w:cs="Arial"/>
        </w:rPr>
        <w:t>gérés suivant la hiérarchie d’atténuation</w:t>
      </w:r>
      <w:r w:rsidRPr="00B01850">
        <w:rPr>
          <w:rFonts w:ascii="Arial" w:hAnsi="Arial" w:cs="Arial"/>
        </w:rPr>
        <w:t>.</w:t>
      </w:r>
    </w:p>
    <w:p w14:paraId="204211BF" w14:textId="77777777" w:rsidR="00F220B0" w:rsidRPr="00B01850" w:rsidRDefault="00F220B0" w:rsidP="008769A5">
      <w:pPr>
        <w:spacing w:after="0" w:line="240" w:lineRule="auto"/>
        <w:jc w:val="both"/>
        <w:rPr>
          <w:rFonts w:ascii="Arial" w:hAnsi="Arial" w:cs="Arial"/>
        </w:rPr>
      </w:pPr>
    </w:p>
    <w:p w14:paraId="3E08BA56" w14:textId="132E40B0" w:rsidR="00354FB4" w:rsidRPr="00B01850" w:rsidRDefault="00F220B0" w:rsidP="008769A5">
      <w:pPr>
        <w:spacing w:after="0" w:line="240" w:lineRule="auto"/>
        <w:jc w:val="both"/>
        <w:rPr>
          <w:rFonts w:ascii="Arial" w:hAnsi="Arial" w:cs="Arial"/>
        </w:rPr>
      </w:pPr>
      <w:r w:rsidRPr="00B01850">
        <w:rPr>
          <w:rFonts w:ascii="Arial" w:hAnsi="Arial" w:cs="Arial"/>
          <w:b/>
          <w:bCs/>
        </w:rPr>
        <w:lastRenderedPageBreak/>
        <w:t xml:space="preserve">Description de l'activité : </w:t>
      </w:r>
      <w:r w:rsidR="004E7362" w:rsidRPr="00B01850">
        <w:rPr>
          <w:rFonts w:ascii="Arial" w:hAnsi="Arial" w:cs="Arial"/>
          <w:bCs/>
        </w:rPr>
        <w:t xml:space="preserve">il s’agit d’indiquer le chemin d’acheminement des biens et services dont l’entreprise partenaire et son sous-traitant </w:t>
      </w:r>
      <w:r w:rsidR="00555328" w:rsidRPr="00B01850">
        <w:rPr>
          <w:rFonts w:ascii="Arial" w:hAnsi="Arial" w:cs="Arial"/>
          <w:bCs/>
        </w:rPr>
        <w:t xml:space="preserve">doivent emprunter à travers une carte Google. Cette indication doit ressortir les </w:t>
      </w:r>
      <w:r w:rsidR="00555328" w:rsidRPr="00B01850">
        <w:rPr>
          <w:rFonts w:ascii="Arial" w:hAnsi="Arial" w:cs="Arial"/>
        </w:rPr>
        <w:t xml:space="preserve">itinéraires, les types de routes, l’emplacement des communautés par rapport à la circulation, les ouvrages de franchissements, les écoles, les autres points sensibles le long de la route à emprunter, etc. </w:t>
      </w:r>
      <w:r w:rsidR="00354FB4" w:rsidRPr="00B01850">
        <w:rPr>
          <w:rFonts w:ascii="Arial" w:hAnsi="Arial" w:cs="Arial"/>
        </w:rPr>
        <w:t xml:space="preserve">Qui </w:t>
      </w:r>
      <w:r w:rsidR="00555328" w:rsidRPr="00B01850">
        <w:rPr>
          <w:rFonts w:ascii="Arial" w:hAnsi="Arial" w:cs="Arial"/>
        </w:rPr>
        <w:t>sont susceptibles d’être touchés par l’augmentation du trafic et de quelle manière ?</w:t>
      </w:r>
    </w:p>
    <w:p w14:paraId="7A89FC7E" w14:textId="77777777" w:rsidR="00F220B0" w:rsidRPr="00B01850" w:rsidRDefault="00F220B0" w:rsidP="008769A5">
      <w:pPr>
        <w:spacing w:after="0" w:line="240" w:lineRule="auto"/>
        <w:jc w:val="both"/>
        <w:rPr>
          <w:rFonts w:ascii="Arial" w:hAnsi="Arial" w:cs="Arial"/>
          <w:b/>
          <w:bCs/>
        </w:rPr>
      </w:pPr>
    </w:p>
    <w:p w14:paraId="6FE151ED" w14:textId="25A1BDAA" w:rsidR="00354FB4" w:rsidRPr="00B01850" w:rsidRDefault="00A91FA4" w:rsidP="008769A5">
      <w:pPr>
        <w:spacing w:after="0" w:line="240" w:lineRule="auto"/>
        <w:jc w:val="both"/>
        <w:rPr>
          <w:rFonts w:ascii="Arial" w:hAnsi="Arial" w:cs="Arial"/>
        </w:rPr>
      </w:pPr>
      <w:r w:rsidRPr="00B01850">
        <w:rPr>
          <w:rFonts w:ascii="Arial" w:hAnsi="Arial" w:cs="Arial"/>
        </w:rPr>
        <w:t xml:space="preserve">Pour les intervenants qui disposent de bases, il conviendra d’élaborer </w:t>
      </w:r>
      <w:r w:rsidR="00354FB4" w:rsidRPr="00B01850">
        <w:rPr>
          <w:rFonts w:ascii="Arial" w:hAnsi="Arial" w:cs="Arial"/>
        </w:rPr>
        <w:t xml:space="preserve">un plan </w:t>
      </w:r>
      <w:r w:rsidRPr="00B01850">
        <w:rPr>
          <w:rFonts w:ascii="Arial" w:hAnsi="Arial" w:cs="Arial"/>
        </w:rPr>
        <w:t>inclu</w:t>
      </w:r>
      <w:r w:rsidR="00981A5D" w:rsidRPr="00B01850">
        <w:rPr>
          <w:rFonts w:ascii="Arial" w:hAnsi="Arial" w:cs="Arial"/>
        </w:rPr>
        <w:t xml:space="preserve">ant </w:t>
      </w:r>
      <w:r w:rsidRPr="00B01850">
        <w:rPr>
          <w:rFonts w:ascii="Arial" w:hAnsi="Arial" w:cs="Arial"/>
        </w:rPr>
        <w:t xml:space="preserve">les </w:t>
      </w:r>
      <w:r w:rsidR="00354FB4" w:rsidRPr="00B01850">
        <w:rPr>
          <w:rFonts w:ascii="Arial" w:hAnsi="Arial" w:cs="Arial"/>
        </w:rPr>
        <w:t xml:space="preserve">aires de stationnement, </w:t>
      </w:r>
      <w:r w:rsidRPr="00B01850">
        <w:rPr>
          <w:rFonts w:ascii="Arial" w:hAnsi="Arial" w:cs="Arial"/>
        </w:rPr>
        <w:t>l</w:t>
      </w:r>
      <w:r w:rsidR="00354FB4" w:rsidRPr="00B01850">
        <w:rPr>
          <w:rFonts w:ascii="Arial" w:hAnsi="Arial" w:cs="Arial"/>
        </w:rPr>
        <w:t xml:space="preserve">es routes d'accès, </w:t>
      </w:r>
      <w:r w:rsidRPr="00B01850">
        <w:rPr>
          <w:rFonts w:ascii="Arial" w:hAnsi="Arial" w:cs="Arial"/>
        </w:rPr>
        <w:t>l</w:t>
      </w:r>
      <w:r w:rsidR="00354FB4" w:rsidRPr="00B01850">
        <w:rPr>
          <w:rFonts w:ascii="Arial" w:hAnsi="Arial" w:cs="Arial"/>
        </w:rPr>
        <w:t xml:space="preserve">es aires de chargement et de déchargement, </w:t>
      </w:r>
      <w:r w:rsidRPr="00B01850">
        <w:rPr>
          <w:rFonts w:ascii="Arial" w:hAnsi="Arial" w:cs="Arial"/>
        </w:rPr>
        <w:t>l</w:t>
      </w:r>
      <w:r w:rsidR="00354FB4" w:rsidRPr="00B01850">
        <w:rPr>
          <w:rFonts w:ascii="Arial" w:hAnsi="Arial" w:cs="Arial"/>
        </w:rPr>
        <w:t xml:space="preserve">es aires de ravitaillement, </w:t>
      </w:r>
      <w:r w:rsidRPr="00B01850">
        <w:rPr>
          <w:rFonts w:ascii="Arial" w:hAnsi="Arial" w:cs="Arial"/>
        </w:rPr>
        <w:t>l</w:t>
      </w:r>
      <w:r w:rsidR="00354FB4" w:rsidRPr="00B01850">
        <w:rPr>
          <w:rFonts w:ascii="Arial" w:hAnsi="Arial" w:cs="Arial"/>
        </w:rPr>
        <w:t xml:space="preserve">es angles morts ou </w:t>
      </w:r>
      <w:r w:rsidRPr="00B01850">
        <w:rPr>
          <w:rFonts w:ascii="Arial" w:hAnsi="Arial" w:cs="Arial"/>
        </w:rPr>
        <w:t>l</w:t>
      </w:r>
      <w:r w:rsidR="00354FB4" w:rsidRPr="00B01850">
        <w:rPr>
          <w:rFonts w:ascii="Arial" w:hAnsi="Arial" w:cs="Arial"/>
        </w:rPr>
        <w:t>es angles vifs, l'accès pour les services d'urgence, y compris les réunions d'urgence, les espaces de travail et les ateliers, les bureaux, les installations sanitaires, les cuisines</w:t>
      </w:r>
      <w:r w:rsidRPr="00B01850">
        <w:rPr>
          <w:rFonts w:ascii="Arial" w:hAnsi="Arial" w:cs="Arial"/>
        </w:rPr>
        <w:t xml:space="preserve">, </w:t>
      </w:r>
      <w:r w:rsidR="00354FB4" w:rsidRPr="00B01850">
        <w:rPr>
          <w:rFonts w:ascii="Arial" w:hAnsi="Arial" w:cs="Arial"/>
        </w:rPr>
        <w:t>les aires de repos</w:t>
      </w:r>
      <w:r w:rsidRPr="00B01850">
        <w:rPr>
          <w:rFonts w:ascii="Arial" w:hAnsi="Arial" w:cs="Arial"/>
        </w:rPr>
        <w:t>, les points de rassemb</w:t>
      </w:r>
      <w:r w:rsidR="00F53F83" w:rsidRPr="00B01850">
        <w:rPr>
          <w:rFonts w:ascii="Arial" w:hAnsi="Arial" w:cs="Arial"/>
        </w:rPr>
        <w:t>l</w:t>
      </w:r>
      <w:r w:rsidRPr="00B01850">
        <w:rPr>
          <w:rFonts w:ascii="Arial" w:hAnsi="Arial" w:cs="Arial"/>
        </w:rPr>
        <w:t>ement, etc</w:t>
      </w:r>
      <w:r w:rsidR="00354FB4" w:rsidRPr="00B01850">
        <w:rPr>
          <w:rFonts w:ascii="Arial" w:hAnsi="Arial" w:cs="Arial"/>
        </w:rPr>
        <w:t>.</w:t>
      </w:r>
    </w:p>
    <w:p w14:paraId="7DDA4C31" w14:textId="77777777" w:rsidR="00F220B0" w:rsidRPr="00B01850" w:rsidRDefault="00F220B0" w:rsidP="00214DCC">
      <w:pPr>
        <w:pStyle w:val="ListParagraph"/>
        <w:numPr>
          <w:ilvl w:val="0"/>
          <w:numId w:val="141"/>
        </w:numPr>
        <w:spacing w:before="120" w:after="120" w:line="240" w:lineRule="auto"/>
        <w:contextualSpacing w:val="0"/>
        <w:jc w:val="both"/>
        <w:rPr>
          <w:rFonts w:ascii="Arial" w:hAnsi="Arial" w:cs="Arial"/>
        </w:rPr>
      </w:pPr>
      <w:r w:rsidRPr="00B01850">
        <w:rPr>
          <w:rFonts w:ascii="Arial" w:hAnsi="Arial" w:cs="Arial"/>
        </w:rPr>
        <w:t>Évaluation des risques de l'activité</w:t>
      </w:r>
    </w:p>
    <w:p w14:paraId="1C5074A4" w14:textId="41A0F9DC" w:rsidR="000E2B27" w:rsidRPr="00B01850" w:rsidRDefault="00221190" w:rsidP="000E2B27">
      <w:pPr>
        <w:spacing w:before="120" w:after="120" w:line="240" w:lineRule="auto"/>
        <w:jc w:val="both"/>
        <w:rPr>
          <w:rFonts w:ascii="Arial" w:hAnsi="Arial" w:cs="Arial"/>
        </w:rPr>
      </w:pPr>
      <w:r w:rsidRPr="00B01850">
        <w:rPr>
          <w:rFonts w:ascii="Arial" w:hAnsi="Arial" w:cs="Arial"/>
        </w:rPr>
        <w:t xml:space="preserve">Une bonne </w:t>
      </w:r>
      <w:r w:rsidR="000E2B27" w:rsidRPr="00B01850">
        <w:rPr>
          <w:rFonts w:ascii="Arial" w:hAnsi="Arial" w:cs="Arial"/>
        </w:rPr>
        <w:t xml:space="preserve">évaluation des risques relatifs à la sécurité routière </w:t>
      </w:r>
      <w:r w:rsidRPr="00B01850">
        <w:rPr>
          <w:rFonts w:ascii="Arial" w:hAnsi="Arial" w:cs="Arial"/>
        </w:rPr>
        <w:t xml:space="preserve">s’appuierait sur </w:t>
      </w:r>
      <w:r w:rsidR="000E2B27" w:rsidRPr="00B01850">
        <w:rPr>
          <w:rFonts w:ascii="Arial" w:hAnsi="Arial" w:cs="Arial"/>
        </w:rPr>
        <w:t xml:space="preserve">les éléments </w:t>
      </w:r>
      <w:r w:rsidRPr="00B01850">
        <w:rPr>
          <w:rFonts w:ascii="Arial" w:hAnsi="Arial" w:cs="Arial"/>
        </w:rPr>
        <w:t>ci-après :</w:t>
      </w:r>
    </w:p>
    <w:p w14:paraId="32FF16B7" w14:textId="11D6F0A3"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Identifiez tous les passages à niveau où les piétons, les véhicules et les autres usagers de la route se croisent.</w:t>
      </w:r>
    </w:p>
    <w:p w14:paraId="3B7985E4"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Identifier toutes les activités qui se déroulent dans les zones proches des véhicules et des installations en mouvement (quais de chargement, zones de ravitaillement, zone piétonne)</w:t>
      </w:r>
    </w:p>
    <w:p w14:paraId="4012572B"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Procéder à une évaluation des risques sur le site et prévoir des mesures pour éviter les accidents. L'évaluation des risques devrait préciser les rôles et responsabilités en matière de mise en œuvre.</w:t>
      </w:r>
    </w:p>
    <w:p w14:paraId="1AA6D036"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Dangers et risques liés aux objets en mouvement (grues, véhicules transportant des charges).</w:t>
      </w:r>
    </w:p>
    <w:p w14:paraId="0C8E54F4"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Dangers et risques liés aux objets volants (transport de carrières, de terre et de sable, de déchets, de roches projetées par le dynamitage, de matériaux de toiture).</w:t>
      </w:r>
    </w:p>
    <w:p w14:paraId="6734DFAE"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Dangers et risques liés aux collisions avec des véhicules en mouvement</w:t>
      </w:r>
    </w:p>
    <w:p w14:paraId="72761270"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Dangers et risques liés aux collisions avec des objets fixes ou fixes (empilement inadéquat de matériaux tels que le bois ou les briques, qui peuvent amener une personne à marcher dedans, mauvais entretien ménager dans les zones de travail, bords d'échafaudages près des allées, véhicules en marche arrière dans des réservoirs de carburant ou des bâtiments)</w:t>
      </w:r>
    </w:p>
    <w:p w14:paraId="36AE5909"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Mouvements des véhicules et des installations</w:t>
      </w:r>
    </w:p>
    <w:p w14:paraId="599A7BF8"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Indiquez le type d'installation et de véhicules, leur utilisation et le type de charge et la charge maximale (peut être dans un tableau) ;</w:t>
      </w:r>
    </w:p>
    <w:p w14:paraId="1692C0CC"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Mesures mises en œuvre pour assurer la visibilité sur les routes (signalisation, y compris la signalisation réfléchissante) ;</w:t>
      </w:r>
    </w:p>
    <w:p w14:paraId="73F867C7"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Mesures visant à s'assurer que les véhicules sont adaptés à l'usage prévu et qu'ils sont contrôlés avant chaque utilisation (inspections préalables à la mise en service) ;</w:t>
      </w:r>
    </w:p>
    <w:p w14:paraId="1BB23016"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 xml:space="preserve">Mesures visant à éviter les défaillances mécaniques des installations et des véhicules (telles que les ruptures de frein) ; </w:t>
      </w:r>
    </w:p>
    <w:p w14:paraId="1DEB79F6"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Mesures visant à éviter les accidents dus aux conditions environnementales/météorologiques (par exemple, chaussées glissantes pendant la saison des pluies, vents violents lors de la conduite d'une grue) ;</w:t>
      </w:r>
    </w:p>
    <w:p w14:paraId="525C3F45" w14:textId="58B01558" w:rsidR="00354FB4" w:rsidRPr="00B01850" w:rsidRDefault="007D27A8" w:rsidP="00214DCC">
      <w:pPr>
        <w:pStyle w:val="ListParagraph"/>
        <w:numPr>
          <w:ilvl w:val="0"/>
          <w:numId w:val="143"/>
        </w:numPr>
        <w:spacing w:after="0" w:line="240" w:lineRule="auto"/>
        <w:jc w:val="both"/>
        <w:rPr>
          <w:rFonts w:ascii="Arial" w:hAnsi="Arial" w:cs="Arial"/>
        </w:rPr>
      </w:pPr>
      <w:r w:rsidRPr="00B01850">
        <w:rPr>
          <w:rFonts w:ascii="Arial" w:hAnsi="Arial" w:cs="Arial"/>
        </w:rPr>
        <w:t>U</w:t>
      </w:r>
      <w:r w:rsidR="00354FB4" w:rsidRPr="00B01850">
        <w:rPr>
          <w:rFonts w:ascii="Arial" w:hAnsi="Arial" w:cs="Arial"/>
        </w:rPr>
        <w:t>n</w:t>
      </w:r>
      <w:r w:rsidRPr="00B01850">
        <w:rPr>
          <w:rFonts w:ascii="Arial" w:hAnsi="Arial" w:cs="Arial"/>
        </w:rPr>
        <w:t xml:space="preserve"> </w:t>
      </w:r>
      <w:r w:rsidR="00354FB4" w:rsidRPr="00B01850">
        <w:rPr>
          <w:rFonts w:ascii="Arial" w:hAnsi="Arial" w:cs="Arial"/>
        </w:rPr>
        <w:t xml:space="preserve">éclairage suffisant, en particulier pour les travaux de nuit ; </w:t>
      </w:r>
    </w:p>
    <w:p w14:paraId="37F427C3"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Gestion des véhicules de passage tels que les camions de livraison ;</w:t>
      </w:r>
    </w:p>
    <w:p w14:paraId="0026130F"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t>Élaborer des procédures opérationnelles sûres pour toutes les activités de chargement et de déchargement</w:t>
      </w:r>
    </w:p>
    <w:p w14:paraId="4FB5E4DD" w14:textId="77777777" w:rsidR="00354FB4" w:rsidRPr="00B01850" w:rsidRDefault="00354FB4" w:rsidP="00214DCC">
      <w:pPr>
        <w:pStyle w:val="ListParagraph"/>
        <w:numPr>
          <w:ilvl w:val="0"/>
          <w:numId w:val="143"/>
        </w:numPr>
        <w:spacing w:after="0" w:line="240" w:lineRule="auto"/>
        <w:jc w:val="both"/>
        <w:rPr>
          <w:rFonts w:ascii="Arial" w:hAnsi="Arial" w:cs="Arial"/>
        </w:rPr>
      </w:pPr>
      <w:r w:rsidRPr="00B01850">
        <w:rPr>
          <w:rFonts w:ascii="Arial" w:hAnsi="Arial" w:cs="Arial"/>
        </w:rPr>
        <w:lastRenderedPageBreak/>
        <w:t>Mesures visant à éviter la surcharge</w:t>
      </w:r>
    </w:p>
    <w:p w14:paraId="4723D311" w14:textId="6EB2089B" w:rsidR="00354FB4" w:rsidRPr="00B01850" w:rsidRDefault="00354FB4" w:rsidP="00214DCC">
      <w:pPr>
        <w:pStyle w:val="ListParagraph"/>
        <w:numPr>
          <w:ilvl w:val="0"/>
          <w:numId w:val="142"/>
        </w:numPr>
        <w:spacing w:before="120" w:after="120" w:line="240" w:lineRule="auto"/>
        <w:contextualSpacing w:val="0"/>
        <w:jc w:val="both"/>
        <w:rPr>
          <w:rFonts w:ascii="Arial" w:hAnsi="Arial" w:cs="Arial"/>
        </w:rPr>
      </w:pPr>
      <w:r w:rsidRPr="00B01850">
        <w:rPr>
          <w:rFonts w:ascii="Arial" w:hAnsi="Arial" w:cs="Arial"/>
        </w:rPr>
        <w:t>Matières dangereuses et lutte contre les déversements</w:t>
      </w:r>
    </w:p>
    <w:p w14:paraId="446510B0" w14:textId="35000EAE"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Registres des matières dangereuses présentes sur le site et fiches de données de sécurité (FDS)</w:t>
      </w:r>
      <w:r w:rsidR="00150299" w:rsidRPr="00B01850">
        <w:rPr>
          <w:rFonts w:ascii="Arial" w:hAnsi="Arial" w:cs="Arial"/>
        </w:rPr>
        <w:t> ;</w:t>
      </w:r>
    </w:p>
    <w:p w14:paraId="743DFDC9" w14:textId="54C2896F"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Formation des travailleurs sur les fiches signalétiques</w:t>
      </w:r>
      <w:r w:rsidR="00150299" w:rsidRPr="00B01850">
        <w:rPr>
          <w:rFonts w:ascii="Arial" w:hAnsi="Arial" w:cs="Arial"/>
        </w:rPr>
        <w:t> ;</w:t>
      </w:r>
    </w:p>
    <w:p w14:paraId="093DFDA9" w14:textId="3C4587F3"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Mesures de prévention, de minimisation et de nettoyage des déversements, fourniture de matériel d'intervention en cas de déversement</w:t>
      </w:r>
      <w:r w:rsidR="00150299" w:rsidRPr="00B01850">
        <w:rPr>
          <w:rFonts w:ascii="Arial" w:hAnsi="Arial" w:cs="Arial"/>
        </w:rPr>
        <w:t> ;</w:t>
      </w:r>
    </w:p>
    <w:p w14:paraId="2A38F6C4" w14:textId="0FD4F7DA"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Établir des zones sûres pour le stationnement, la livraison et le stockage des matières dangereuses</w:t>
      </w:r>
      <w:r w:rsidR="00150299" w:rsidRPr="00B01850">
        <w:rPr>
          <w:rFonts w:ascii="Arial" w:hAnsi="Arial" w:cs="Arial"/>
        </w:rPr>
        <w:t> ;</w:t>
      </w:r>
      <w:r w:rsidRPr="00B01850">
        <w:rPr>
          <w:rFonts w:ascii="Arial" w:hAnsi="Arial" w:cs="Arial"/>
        </w:rPr>
        <w:t xml:space="preserve"> </w:t>
      </w:r>
    </w:p>
    <w:p w14:paraId="665F83C9" w14:textId="27D630C7"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Des dispositions pour des aires sanitaires désignées afin d'éviter la contamination des terres ou des ressources en eau</w:t>
      </w:r>
      <w:r w:rsidR="00150299" w:rsidRPr="00B01850">
        <w:rPr>
          <w:rFonts w:ascii="Arial" w:hAnsi="Arial" w:cs="Arial"/>
        </w:rPr>
        <w:t> ;</w:t>
      </w:r>
    </w:p>
    <w:p w14:paraId="794F93E7" w14:textId="07B61607"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Règlement intérieur du site, communication et formation</w:t>
      </w:r>
      <w:r w:rsidR="00150299" w:rsidRPr="00B01850">
        <w:rPr>
          <w:rFonts w:ascii="Arial" w:hAnsi="Arial" w:cs="Arial"/>
        </w:rPr>
        <w:t> ;</w:t>
      </w:r>
    </w:p>
    <w:p w14:paraId="7CE9F59B" w14:textId="0B36F476"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Limitations de vitesse, aires de stationnement, systèmes d'itinéraires à sens unique, initiation des visiteurs, pas de repos sous les installations et les véhicules, pas de marche arrière du site dans la circulation</w:t>
      </w:r>
      <w:r w:rsidR="00150299" w:rsidRPr="00B01850">
        <w:rPr>
          <w:rFonts w:ascii="Arial" w:hAnsi="Arial" w:cs="Arial"/>
        </w:rPr>
        <w:t> ;</w:t>
      </w:r>
    </w:p>
    <w:p w14:paraId="368042B4" w14:textId="61E56790"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Interdiction de stationner à proximité de structures comme les échafaudages</w:t>
      </w:r>
      <w:r w:rsidR="00150299" w:rsidRPr="00B01850">
        <w:rPr>
          <w:rFonts w:ascii="Arial" w:hAnsi="Arial" w:cs="Arial"/>
        </w:rPr>
        <w:t> ;</w:t>
      </w:r>
    </w:p>
    <w:p w14:paraId="710A3AAA" w14:textId="2B0525CF"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Intégration dans le code de conduite des règles relatives à la circulation sur le site et des mesures de contrôle de la conduite</w:t>
      </w:r>
      <w:r w:rsidR="00150299" w:rsidRPr="00B01850">
        <w:rPr>
          <w:rFonts w:ascii="Arial" w:hAnsi="Arial" w:cs="Arial"/>
        </w:rPr>
        <w:t> ;</w:t>
      </w:r>
    </w:p>
    <w:p w14:paraId="30796D04" w14:textId="28394A57"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Former les travailleurs au signalement des incidents</w:t>
      </w:r>
      <w:r w:rsidR="00150299" w:rsidRPr="00B01850">
        <w:rPr>
          <w:rFonts w:ascii="Arial" w:hAnsi="Arial" w:cs="Arial"/>
        </w:rPr>
        <w:t> ;</w:t>
      </w:r>
    </w:p>
    <w:p w14:paraId="3D58039A" w14:textId="46BC39E5"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Horaires de travail (éviter et minimiser les impacts du bruit, de la poussière, sécurité des enfants qui vont à l'école)</w:t>
      </w:r>
      <w:r w:rsidR="00150299" w:rsidRPr="00B01850">
        <w:rPr>
          <w:rFonts w:ascii="Arial" w:hAnsi="Arial" w:cs="Arial"/>
        </w:rPr>
        <w:t> ;</w:t>
      </w:r>
    </w:p>
    <w:p w14:paraId="2C169772" w14:textId="77777777"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Prévoir des mesures pour assurer la sécurité des travailleurs pendant le transport (compétence du conducteur, adéquation et sécurité du véhicule, y compris les dispositions relatives au port des ceintures de sécurité, état des routes).</w:t>
      </w:r>
    </w:p>
    <w:p w14:paraId="79BCB99E" w14:textId="77777777" w:rsidR="00354FB4" w:rsidRPr="00B01850" w:rsidRDefault="00354FB4" w:rsidP="00214DCC">
      <w:pPr>
        <w:pStyle w:val="ListParagraph"/>
        <w:numPr>
          <w:ilvl w:val="0"/>
          <w:numId w:val="147"/>
        </w:numPr>
        <w:spacing w:before="120" w:after="120" w:line="240" w:lineRule="auto"/>
        <w:contextualSpacing w:val="0"/>
        <w:jc w:val="both"/>
        <w:rPr>
          <w:rFonts w:ascii="Arial" w:hAnsi="Arial" w:cs="Arial"/>
        </w:rPr>
      </w:pPr>
      <w:r w:rsidRPr="00B01850">
        <w:rPr>
          <w:rFonts w:ascii="Arial" w:hAnsi="Arial" w:cs="Arial"/>
        </w:rPr>
        <w:t>Élaborer des procédures d'exploitation sûres pour ce qui suit :</w:t>
      </w:r>
    </w:p>
    <w:p w14:paraId="5829CDFF" w14:textId="77777777"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Gestion de flotte et sécurité routière des véhicules, marquage des véhicules, etc.</w:t>
      </w:r>
    </w:p>
    <w:p w14:paraId="56D0832E" w14:textId="77777777"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Évaluation du chauffeur, enregistrement, horaires de travail, etc.</w:t>
      </w:r>
    </w:p>
    <w:p w14:paraId="184569DC" w14:textId="77777777"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Itinéraires de conduite Gestion de la circulation, y compris le colmatage des nids-de-poule par la conduite, le dégagement des obstacles tombés des véhicules, etc.</w:t>
      </w:r>
    </w:p>
    <w:p w14:paraId="39FAD0D9" w14:textId="77777777" w:rsidR="00354FB4" w:rsidRPr="00B01850" w:rsidRDefault="00354FB4" w:rsidP="00214DCC">
      <w:pPr>
        <w:pStyle w:val="ListParagraph"/>
        <w:numPr>
          <w:ilvl w:val="0"/>
          <w:numId w:val="144"/>
        </w:numPr>
        <w:spacing w:after="0" w:line="240" w:lineRule="auto"/>
        <w:jc w:val="both"/>
        <w:rPr>
          <w:rFonts w:ascii="Arial" w:hAnsi="Arial" w:cs="Arial"/>
        </w:rPr>
      </w:pPr>
      <w:r w:rsidRPr="00B01850">
        <w:rPr>
          <w:rFonts w:ascii="Arial" w:hAnsi="Arial" w:cs="Arial"/>
        </w:rPr>
        <w:t>Gestion de la sécurité routière sur le site, y compris plan d'aménagement du site marquant des itinéraires pour les véhicules, les piétons, etc.</w:t>
      </w:r>
    </w:p>
    <w:p w14:paraId="662AE9F3" w14:textId="77777777" w:rsidR="00150299" w:rsidRPr="00B01850" w:rsidRDefault="00354FB4" w:rsidP="00214DCC">
      <w:pPr>
        <w:pStyle w:val="ListParagraph"/>
        <w:numPr>
          <w:ilvl w:val="0"/>
          <w:numId w:val="144"/>
        </w:numPr>
        <w:spacing w:after="0" w:line="240" w:lineRule="auto"/>
        <w:jc w:val="both"/>
        <w:rPr>
          <w:rFonts w:ascii="Arial" w:hAnsi="Arial" w:cs="Arial"/>
          <w:b/>
          <w:bCs/>
        </w:rPr>
      </w:pPr>
      <w:r w:rsidRPr="00B01850">
        <w:rPr>
          <w:rFonts w:ascii="Arial" w:hAnsi="Arial" w:cs="Arial"/>
        </w:rPr>
        <w:t>Procédures d'urgence, en cas d'accident/incident, que faire sur les lieux (indépendamment de l'ESIRT).</w:t>
      </w:r>
    </w:p>
    <w:p w14:paraId="4E7C843A" w14:textId="77777777" w:rsidR="00F220B0" w:rsidRPr="00B01850" w:rsidRDefault="00F220B0" w:rsidP="00214DCC">
      <w:pPr>
        <w:pStyle w:val="ListParagraph"/>
        <w:numPr>
          <w:ilvl w:val="0"/>
          <w:numId w:val="148"/>
        </w:numPr>
        <w:spacing w:before="240" w:after="240" w:line="240" w:lineRule="auto"/>
        <w:contextualSpacing w:val="0"/>
        <w:jc w:val="both"/>
        <w:rPr>
          <w:rFonts w:ascii="Arial" w:hAnsi="Arial" w:cs="Arial"/>
          <w:b/>
          <w:bCs/>
        </w:rPr>
      </w:pPr>
      <w:r w:rsidRPr="00B01850">
        <w:rPr>
          <w:rFonts w:ascii="Arial" w:hAnsi="Arial" w:cs="Arial"/>
          <w:b/>
          <w:bCs/>
        </w:rPr>
        <w:t>Considérations générales</w:t>
      </w:r>
    </w:p>
    <w:p w14:paraId="0FEA635E" w14:textId="19E98EF2" w:rsidR="00354FB4" w:rsidRPr="00B01850" w:rsidRDefault="00354FB4" w:rsidP="008769A5">
      <w:pPr>
        <w:spacing w:after="0" w:line="240" w:lineRule="auto"/>
        <w:jc w:val="both"/>
        <w:rPr>
          <w:rFonts w:ascii="Arial" w:hAnsi="Arial" w:cs="Arial"/>
        </w:rPr>
      </w:pPr>
      <w:r w:rsidRPr="00B01850">
        <w:rPr>
          <w:rFonts w:ascii="Arial" w:hAnsi="Arial" w:cs="Arial"/>
        </w:rPr>
        <w:t>Les sections suivantes décrivent les considérations environnementales, sanitaires, sécuritaires et sociales générales à inclure dans les plans de gestion de la sécurité routière pour des travaux spécifiques.</w:t>
      </w:r>
    </w:p>
    <w:p w14:paraId="0AB8C98C" w14:textId="77777777" w:rsidR="00F220B0" w:rsidRPr="00B01850" w:rsidRDefault="00F220B0" w:rsidP="008769A5">
      <w:pPr>
        <w:spacing w:after="0" w:line="240" w:lineRule="auto"/>
        <w:jc w:val="both"/>
        <w:rPr>
          <w:rFonts w:ascii="Arial" w:hAnsi="Arial" w:cs="Arial"/>
        </w:rPr>
      </w:pPr>
    </w:p>
    <w:p w14:paraId="44993C6E" w14:textId="454783B5" w:rsidR="00F220B0" w:rsidRPr="00B01850" w:rsidRDefault="00F220B0" w:rsidP="00214DCC">
      <w:pPr>
        <w:pStyle w:val="ListParagraph"/>
        <w:numPr>
          <w:ilvl w:val="0"/>
          <w:numId w:val="149"/>
        </w:numPr>
        <w:spacing w:after="0" w:line="240" w:lineRule="auto"/>
        <w:jc w:val="both"/>
        <w:rPr>
          <w:rFonts w:ascii="Arial" w:hAnsi="Arial" w:cs="Arial"/>
        </w:rPr>
      </w:pPr>
      <w:r w:rsidRPr="00B01850">
        <w:rPr>
          <w:rFonts w:ascii="Arial" w:hAnsi="Arial" w:cs="Arial"/>
        </w:rPr>
        <w:t xml:space="preserve">Octroi de licences, routes et entretien : </w:t>
      </w:r>
    </w:p>
    <w:p w14:paraId="19F4A11F" w14:textId="1E1349E1" w:rsidR="00354FB4" w:rsidRPr="00B01850" w:rsidRDefault="00354FB4" w:rsidP="00FA1D4F">
      <w:pPr>
        <w:spacing w:before="120" w:after="120" w:line="240" w:lineRule="auto"/>
        <w:jc w:val="both"/>
        <w:rPr>
          <w:rFonts w:ascii="Arial" w:hAnsi="Arial" w:cs="Arial"/>
        </w:rPr>
      </w:pPr>
      <w:r w:rsidRPr="00B01850">
        <w:rPr>
          <w:rFonts w:ascii="Arial" w:hAnsi="Arial" w:cs="Arial"/>
        </w:rPr>
        <w:t>Octroi de licences : L'organisme d'exécution veille à ce que :</w:t>
      </w:r>
    </w:p>
    <w:p w14:paraId="58D5E8EB" w14:textId="77777777" w:rsidR="00354FB4" w:rsidRPr="00B01850" w:rsidRDefault="00354FB4" w:rsidP="00214DCC">
      <w:pPr>
        <w:pStyle w:val="ListParagraph"/>
        <w:numPr>
          <w:ilvl w:val="0"/>
          <w:numId w:val="156"/>
        </w:numPr>
        <w:spacing w:after="0" w:line="240" w:lineRule="auto"/>
        <w:jc w:val="both"/>
        <w:rPr>
          <w:rFonts w:ascii="Arial" w:hAnsi="Arial" w:cs="Arial"/>
        </w:rPr>
      </w:pPr>
      <w:r w:rsidRPr="00B01850">
        <w:rPr>
          <w:rFonts w:ascii="Arial" w:hAnsi="Arial" w:cs="Arial"/>
        </w:rPr>
        <w:t xml:space="preserve">Tous les véhicules du Projet satisfont aux exigences pertinentes en matière d'autorisation de circulation et de transport (par exemple en ce qui concerne les exigences relatives à l'octroi de licences relatives au transport de charges surdimensionnées ou de matières dangereuses, y compris les déchets dangereux). </w:t>
      </w:r>
    </w:p>
    <w:p w14:paraId="2155643A" w14:textId="3446A004" w:rsidR="00354FB4" w:rsidRPr="00B01850" w:rsidRDefault="00354FB4" w:rsidP="00214DCC">
      <w:pPr>
        <w:pStyle w:val="ListParagraph"/>
        <w:numPr>
          <w:ilvl w:val="0"/>
          <w:numId w:val="156"/>
        </w:numPr>
        <w:spacing w:after="0" w:line="240" w:lineRule="auto"/>
        <w:jc w:val="both"/>
        <w:rPr>
          <w:rFonts w:ascii="Arial" w:hAnsi="Arial" w:cs="Arial"/>
        </w:rPr>
      </w:pPr>
      <w:r w:rsidRPr="00B01850">
        <w:rPr>
          <w:rFonts w:ascii="Arial" w:hAnsi="Arial" w:cs="Arial"/>
        </w:rPr>
        <w:lastRenderedPageBreak/>
        <w:t xml:space="preserve">Tous les chauffeurs des véhicules utilisés pendant la durée du Projet doivent posséder les </w:t>
      </w:r>
      <w:r w:rsidR="00F217F1" w:rsidRPr="00B01850">
        <w:rPr>
          <w:rFonts w:ascii="Arial" w:hAnsi="Arial" w:cs="Arial"/>
        </w:rPr>
        <w:t>permis</w:t>
      </w:r>
      <w:r w:rsidRPr="00B01850">
        <w:rPr>
          <w:rFonts w:ascii="Arial" w:hAnsi="Arial" w:cs="Arial"/>
        </w:rPr>
        <w:t xml:space="preserve"> requis</w:t>
      </w:r>
      <w:r w:rsidR="00F217F1" w:rsidRPr="00B01850">
        <w:rPr>
          <w:rFonts w:ascii="Arial" w:hAnsi="Arial" w:cs="Arial"/>
        </w:rPr>
        <w:t xml:space="preserve"> </w:t>
      </w:r>
      <w:r w:rsidRPr="00B01850">
        <w:rPr>
          <w:rFonts w:ascii="Arial" w:hAnsi="Arial" w:cs="Arial"/>
        </w:rPr>
        <w:t>pour conduire tout véhicule (ou engin) qu'ils conduisent sur le Site ou sur voie publique.</w:t>
      </w:r>
    </w:p>
    <w:p w14:paraId="63F2CB47" w14:textId="77777777" w:rsidR="00354FB4" w:rsidRPr="00B01850" w:rsidRDefault="00354FB4" w:rsidP="00214DCC">
      <w:pPr>
        <w:pStyle w:val="ListParagraph"/>
        <w:numPr>
          <w:ilvl w:val="0"/>
          <w:numId w:val="156"/>
        </w:numPr>
        <w:spacing w:after="0" w:line="240" w:lineRule="auto"/>
        <w:jc w:val="both"/>
        <w:rPr>
          <w:rFonts w:ascii="Arial" w:hAnsi="Arial" w:cs="Arial"/>
        </w:rPr>
      </w:pPr>
      <w:r w:rsidRPr="00B01850">
        <w:rPr>
          <w:rFonts w:ascii="Arial" w:hAnsi="Arial" w:cs="Arial"/>
        </w:rPr>
        <w:t>Tous les véhicules du Projet doivent être munis de certificats et de licences en bon état de marche.</w:t>
      </w:r>
    </w:p>
    <w:p w14:paraId="746D4432" w14:textId="77777777" w:rsidR="00354FB4" w:rsidRPr="00B01850" w:rsidRDefault="00354FB4" w:rsidP="00214DCC">
      <w:pPr>
        <w:pStyle w:val="ListParagraph"/>
        <w:numPr>
          <w:ilvl w:val="0"/>
          <w:numId w:val="154"/>
        </w:numPr>
        <w:spacing w:before="120" w:after="120" w:line="240" w:lineRule="auto"/>
        <w:contextualSpacing w:val="0"/>
        <w:jc w:val="both"/>
        <w:rPr>
          <w:rFonts w:ascii="Arial" w:hAnsi="Arial" w:cs="Arial"/>
        </w:rPr>
      </w:pPr>
      <w:r w:rsidRPr="00B01850">
        <w:rPr>
          <w:rFonts w:ascii="Arial" w:hAnsi="Arial" w:cs="Arial"/>
        </w:rPr>
        <w:t>Entretien</w:t>
      </w:r>
    </w:p>
    <w:p w14:paraId="1EDE3777" w14:textId="507EF8B9" w:rsidR="00354FB4" w:rsidRPr="00B01850" w:rsidRDefault="00354FB4" w:rsidP="00214DCC">
      <w:pPr>
        <w:pStyle w:val="ListParagraph"/>
        <w:numPr>
          <w:ilvl w:val="0"/>
          <w:numId w:val="153"/>
        </w:numPr>
        <w:spacing w:after="0" w:line="240" w:lineRule="auto"/>
        <w:jc w:val="both"/>
        <w:rPr>
          <w:rFonts w:ascii="Arial" w:hAnsi="Arial" w:cs="Arial"/>
        </w:rPr>
      </w:pPr>
      <w:r w:rsidRPr="00B01850">
        <w:rPr>
          <w:rFonts w:ascii="Arial" w:hAnsi="Arial" w:cs="Arial"/>
        </w:rPr>
        <w:t>Tous les véhicules et engins utilisés pendant la durée du Projet seront régulièrement entretenus et réparés si nécessaire.</w:t>
      </w:r>
    </w:p>
    <w:p w14:paraId="52527F1D" w14:textId="77777777" w:rsidR="00354FB4" w:rsidRPr="00B01850" w:rsidRDefault="00354FB4" w:rsidP="00214DCC">
      <w:pPr>
        <w:pStyle w:val="ListParagraph"/>
        <w:numPr>
          <w:ilvl w:val="0"/>
          <w:numId w:val="153"/>
        </w:numPr>
        <w:spacing w:after="0" w:line="240" w:lineRule="auto"/>
        <w:jc w:val="both"/>
        <w:rPr>
          <w:rFonts w:ascii="Arial" w:hAnsi="Arial" w:cs="Arial"/>
        </w:rPr>
      </w:pPr>
      <w:r w:rsidRPr="00B01850">
        <w:rPr>
          <w:rFonts w:ascii="Arial" w:hAnsi="Arial" w:cs="Arial"/>
        </w:rPr>
        <w:t>Les routes en gravier devront être aspergées d'eau ou, le cas échéant, de mélasse pour limiter la formation de poussière (lorsque cela est économiquement viable et acceptable sur le plan environnemental). Si l'utilisation d'eau ou de mélasse pour limiter la formation de poussière sur les routes en gravier n'est pas possible pour ces raisons, un abat-poussière approprié doit être utilisé à cet effet.</w:t>
      </w:r>
    </w:p>
    <w:p w14:paraId="41E35F1D" w14:textId="77777777" w:rsidR="00354FB4" w:rsidRPr="00B01850" w:rsidRDefault="00354FB4" w:rsidP="00214DCC">
      <w:pPr>
        <w:pStyle w:val="ListParagraph"/>
        <w:numPr>
          <w:ilvl w:val="0"/>
          <w:numId w:val="153"/>
        </w:numPr>
        <w:spacing w:after="0" w:line="240" w:lineRule="auto"/>
        <w:jc w:val="both"/>
        <w:rPr>
          <w:rFonts w:ascii="Arial" w:hAnsi="Arial" w:cs="Arial"/>
        </w:rPr>
      </w:pPr>
      <w:r w:rsidRPr="00B01850">
        <w:rPr>
          <w:rFonts w:ascii="Arial" w:hAnsi="Arial" w:cs="Arial"/>
        </w:rPr>
        <w:t xml:space="preserve">Tout danger routier potentiel ou toute défectuosité du véhicule susceptible de rendre la circulation d'un véhicule ou d'une route dangereuse doit être immédiatement signalée aux chefs de projet de l'entrepreneur qui veilleront à ce que le véhicule/la route ne soit pas utilisé tant que les réparations nécessaires n'auront pas été entreprises. </w:t>
      </w:r>
    </w:p>
    <w:p w14:paraId="4AC4C4BC" w14:textId="0AA0AE20" w:rsidR="00354FB4" w:rsidRPr="00B01850" w:rsidRDefault="00354FB4" w:rsidP="00214DCC">
      <w:pPr>
        <w:pStyle w:val="ListParagraph"/>
        <w:numPr>
          <w:ilvl w:val="0"/>
          <w:numId w:val="155"/>
        </w:numPr>
        <w:spacing w:before="120" w:after="120" w:line="240" w:lineRule="auto"/>
        <w:contextualSpacing w:val="0"/>
        <w:jc w:val="both"/>
        <w:rPr>
          <w:rFonts w:ascii="Arial" w:hAnsi="Arial" w:cs="Arial"/>
        </w:rPr>
      </w:pPr>
      <w:r w:rsidRPr="00B01850">
        <w:rPr>
          <w:rFonts w:ascii="Arial" w:hAnsi="Arial" w:cs="Arial"/>
        </w:rPr>
        <w:t>Entretien et réparation des véhicules et des équipements sur les sites :</w:t>
      </w:r>
    </w:p>
    <w:p w14:paraId="79BC3B08" w14:textId="77777777" w:rsidR="00354FB4" w:rsidRPr="00B01850" w:rsidRDefault="00354FB4" w:rsidP="00214DCC">
      <w:pPr>
        <w:pStyle w:val="ListParagraph"/>
        <w:numPr>
          <w:ilvl w:val="0"/>
          <w:numId w:val="146"/>
        </w:numPr>
        <w:spacing w:after="0" w:line="240" w:lineRule="auto"/>
        <w:jc w:val="both"/>
        <w:rPr>
          <w:rFonts w:ascii="Arial" w:hAnsi="Arial" w:cs="Arial"/>
        </w:rPr>
      </w:pPr>
      <w:r w:rsidRPr="00B01850">
        <w:rPr>
          <w:rFonts w:ascii="Arial" w:hAnsi="Arial" w:cs="Arial"/>
        </w:rPr>
        <w:t>Lorsque cela est possible et pratique, tout l'entretien des véhicules et du matériel doit être effectué dans un atelier.</w:t>
      </w:r>
    </w:p>
    <w:p w14:paraId="4531A0D6" w14:textId="77777777" w:rsidR="00354FB4" w:rsidRPr="00B01850" w:rsidRDefault="00354FB4" w:rsidP="00214DCC">
      <w:pPr>
        <w:pStyle w:val="ListParagraph"/>
        <w:numPr>
          <w:ilvl w:val="0"/>
          <w:numId w:val="146"/>
        </w:numPr>
        <w:spacing w:after="0" w:line="240" w:lineRule="auto"/>
        <w:jc w:val="both"/>
        <w:rPr>
          <w:rFonts w:ascii="Arial" w:hAnsi="Arial" w:cs="Arial"/>
        </w:rPr>
      </w:pPr>
      <w:r w:rsidRPr="00B01850">
        <w:rPr>
          <w:rFonts w:ascii="Arial" w:hAnsi="Arial" w:cs="Arial"/>
        </w:rPr>
        <w:t>Lors de l'entretien des véhicules ou des équipements, un bac d'égouttage approprié doit être utilisé pour éviter les déversements sur le sol, en particulier lorsque des réparations d'urgence sont effectuées en dehors de la zone de l'atelier.</w:t>
      </w:r>
    </w:p>
    <w:p w14:paraId="1BF40032" w14:textId="77777777" w:rsidR="00354FB4" w:rsidRPr="00B01850" w:rsidRDefault="00354FB4" w:rsidP="00214DCC">
      <w:pPr>
        <w:pStyle w:val="ListParagraph"/>
        <w:numPr>
          <w:ilvl w:val="0"/>
          <w:numId w:val="146"/>
        </w:numPr>
        <w:spacing w:after="0" w:line="240" w:lineRule="auto"/>
        <w:jc w:val="both"/>
        <w:rPr>
          <w:rFonts w:ascii="Arial" w:hAnsi="Arial" w:cs="Arial"/>
        </w:rPr>
      </w:pPr>
      <w:r w:rsidRPr="00B01850">
        <w:rPr>
          <w:rFonts w:ascii="Arial" w:hAnsi="Arial" w:cs="Arial"/>
        </w:rPr>
        <w:t>Le matériel qui fuit doit être réparé immédiatement ou retiré du site pour faciliter les réparations.</w:t>
      </w:r>
    </w:p>
    <w:p w14:paraId="7AB83874" w14:textId="77777777" w:rsidR="00354FB4" w:rsidRPr="00B01850" w:rsidRDefault="00354FB4" w:rsidP="00214DCC">
      <w:pPr>
        <w:pStyle w:val="ListParagraph"/>
        <w:numPr>
          <w:ilvl w:val="0"/>
          <w:numId w:val="146"/>
        </w:numPr>
        <w:spacing w:after="0" w:line="240" w:lineRule="auto"/>
        <w:jc w:val="both"/>
        <w:rPr>
          <w:rFonts w:ascii="Arial" w:hAnsi="Arial" w:cs="Arial"/>
        </w:rPr>
      </w:pPr>
      <w:r w:rsidRPr="00B01850">
        <w:rPr>
          <w:rFonts w:ascii="Arial" w:hAnsi="Arial" w:cs="Arial"/>
        </w:rPr>
        <w:t>Tous les déchets potentiellement dangereux et non dégradables doivent être collectés et acheminés vers un site de déchets enregistré.</w:t>
      </w:r>
    </w:p>
    <w:p w14:paraId="085AC67C" w14:textId="77777777" w:rsidR="00354FB4" w:rsidRPr="00B01850" w:rsidRDefault="00354FB4" w:rsidP="00214DCC">
      <w:pPr>
        <w:pStyle w:val="ListParagraph"/>
        <w:numPr>
          <w:ilvl w:val="0"/>
          <w:numId w:val="146"/>
        </w:numPr>
        <w:spacing w:after="0" w:line="240" w:lineRule="auto"/>
        <w:jc w:val="both"/>
        <w:rPr>
          <w:rFonts w:ascii="Arial" w:hAnsi="Arial" w:cs="Arial"/>
        </w:rPr>
      </w:pPr>
      <w:r w:rsidRPr="00B01850">
        <w:rPr>
          <w:rFonts w:ascii="Arial" w:hAnsi="Arial" w:cs="Arial"/>
        </w:rPr>
        <w:t>Les déversements d'hydrocarbures et de carburant devront faire l'objet d'une surveillance et ces déversements doivent être nettoyés et réparés de manière satisfaisante.</w:t>
      </w:r>
    </w:p>
    <w:p w14:paraId="1D7D3EC4" w14:textId="77777777" w:rsidR="00354FB4" w:rsidRPr="00B01850" w:rsidRDefault="00354FB4" w:rsidP="00214DCC">
      <w:pPr>
        <w:pStyle w:val="ListParagraph"/>
        <w:numPr>
          <w:ilvl w:val="0"/>
          <w:numId w:val="146"/>
        </w:numPr>
        <w:spacing w:after="0" w:line="240" w:lineRule="auto"/>
        <w:jc w:val="both"/>
        <w:rPr>
          <w:rFonts w:ascii="Arial" w:hAnsi="Arial" w:cs="Arial"/>
        </w:rPr>
      </w:pPr>
      <w:r w:rsidRPr="00B01850">
        <w:rPr>
          <w:rFonts w:ascii="Arial" w:hAnsi="Arial" w:cs="Arial"/>
        </w:rPr>
        <w:t>En cas de réparations d'urgence, des bacs d'égouttage ou des bâches doivent être utilisés pour assurer la collecte de l'huile. La zone devant faire l'objet de réparations d'urgence doit être identifiée par le responsable du site.</w:t>
      </w:r>
    </w:p>
    <w:p w14:paraId="68DDB620" w14:textId="77777777" w:rsidR="00354FB4" w:rsidRPr="00B01850" w:rsidRDefault="00354FB4" w:rsidP="00214DCC">
      <w:pPr>
        <w:pStyle w:val="ListParagraph"/>
        <w:numPr>
          <w:ilvl w:val="0"/>
          <w:numId w:val="146"/>
        </w:numPr>
        <w:spacing w:after="0" w:line="240" w:lineRule="auto"/>
        <w:jc w:val="both"/>
        <w:rPr>
          <w:rFonts w:ascii="Arial" w:hAnsi="Arial" w:cs="Arial"/>
        </w:rPr>
      </w:pPr>
      <w:r w:rsidRPr="00B01850">
        <w:rPr>
          <w:rFonts w:ascii="Arial" w:hAnsi="Arial" w:cs="Arial"/>
        </w:rPr>
        <w:t>Seules les réparations d'urgence seront autorisées sur le site et un bac d'égouttage sera utilisé pour éviter les déversements d'hydrocarbures.</w:t>
      </w:r>
    </w:p>
    <w:p w14:paraId="1CA0CA0F" w14:textId="10B924E1" w:rsidR="00354FB4" w:rsidRPr="00B01850" w:rsidRDefault="00354FB4" w:rsidP="00214DCC">
      <w:pPr>
        <w:pStyle w:val="ListParagraph"/>
        <w:numPr>
          <w:ilvl w:val="0"/>
          <w:numId w:val="146"/>
        </w:numPr>
        <w:spacing w:after="0" w:line="240" w:lineRule="auto"/>
        <w:jc w:val="both"/>
        <w:rPr>
          <w:rFonts w:ascii="Arial" w:hAnsi="Arial" w:cs="Arial"/>
        </w:rPr>
      </w:pPr>
      <w:r w:rsidRPr="00B01850">
        <w:rPr>
          <w:rFonts w:ascii="Arial" w:hAnsi="Arial" w:cs="Arial"/>
        </w:rPr>
        <w:t>L'organisme d'exécution doit veiller à ce que les chauffeurs-livreurs et les exploitants d'installations soient informés de toutes les procédures et restrictions pertinentes requises pour assurer le respect du présent document.</w:t>
      </w:r>
    </w:p>
    <w:p w14:paraId="5F747285" w14:textId="77777777" w:rsidR="00354FB4" w:rsidRPr="00B01850" w:rsidRDefault="00354FB4" w:rsidP="00214DCC">
      <w:pPr>
        <w:pStyle w:val="ListParagraph"/>
        <w:numPr>
          <w:ilvl w:val="0"/>
          <w:numId w:val="146"/>
        </w:numPr>
        <w:spacing w:after="0" w:line="240" w:lineRule="auto"/>
        <w:jc w:val="both"/>
        <w:rPr>
          <w:rFonts w:ascii="Arial" w:hAnsi="Arial" w:cs="Arial"/>
        </w:rPr>
      </w:pPr>
      <w:r w:rsidRPr="00B01850">
        <w:rPr>
          <w:rFonts w:ascii="Arial" w:hAnsi="Arial" w:cs="Arial"/>
        </w:rPr>
        <w:t>Tous les véhicules et équipements doivent être bien entretenus pour éviter toute fuite d'huile ou de carburant.</w:t>
      </w:r>
    </w:p>
    <w:p w14:paraId="115A46B0" w14:textId="77777777" w:rsidR="00354FB4" w:rsidRPr="00B01850" w:rsidRDefault="00354FB4" w:rsidP="00214DCC">
      <w:pPr>
        <w:pStyle w:val="ListParagraph"/>
        <w:numPr>
          <w:ilvl w:val="0"/>
          <w:numId w:val="146"/>
        </w:numPr>
        <w:spacing w:after="0" w:line="240" w:lineRule="auto"/>
        <w:jc w:val="both"/>
        <w:rPr>
          <w:rFonts w:ascii="Arial" w:hAnsi="Arial" w:cs="Arial"/>
        </w:rPr>
      </w:pPr>
      <w:r w:rsidRPr="00B01850">
        <w:rPr>
          <w:rFonts w:ascii="Arial" w:hAnsi="Arial" w:cs="Arial"/>
        </w:rPr>
        <w:t>Les dispositions suivantes s'appliquent :</w:t>
      </w:r>
    </w:p>
    <w:p w14:paraId="4F5696C4" w14:textId="77777777" w:rsidR="00354FB4" w:rsidRPr="00B01850" w:rsidRDefault="00354FB4" w:rsidP="00214DCC">
      <w:pPr>
        <w:pStyle w:val="ListParagraph"/>
        <w:numPr>
          <w:ilvl w:val="0"/>
          <w:numId w:val="146"/>
        </w:numPr>
        <w:spacing w:after="0" w:line="240" w:lineRule="auto"/>
        <w:jc w:val="both"/>
        <w:rPr>
          <w:rFonts w:ascii="Arial" w:hAnsi="Arial" w:cs="Arial"/>
        </w:rPr>
      </w:pPr>
      <w:r w:rsidRPr="00B01850">
        <w:rPr>
          <w:rFonts w:ascii="Arial" w:hAnsi="Arial" w:cs="Arial"/>
        </w:rPr>
        <w:t>Toute la terre contaminée ou toute pierre de jardin doit être enlevée et placée dans des conteneurs en vue d'une élimination ultérieure ;</w:t>
      </w:r>
    </w:p>
    <w:p w14:paraId="38B9A3E1" w14:textId="345856F8" w:rsidR="00E532C6" w:rsidRPr="00B01850" w:rsidRDefault="007D7139" w:rsidP="00214DCC">
      <w:pPr>
        <w:pStyle w:val="ListParagraph"/>
        <w:numPr>
          <w:ilvl w:val="0"/>
          <w:numId w:val="136"/>
        </w:numPr>
        <w:spacing w:before="120" w:after="120" w:line="240" w:lineRule="auto"/>
        <w:contextualSpacing w:val="0"/>
        <w:jc w:val="both"/>
        <w:rPr>
          <w:rFonts w:ascii="Arial" w:hAnsi="Arial" w:cs="Arial"/>
          <w:b/>
          <w:bCs/>
        </w:rPr>
      </w:pPr>
      <w:r w:rsidRPr="00B01850">
        <w:rPr>
          <w:rFonts w:ascii="Arial" w:hAnsi="Arial" w:cs="Arial"/>
          <w:b/>
          <w:bCs/>
        </w:rPr>
        <w:t>Planification des acheminement</w:t>
      </w:r>
      <w:r w:rsidR="00E532C6" w:rsidRPr="00B01850">
        <w:rPr>
          <w:rFonts w:ascii="Arial" w:hAnsi="Arial" w:cs="Arial"/>
          <w:b/>
          <w:bCs/>
        </w:rPr>
        <w:t>, limitations de vitesse et signalisation</w:t>
      </w:r>
    </w:p>
    <w:p w14:paraId="01604FB5" w14:textId="6537B034" w:rsidR="00C91C9E" w:rsidRPr="00B01850" w:rsidRDefault="008E1F21" w:rsidP="00596155">
      <w:pPr>
        <w:spacing w:before="120" w:after="120" w:line="240" w:lineRule="auto"/>
        <w:jc w:val="both"/>
        <w:rPr>
          <w:rFonts w:ascii="Arial" w:hAnsi="Arial" w:cs="Arial"/>
        </w:rPr>
      </w:pPr>
      <w:r w:rsidRPr="00B01850">
        <w:rPr>
          <w:rFonts w:ascii="Arial" w:hAnsi="Arial" w:cs="Arial"/>
        </w:rPr>
        <w:t>Toute p</w:t>
      </w:r>
      <w:r w:rsidR="00C91C9E" w:rsidRPr="00B01850">
        <w:rPr>
          <w:rFonts w:ascii="Arial" w:hAnsi="Arial" w:cs="Arial"/>
        </w:rPr>
        <w:t>lanification des acheminement</w:t>
      </w:r>
      <w:r w:rsidR="006553B8" w:rsidRPr="00B01850">
        <w:rPr>
          <w:rFonts w:ascii="Arial" w:hAnsi="Arial" w:cs="Arial"/>
        </w:rPr>
        <w:t>s</w:t>
      </w:r>
      <w:r w:rsidR="00C91C9E" w:rsidRPr="00B01850">
        <w:rPr>
          <w:rFonts w:ascii="Arial" w:hAnsi="Arial" w:cs="Arial"/>
        </w:rPr>
        <w:t xml:space="preserve"> et </w:t>
      </w:r>
      <w:r w:rsidRPr="00B01850">
        <w:rPr>
          <w:rFonts w:ascii="Arial" w:hAnsi="Arial" w:cs="Arial"/>
        </w:rPr>
        <w:t xml:space="preserve">des </w:t>
      </w:r>
      <w:r w:rsidR="00C91C9E" w:rsidRPr="00B01850">
        <w:rPr>
          <w:rFonts w:ascii="Arial" w:hAnsi="Arial" w:cs="Arial"/>
        </w:rPr>
        <w:t>déplacement</w:t>
      </w:r>
      <w:r w:rsidRPr="00B01850">
        <w:rPr>
          <w:rFonts w:ascii="Arial" w:hAnsi="Arial" w:cs="Arial"/>
        </w:rPr>
        <w:t>s</w:t>
      </w:r>
      <w:r w:rsidR="00C91C9E" w:rsidRPr="00B01850">
        <w:rPr>
          <w:rFonts w:ascii="Arial" w:hAnsi="Arial" w:cs="Arial"/>
        </w:rPr>
        <w:t xml:space="preserve"> de véhicule</w:t>
      </w:r>
      <w:r w:rsidRPr="00B01850">
        <w:rPr>
          <w:rFonts w:ascii="Arial" w:hAnsi="Arial" w:cs="Arial"/>
        </w:rPr>
        <w:t xml:space="preserve">s </w:t>
      </w:r>
      <w:r w:rsidR="006553B8" w:rsidRPr="00B01850">
        <w:rPr>
          <w:rFonts w:ascii="Arial" w:hAnsi="Arial" w:cs="Arial"/>
        </w:rPr>
        <w:t>doit</w:t>
      </w:r>
      <w:r w:rsidRPr="00B01850">
        <w:rPr>
          <w:rFonts w:ascii="Arial" w:hAnsi="Arial" w:cs="Arial"/>
        </w:rPr>
        <w:t xml:space="preserve"> prendre en compte les mesures suivantes</w:t>
      </w:r>
      <w:r w:rsidR="00596155" w:rsidRPr="00B01850">
        <w:rPr>
          <w:rFonts w:ascii="Arial" w:hAnsi="Arial" w:cs="Arial"/>
        </w:rPr>
        <w:t> :</w:t>
      </w:r>
    </w:p>
    <w:p w14:paraId="38EAE913" w14:textId="50527C62" w:rsidR="00C91C9E" w:rsidRPr="00B01850" w:rsidRDefault="00C91C9E" w:rsidP="00214DCC">
      <w:pPr>
        <w:pStyle w:val="ListParagraph"/>
        <w:numPr>
          <w:ilvl w:val="0"/>
          <w:numId w:val="137"/>
        </w:numPr>
        <w:spacing w:before="120" w:after="120" w:line="240" w:lineRule="auto"/>
        <w:contextualSpacing w:val="0"/>
        <w:jc w:val="both"/>
        <w:rPr>
          <w:rFonts w:ascii="Arial" w:hAnsi="Arial" w:cs="Arial"/>
        </w:rPr>
      </w:pPr>
      <w:r w:rsidRPr="00B01850">
        <w:rPr>
          <w:rFonts w:ascii="Arial" w:hAnsi="Arial" w:cs="Arial"/>
        </w:rPr>
        <w:lastRenderedPageBreak/>
        <w:t>Limita</w:t>
      </w:r>
      <w:r w:rsidR="00596155" w:rsidRPr="00B01850">
        <w:rPr>
          <w:rFonts w:ascii="Arial" w:hAnsi="Arial" w:cs="Arial"/>
        </w:rPr>
        <w:t>t</w:t>
      </w:r>
      <w:r w:rsidRPr="00B01850">
        <w:rPr>
          <w:rFonts w:ascii="Arial" w:hAnsi="Arial" w:cs="Arial"/>
        </w:rPr>
        <w:t>ion de vitesses :</w:t>
      </w:r>
    </w:p>
    <w:p w14:paraId="3E15E9F7" w14:textId="71891DAC" w:rsidR="00C91C9E" w:rsidRPr="00B01850" w:rsidRDefault="00C91C9E" w:rsidP="00214DCC">
      <w:pPr>
        <w:pStyle w:val="ListParagraph"/>
        <w:numPr>
          <w:ilvl w:val="0"/>
          <w:numId w:val="145"/>
        </w:numPr>
        <w:spacing w:after="0" w:line="240" w:lineRule="auto"/>
        <w:jc w:val="both"/>
        <w:rPr>
          <w:rFonts w:ascii="Arial" w:hAnsi="Arial" w:cs="Arial"/>
          <w:i/>
          <w:iCs/>
        </w:rPr>
      </w:pPr>
      <w:r w:rsidRPr="00B01850">
        <w:rPr>
          <w:rFonts w:ascii="Arial" w:hAnsi="Arial" w:cs="Arial"/>
        </w:rPr>
        <w:t>La vitesse sur le Chantier et sur les routes d'accès sera de 20 km/h pour les véhicules de chantier et de 30 km/h pour les véhicules légers et les véhicules de tourisme.</w:t>
      </w:r>
    </w:p>
    <w:p w14:paraId="69BD7861" w14:textId="77777777" w:rsidR="00C91C9E" w:rsidRPr="00B01850" w:rsidRDefault="00C91C9E" w:rsidP="00214DCC">
      <w:pPr>
        <w:pStyle w:val="ListParagraph"/>
        <w:numPr>
          <w:ilvl w:val="0"/>
          <w:numId w:val="145"/>
        </w:numPr>
        <w:spacing w:after="0" w:line="240" w:lineRule="auto"/>
        <w:jc w:val="both"/>
        <w:rPr>
          <w:rFonts w:ascii="Arial" w:hAnsi="Arial" w:cs="Arial"/>
        </w:rPr>
      </w:pPr>
      <w:r w:rsidRPr="00B01850">
        <w:rPr>
          <w:rFonts w:ascii="Arial" w:hAnsi="Arial" w:cs="Arial"/>
        </w:rPr>
        <w:t>Toutes les limitations de vitesse applicables sur la voie publique sont strictement respectées par tous les conducteurs conduisant des véhicules dans le cadre du Projet.</w:t>
      </w:r>
    </w:p>
    <w:p w14:paraId="24BFFE4D" w14:textId="2EE4BE04" w:rsidR="00C91C9E" w:rsidRPr="00B01850" w:rsidRDefault="00C91C9E" w:rsidP="00214DCC">
      <w:pPr>
        <w:pStyle w:val="ListParagraph"/>
        <w:numPr>
          <w:ilvl w:val="0"/>
          <w:numId w:val="145"/>
        </w:numPr>
        <w:spacing w:after="0" w:line="240" w:lineRule="auto"/>
        <w:jc w:val="both"/>
        <w:rPr>
          <w:rFonts w:ascii="Arial" w:hAnsi="Arial" w:cs="Arial"/>
        </w:rPr>
      </w:pPr>
      <w:r w:rsidRPr="00B01850">
        <w:rPr>
          <w:rFonts w:ascii="Arial" w:hAnsi="Arial" w:cs="Arial"/>
        </w:rPr>
        <w:t xml:space="preserve">Le non-respect des limitations de vitesse prescrites constitue une infraction et des mesures disciplinaires </w:t>
      </w:r>
      <w:r w:rsidR="00C51467" w:rsidRPr="00B01850">
        <w:rPr>
          <w:rFonts w:ascii="Arial" w:hAnsi="Arial" w:cs="Arial"/>
        </w:rPr>
        <w:t xml:space="preserve">doivent </w:t>
      </w:r>
      <w:r w:rsidRPr="00B01850">
        <w:rPr>
          <w:rFonts w:ascii="Arial" w:hAnsi="Arial" w:cs="Arial"/>
        </w:rPr>
        <w:t>être prises par l’UGP.</w:t>
      </w:r>
    </w:p>
    <w:p w14:paraId="14378AF1" w14:textId="77777777" w:rsidR="00225B58" w:rsidRPr="00B01850" w:rsidRDefault="00225B58" w:rsidP="00C51467">
      <w:pPr>
        <w:spacing w:before="120" w:after="120" w:line="240" w:lineRule="auto"/>
        <w:jc w:val="both"/>
        <w:rPr>
          <w:rFonts w:ascii="Arial" w:hAnsi="Arial" w:cs="Arial"/>
        </w:rPr>
      </w:pPr>
      <w:r w:rsidRPr="00B01850">
        <w:rPr>
          <w:rFonts w:ascii="Arial" w:hAnsi="Arial" w:cs="Arial"/>
        </w:rPr>
        <w:t>La vitesse des véhicules sur le chantier sera limitée à 20 km/h pour les engins de chantier et à 30 km/h pour les autres véhicules motorisés.</w:t>
      </w:r>
    </w:p>
    <w:p w14:paraId="08223BF3" w14:textId="110C20BF" w:rsidR="00C91C9E" w:rsidRPr="00B01850" w:rsidRDefault="00C91C9E" w:rsidP="00214DCC">
      <w:pPr>
        <w:pStyle w:val="ListParagraph"/>
        <w:numPr>
          <w:ilvl w:val="0"/>
          <w:numId w:val="138"/>
        </w:numPr>
        <w:spacing w:before="120" w:after="120" w:line="240" w:lineRule="auto"/>
        <w:jc w:val="both"/>
        <w:rPr>
          <w:rFonts w:ascii="Arial" w:hAnsi="Arial" w:cs="Arial"/>
        </w:rPr>
      </w:pPr>
      <w:r w:rsidRPr="00B01850">
        <w:rPr>
          <w:rFonts w:ascii="Arial" w:hAnsi="Arial" w:cs="Arial"/>
        </w:rPr>
        <w:t>Signal</w:t>
      </w:r>
      <w:r w:rsidR="000A626A" w:rsidRPr="00B01850">
        <w:rPr>
          <w:rFonts w:ascii="Arial" w:hAnsi="Arial" w:cs="Arial"/>
        </w:rPr>
        <w:t>étique</w:t>
      </w:r>
      <w:r w:rsidRPr="00B01850">
        <w:rPr>
          <w:rFonts w:ascii="Arial" w:hAnsi="Arial" w:cs="Arial"/>
        </w:rPr>
        <w:t> :</w:t>
      </w:r>
    </w:p>
    <w:p w14:paraId="0B361B4A" w14:textId="576E4974" w:rsidR="00354FB4" w:rsidRPr="00B01850" w:rsidRDefault="00225B58" w:rsidP="002B3B01">
      <w:pPr>
        <w:spacing w:after="0" w:line="240" w:lineRule="auto"/>
        <w:jc w:val="both"/>
        <w:rPr>
          <w:rFonts w:ascii="Arial" w:hAnsi="Arial" w:cs="Arial"/>
        </w:rPr>
      </w:pPr>
      <w:r w:rsidRPr="00B01850">
        <w:rPr>
          <w:rFonts w:ascii="Arial" w:hAnsi="Arial" w:cs="Arial"/>
        </w:rPr>
        <w:t xml:space="preserve">Il incombe aux chefs de projet du maître d'œuvre, en concertation avec le responsable de la sécurité, de veiller à ce que la signalisation soit placée de manière visible à des endroits appropriés le long de toutes les routes d'accès et des voies publiques (en consultation avec </w:t>
      </w:r>
      <w:r w:rsidR="00C86082" w:rsidRPr="00B01850">
        <w:rPr>
          <w:rFonts w:ascii="Arial" w:hAnsi="Arial" w:cs="Arial"/>
        </w:rPr>
        <w:t>l’AGUISER</w:t>
      </w:r>
      <w:r w:rsidRPr="00B01850">
        <w:rPr>
          <w:rFonts w:ascii="Arial" w:hAnsi="Arial" w:cs="Arial"/>
        </w:rPr>
        <w:t xml:space="preserve">) pour indiquer les dangers, </w:t>
      </w:r>
      <w:r w:rsidR="002B3B01" w:rsidRPr="00B01850">
        <w:rPr>
          <w:rFonts w:ascii="Arial" w:hAnsi="Arial" w:cs="Arial"/>
        </w:rPr>
        <w:t xml:space="preserve">signalement de la circulation de véhicules, </w:t>
      </w:r>
      <w:r w:rsidRPr="00B01850">
        <w:rPr>
          <w:rFonts w:ascii="Arial" w:hAnsi="Arial" w:cs="Arial"/>
        </w:rPr>
        <w:t xml:space="preserve">limitations de vitesse appropriées ; </w:t>
      </w:r>
      <w:r w:rsidR="002B3B01" w:rsidRPr="00B01850">
        <w:rPr>
          <w:rFonts w:ascii="Arial" w:hAnsi="Arial" w:cs="Arial"/>
        </w:rPr>
        <w:t>c</w:t>
      </w:r>
      <w:r w:rsidRPr="00B01850">
        <w:rPr>
          <w:rFonts w:ascii="Arial" w:hAnsi="Arial" w:cs="Arial"/>
        </w:rPr>
        <w:t>irculation inversée ; accès au Site ;</w:t>
      </w:r>
      <w:r w:rsidR="002B3B01" w:rsidRPr="00B01850">
        <w:rPr>
          <w:rFonts w:ascii="Arial" w:hAnsi="Arial" w:cs="Arial"/>
        </w:rPr>
        <w:t xml:space="preserve"> indication de zone sensibles</w:t>
      </w:r>
      <w:r w:rsidRPr="00B01850">
        <w:rPr>
          <w:rFonts w:ascii="Arial" w:hAnsi="Arial" w:cs="Arial"/>
        </w:rPr>
        <w:t>, par exemple école, passage pour enfants, église, établissement médical, etc.</w:t>
      </w:r>
      <w:r w:rsidR="002B3B01" w:rsidRPr="00B01850">
        <w:rPr>
          <w:rFonts w:ascii="Arial" w:hAnsi="Arial" w:cs="Arial"/>
        </w:rPr>
        <w:t xml:space="preserve"> ; </w:t>
      </w:r>
      <w:r w:rsidRPr="00B01850">
        <w:rPr>
          <w:rFonts w:ascii="Arial" w:hAnsi="Arial" w:cs="Arial"/>
        </w:rPr>
        <w:t xml:space="preserve">prudence </w:t>
      </w:r>
      <w:r w:rsidR="002B3B01" w:rsidRPr="00B01850">
        <w:rPr>
          <w:rFonts w:ascii="Arial" w:hAnsi="Arial" w:cs="Arial"/>
        </w:rPr>
        <w:t>pour</w:t>
      </w:r>
      <w:r w:rsidRPr="00B01850">
        <w:rPr>
          <w:rFonts w:ascii="Arial" w:hAnsi="Arial" w:cs="Arial"/>
        </w:rPr>
        <w:t xml:space="preserve"> les automobilistes ou les piétons ;</w:t>
      </w:r>
      <w:r w:rsidR="002B3B01" w:rsidRPr="00B01850">
        <w:rPr>
          <w:rFonts w:ascii="Arial" w:hAnsi="Arial" w:cs="Arial"/>
        </w:rPr>
        <w:t xml:space="preserve"> z</w:t>
      </w:r>
      <w:r w:rsidRPr="00B01850">
        <w:rPr>
          <w:rFonts w:ascii="Arial" w:hAnsi="Arial" w:cs="Arial"/>
        </w:rPr>
        <w:t>ones interdites pour les véhicules</w:t>
      </w:r>
      <w:r w:rsidR="002B3B01" w:rsidRPr="00B01850">
        <w:rPr>
          <w:rFonts w:ascii="Arial" w:hAnsi="Arial" w:cs="Arial"/>
        </w:rPr>
        <w:t>, etc.</w:t>
      </w:r>
    </w:p>
    <w:p w14:paraId="35C1A9B2" w14:textId="65A4B762" w:rsidR="00354FB4" w:rsidRPr="00B01850" w:rsidRDefault="00E532C6" w:rsidP="00214DCC">
      <w:pPr>
        <w:pStyle w:val="ListParagraph"/>
        <w:numPr>
          <w:ilvl w:val="0"/>
          <w:numId w:val="133"/>
        </w:numPr>
        <w:spacing w:before="120" w:after="120" w:line="240" w:lineRule="auto"/>
        <w:contextualSpacing w:val="0"/>
        <w:jc w:val="both"/>
        <w:rPr>
          <w:rFonts w:ascii="Arial" w:hAnsi="Arial" w:cs="Arial"/>
          <w:b/>
          <w:bCs/>
        </w:rPr>
      </w:pPr>
      <w:r w:rsidRPr="00B01850">
        <w:rPr>
          <w:rFonts w:ascii="Arial" w:hAnsi="Arial" w:cs="Arial"/>
          <w:b/>
          <w:bCs/>
        </w:rPr>
        <w:t>Sécurité des piétons et des passagers</w:t>
      </w:r>
    </w:p>
    <w:p w14:paraId="6F4EBE90" w14:textId="6827A578" w:rsidR="00C86082" w:rsidRPr="00B01850" w:rsidRDefault="00C91C9E" w:rsidP="004345DC">
      <w:pPr>
        <w:spacing w:before="120" w:after="120" w:line="240" w:lineRule="auto"/>
        <w:jc w:val="both"/>
        <w:rPr>
          <w:rFonts w:ascii="Arial" w:hAnsi="Arial" w:cs="Arial"/>
        </w:rPr>
      </w:pPr>
      <w:r w:rsidRPr="00B01850">
        <w:rPr>
          <w:rFonts w:ascii="Arial" w:hAnsi="Arial" w:cs="Arial"/>
        </w:rPr>
        <w:t xml:space="preserve">La sécurité des véhicules et des piétons doit être soulignée dans la formation initiale à la sécurité qui doit être dispensée par l’UGP. </w:t>
      </w:r>
      <w:r w:rsidR="00C86082" w:rsidRPr="00B01850">
        <w:rPr>
          <w:rFonts w:ascii="Arial" w:hAnsi="Arial" w:cs="Arial"/>
        </w:rPr>
        <w:t>En plus, les conducteurs du projet ou des entreprises partenaires et sous-traitantes doivent démontrer leurs aptitudes en conduite défensive et autres dispositions</w:t>
      </w:r>
      <w:r w:rsidR="003D58D1" w:rsidRPr="00B01850">
        <w:rPr>
          <w:rFonts w:ascii="Arial" w:hAnsi="Arial" w:cs="Arial"/>
        </w:rPr>
        <w:t xml:space="preserve"> qui protègent les piétons et les passagers</w:t>
      </w:r>
      <w:r w:rsidR="00045CD6" w:rsidRPr="00B01850">
        <w:rPr>
          <w:rFonts w:ascii="Arial" w:hAnsi="Arial" w:cs="Arial"/>
        </w:rPr>
        <w:t>.</w:t>
      </w:r>
    </w:p>
    <w:p w14:paraId="26CF5B0B" w14:textId="2B085658" w:rsidR="00C91C9E" w:rsidRPr="00B01850" w:rsidRDefault="00C91C9E" w:rsidP="008769A5">
      <w:pPr>
        <w:spacing w:after="0" w:line="240" w:lineRule="auto"/>
        <w:jc w:val="both"/>
        <w:rPr>
          <w:rFonts w:ascii="Arial" w:hAnsi="Arial" w:cs="Arial"/>
        </w:rPr>
      </w:pPr>
      <w:r w:rsidRPr="00B01850">
        <w:rPr>
          <w:rFonts w:ascii="Arial" w:hAnsi="Arial" w:cs="Arial"/>
        </w:rPr>
        <w:t xml:space="preserve">Tous les employés doivent être informés des dangers et des risques posés par </w:t>
      </w:r>
      <w:r w:rsidR="003D58D1" w:rsidRPr="00B01850">
        <w:rPr>
          <w:rFonts w:ascii="Arial" w:hAnsi="Arial" w:cs="Arial"/>
        </w:rPr>
        <w:t xml:space="preserve">la circulation routière ainsi que </w:t>
      </w:r>
      <w:r w:rsidRPr="00B01850">
        <w:rPr>
          <w:rFonts w:ascii="Arial" w:hAnsi="Arial" w:cs="Arial"/>
        </w:rPr>
        <w:t>les mesures de précaution appropriées à prendre pour faciliter une gestion sûre et efficace de la circulation (par exemple, vérification de la circulation avant de traverser les routes et emprunter les voies piétonnes désignées).</w:t>
      </w:r>
    </w:p>
    <w:p w14:paraId="5A710B01" w14:textId="77777777" w:rsidR="00C91C9E" w:rsidRPr="00B01850" w:rsidRDefault="00C91C9E" w:rsidP="003D58D1">
      <w:pPr>
        <w:spacing w:before="120" w:after="0" w:line="240" w:lineRule="auto"/>
        <w:jc w:val="both"/>
        <w:rPr>
          <w:rFonts w:ascii="Arial" w:hAnsi="Arial" w:cs="Arial"/>
        </w:rPr>
      </w:pPr>
      <w:r w:rsidRPr="00B01850">
        <w:rPr>
          <w:rFonts w:ascii="Arial" w:hAnsi="Arial" w:cs="Arial"/>
        </w:rPr>
        <w:t>Par ailleurs, des dispositions devront être prises pour s'assurer que les piétons, le bétail, les cyclistes et les motocyclistes sont tenus à l'écart des véhicules et des engins mobiles du site en fournissant des itinéraires de circulation adéquats et d'autres contrôles.</w:t>
      </w:r>
    </w:p>
    <w:p w14:paraId="61F750E8" w14:textId="6C0381BD" w:rsidR="00354FB4" w:rsidRPr="00B01850" w:rsidRDefault="00354FB4" w:rsidP="008769A5">
      <w:pPr>
        <w:spacing w:after="0" w:line="240" w:lineRule="auto"/>
        <w:jc w:val="both"/>
        <w:rPr>
          <w:rFonts w:ascii="Arial" w:hAnsi="Arial" w:cs="Arial"/>
        </w:rPr>
      </w:pPr>
      <w:r w:rsidRPr="00B01850">
        <w:rPr>
          <w:rFonts w:ascii="Arial" w:hAnsi="Arial" w:cs="Arial"/>
        </w:rPr>
        <w:t>Tous les véhicules transportant des employés doivent être entretenus de manière appropriée et ne doivent pas transporter plus de passagers que le nombre de personnes pour lesquelles des sièges sont prévus.</w:t>
      </w:r>
      <w:r w:rsidR="003D58D1" w:rsidRPr="00B01850">
        <w:rPr>
          <w:rFonts w:ascii="Arial" w:hAnsi="Arial" w:cs="Arial"/>
        </w:rPr>
        <w:t xml:space="preserve"> </w:t>
      </w:r>
      <w:r w:rsidRPr="00B01850">
        <w:rPr>
          <w:rFonts w:ascii="Arial" w:hAnsi="Arial" w:cs="Arial"/>
        </w:rPr>
        <w:t>Tous les véhicules utilisés pour le transport de marchandises doivent :</w:t>
      </w:r>
    </w:p>
    <w:p w14:paraId="67E7D0D0" w14:textId="77777777" w:rsidR="00354FB4" w:rsidRPr="00B01850" w:rsidRDefault="00354FB4" w:rsidP="00214DCC">
      <w:pPr>
        <w:pStyle w:val="ListParagraph"/>
        <w:numPr>
          <w:ilvl w:val="0"/>
          <w:numId w:val="15"/>
        </w:numPr>
        <w:spacing w:after="0" w:line="240" w:lineRule="auto"/>
        <w:jc w:val="both"/>
        <w:rPr>
          <w:rFonts w:ascii="Arial" w:hAnsi="Arial" w:cs="Arial"/>
        </w:rPr>
      </w:pPr>
      <w:r w:rsidRPr="00B01850">
        <w:rPr>
          <w:rFonts w:ascii="Arial" w:hAnsi="Arial" w:cs="Arial"/>
        </w:rPr>
        <w:t>Être conduit d'une manière sûre ;</w:t>
      </w:r>
    </w:p>
    <w:p w14:paraId="4342A80F" w14:textId="7BBC3205" w:rsidR="00354FB4" w:rsidRPr="00B01850" w:rsidRDefault="003D58D1" w:rsidP="00214DCC">
      <w:pPr>
        <w:pStyle w:val="ListParagraph"/>
        <w:numPr>
          <w:ilvl w:val="0"/>
          <w:numId w:val="152"/>
        </w:numPr>
        <w:spacing w:after="0" w:line="240" w:lineRule="auto"/>
        <w:jc w:val="both"/>
        <w:rPr>
          <w:rFonts w:ascii="Arial" w:hAnsi="Arial" w:cs="Arial"/>
        </w:rPr>
      </w:pPr>
      <w:r w:rsidRPr="00B01850">
        <w:rPr>
          <w:rFonts w:ascii="Arial" w:hAnsi="Arial" w:cs="Arial"/>
        </w:rPr>
        <w:t>Être</w:t>
      </w:r>
      <w:r w:rsidR="00354FB4" w:rsidRPr="00B01850">
        <w:rPr>
          <w:rFonts w:ascii="Arial" w:hAnsi="Arial" w:cs="Arial"/>
        </w:rPr>
        <w:t xml:space="preserve"> chargé de manière à pouvoir être conduit, utilisé ou remorqué en toute sécurité ;</w:t>
      </w:r>
    </w:p>
    <w:p w14:paraId="6F3621E3" w14:textId="77777777" w:rsidR="00354FB4" w:rsidRPr="00B01850" w:rsidRDefault="00354FB4" w:rsidP="00214DCC">
      <w:pPr>
        <w:pStyle w:val="ListParagraph"/>
        <w:numPr>
          <w:ilvl w:val="0"/>
          <w:numId w:val="152"/>
        </w:numPr>
        <w:spacing w:after="0" w:line="240" w:lineRule="auto"/>
        <w:jc w:val="both"/>
        <w:rPr>
          <w:rFonts w:ascii="Arial" w:hAnsi="Arial" w:cs="Arial"/>
        </w:rPr>
      </w:pPr>
      <w:r w:rsidRPr="00B01850">
        <w:rPr>
          <w:rFonts w:ascii="Arial" w:hAnsi="Arial" w:cs="Arial"/>
        </w:rPr>
        <w:t>Avoir les moyens d'assurer une visibilité adéquate à l'opérateur ;</w:t>
      </w:r>
    </w:p>
    <w:p w14:paraId="0ABEE486" w14:textId="7DD7E60B" w:rsidR="00354FB4" w:rsidRPr="00B01850" w:rsidRDefault="00354FB4" w:rsidP="00214DCC">
      <w:pPr>
        <w:pStyle w:val="ListParagraph"/>
        <w:numPr>
          <w:ilvl w:val="0"/>
          <w:numId w:val="152"/>
        </w:numPr>
        <w:spacing w:after="0" w:line="240" w:lineRule="auto"/>
        <w:jc w:val="both"/>
        <w:rPr>
          <w:rFonts w:ascii="Arial" w:hAnsi="Arial" w:cs="Arial"/>
        </w:rPr>
      </w:pPr>
      <w:r w:rsidRPr="00B01850">
        <w:rPr>
          <w:rFonts w:ascii="Arial" w:hAnsi="Arial" w:cs="Arial"/>
        </w:rPr>
        <w:t xml:space="preserve">Prendre des mesures pour éviter tout mouvement involontaire du véhicule ; et </w:t>
      </w:r>
    </w:p>
    <w:p w14:paraId="5851A140" w14:textId="5EA13A7E" w:rsidR="00354FB4" w:rsidRPr="00B01850" w:rsidRDefault="00354FB4" w:rsidP="00214DCC">
      <w:pPr>
        <w:pStyle w:val="ListParagraph"/>
        <w:numPr>
          <w:ilvl w:val="0"/>
          <w:numId w:val="152"/>
        </w:numPr>
        <w:spacing w:after="0" w:line="240" w:lineRule="auto"/>
        <w:jc w:val="both"/>
        <w:rPr>
          <w:rFonts w:ascii="Arial" w:hAnsi="Arial" w:cs="Arial"/>
        </w:rPr>
      </w:pPr>
      <w:r w:rsidRPr="00B01850">
        <w:rPr>
          <w:rFonts w:ascii="Arial" w:hAnsi="Arial" w:cs="Arial"/>
        </w:rPr>
        <w:t>Veiller à ce que la personne qui a le contrôle du véhicule soit en mesure d'avertir comme il se doit toute personne susceptible d'être exposée à un risque du fait du déplacement du véhicule</w:t>
      </w:r>
      <w:r w:rsidR="003D58D1" w:rsidRPr="00B01850">
        <w:rPr>
          <w:rFonts w:ascii="Arial" w:hAnsi="Arial" w:cs="Arial"/>
        </w:rPr>
        <w:t>.</w:t>
      </w:r>
    </w:p>
    <w:p w14:paraId="02BDD0D9" w14:textId="77777777" w:rsidR="00354FB4" w:rsidRPr="00B01850" w:rsidRDefault="00354FB4" w:rsidP="008769A5">
      <w:pPr>
        <w:spacing w:after="0" w:line="240" w:lineRule="auto"/>
        <w:jc w:val="both"/>
        <w:rPr>
          <w:rFonts w:ascii="Arial" w:hAnsi="Arial" w:cs="Arial"/>
        </w:rPr>
      </w:pPr>
      <w:r w:rsidRPr="00B01850">
        <w:rPr>
          <w:rFonts w:ascii="Arial" w:hAnsi="Arial" w:cs="Arial"/>
        </w:rPr>
        <w:t>Tout véhicule quittant le site devra avoir des roues et une carrosserie propres, exemptes de matériaux détachés.</w:t>
      </w:r>
    </w:p>
    <w:p w14:paraId="2C821873" w14:textId="4C49BCEB" w:rsidR="00354FB4" w:rsidRPr="00B01850" w:rsidRDefault="00847970" w:rsidP="00214DCC">
      <w:pPr>
        <w:pStyle w:val="ListParagraph"/>
        <w:numPr>
          <w:ilvl w:val="0"/>
          <w:numId w:val="134"/>
        </w:numPr>
        <w:spacing w:before="120" w:after="120" w:line="240" w:lineRule="auto"/>
        <w:contextualSpacing w:val="0"/>
        <w:jc w:val="both"/>
        <w:rPr>
          <w:rFonts w:ascii="Arial" w:hAnsi="Arial" w:cs="Arial"/>
          <w:b/>
          <w:bCs/>
        </w:rPr>
      </w:pPr>
      <w:r w:rsidRPr="00B01850">
        <w:rPr>
          <w:rFonts w:ascii="Arial" w:hAnsi="Arial" w:cs="Arial"/>
          <w:b/>
          <w:bCs/>
        </w:rPr>
        <w:t xml:space="preserve">Consultation des </w:t>
      </w:r>
      <w:r w:rsidR="00354FB4" w:rsidRPr="00B01850">
        <w:rPr>
          <w:rFonts w:ascii="Arial" w:hAnsi="Arial" w:cs="Arial"/>
          <w:b/>
          <w:bCs/>
        </w:rPr>
        <w:t>parties prenantes</w:t>
      </w:r>
      <w:r w:rsidRPr="00B01850">
        <w:rPr>
          <w:rFonts w:ascii="Arial" w:hAnsi="Arial" w:cs="Arial"/>
          <w:b/>
          <w:bCs/>
        </w:rPr>
        <w:t xml:space="preserve"> sur les questions de sécurité routière</w:t>
      </w:r>
    </w:p>
    <w:p w14:paraId="15F0C2AE" w14:textId="726DB066" w:rsidR="00354FB4" w:rsidRPr="00B01850" w:rsidRDefault="00354FB4" w:rsidP="008769A5">
      <w:pPr>
        <w:spacing w:after="0" w:line="240" w:lineRule="auto"/>
        <w:jc w:val="both"/>
        <w:rPr>
          <w:rFonts w:ascii="Arial" w:hAnsi="Arial" w:cs="Arial"/>
        </w:rPr>
      </w:pPr>
      <w:r w:rsidRPr="00B01850">
        <w:rPr>
          <w:rFonts w:ascii="Arial" w:hAnsi="Arial" w:cs="Arial"/>
        </w:rPr>
        <w:t>Les procédures de sécurité routière, les itinéraires de transport et les calendriers de</w:t>
      </w:r>
      <w:r w:rsidR="00847970" w:rsidRPr="00B01850">
        <w:rPr>
          <w:rFonts w:ascii="Arial" w:hAnsi="Arial" w:cs="Arial"/>
        </w:rPr>
        <w:t xml:space="preserve">s activités d’urgences prévues </w:t>
      </w:r>
      <w:r w:rsidRPr="00B01850">
        <w:rPr>
          <w:rFonts w:ascii="Arial" w:hAnsi="Arial" w:cs="Arial"/>
        </w:rPr>
        <w:t xml:space="preserve">doivent être </w:t>
      </w:r>
      <w:r w:rsidR="00847970" w:rsidRPr="00B01850">
        <w:rPr>
          <w:rFonts w:ascii="Arial" w:hAnsi="Arial" w:cs="Arial"/>
        </w:rPr>
        <w:t xml:space="preserve">débattus </w:t>
      </w:r>
      <w:r w:rsidRPr="00B01850">
        <w:rPr>
          <w:rFonts w:ascii="Arial" w:hAnsi="Arial" w:cs="Arial"/>
        </w:rPr>
        <w:t xml:space="preserve">en consultation </w:t>
      </w:r>
      <w:r w:rsidR="00847970" w:rsidRPr="00B01850">
        <w:rPr>
          <w:rFonts w:ascii="Arial" w:hAnsi="Arial" w:cs="Arial"/>
        </w:rPr>
        <w:t xml:space="preserve">publique </w:t>
      </w:r>
      <w:r w:rsidRPr="00B01850">
        <w:rPr>
          <w:rFonts w:ascii="Arial" w:hAnsi="Arial" w:cs="Arial"/>
        </w:rPr>
        <w:t>avec les communauté</w:t>
      </w:r>
      <w:r w:rsidR="00847970" w:rsidRPr="00B01850">
        <w:rPr>
          <w:rFonts w:ascii="Arial" w:hAnsi="Arial" w:cs="Arial"/>
        </w:rPr>
        <w:t>s</w:t>
      </w:r>
      <w:r w:rsidRPr="00B01850">
        <w:rPr>
          <w:rFonts w:ascii="Arial" w:hAnsi="Arial" w:cs="Arial"/>
        </w:rPr>
        <w:t xml:space="preserve"> </w:t>
      </w:r>
      <w:r w:rsidR="00847970" w:rsidRPr="00B01850">
        <w:rPr>
          <w:rFonts w:ascii="Arial" w:hAnsi="Arial" w:cs="Arial"/>
        </w:rPr>
        <w:t xml:space="preserve">touchées par la catastrophe et </w:t>
      </w:r>
      <w:r w:rsidRPr="00B01850">
        <w:rPr>
          <w:rFonts w:ascii="Arial" w:hAnsi="Arial" w:cs="Arial"/>
        </w:rPr>
        <w:t xml:space="preserve">les autorités locales conformément au Plan de </w:t>
      </w:r>
      <w:r w:rsidR="00847970" w:rsidRPr="00B01850">
        <w:rPr>
          <w:rFonts w:ascii="Arial" w:hAnsi="Arial" w:cs="Arial"/>
        </w:rPr>
        <w:t xml:space="preserve">mobilisation </w:t>
      </w:r>
      <w:r w:rsidRPr="00B01850">
        <w:rPr>
          <w:rFonts w:ascii="Arial" w:hAnsi="Arial" w:cs="Arial"/>
        </w:rPr>
        <w:t xml:space="preserve">des parties prenantes du projet, avant </w:t>
      </w:r>
      <w:r w:rsidR="00847970" w:rsidRPr="00B01850">
        <w:rPr>
          <w:rFonts w:ascii="Arial" w:hAnsi="Arial" w:cs="Arial"/>
        </w:rPr>
        <w:t>même le début des activités.</w:t>
      </w:r>
    </w:p>
    <w:p w14:paraId="49F1D6FB" w14:textId="77777777" w:rsidR="00E532C6" w:rsidRPr="00B01850" w:rsidRDefault="00E532C6" w:rsidP="008769A5">
      <w:pPr>
        <w:spacing w:after="0" w:line="240" w:lineRule="auto"/>
        <w:jc w:val="both"/>
        <w:rPr>
          <w:rFonts w:ascii="Arial" w:hAnsi="Arial" w:cs="Arial"/>
        </w:rPr>
      </w:pPr>
    </w:p>
    <w:p w14:paraId="50694AF4" w14:textId="77777777" w:rsidR="00354FB4" w:rsidRPr="00B01850" w:rsidRDefault="00354FB4" w:rsidP="008769A5">
      <w:pPr>
        <w:spacing w:after="0" w:line="240" w:lineRule="auto"/>
        <w:jc w:val="both"/>
        <w:rPr>
          <w:rFonts w:ascii="Arial" w:hAnsi="Arial" w:cs="Arial"/>
        </w:rPr>
      </w:pPr>
      <w:r w:rsidRPr="00B01850">
        <w:rPr>
          <w:rFonts w:ascii="Arial" w:hAnsi="Arial" w:cs="Arial"/>
        </w:rPr>
        <w:t>Le champ d'application de cette mobilisation devrait inclure la désignation des itinéraires pour les véhicules de chantier, les procédures de réclamation et les procédures d'urgence devront être arrêtées en consultation avec les membres des communautés locales, les propriétaires fonciers touchés et les autorités locales chargées des situations d'urgence et de la circulation.</w:t>
      </w:r>
    </w:p>
    <w:p w14:paraId="0BCC6413" w14:textId="77777777" w:rsidR="00637EC3" w:rsidRPr="00B01850" w:rsidRDefault="00637EC3" w:rsidP="00637EC3">
      <w:pPr>
        <w:spacing w:after="0" w:line="240" w:lineRule="auto"/>
        <w:jc w:val="both"/>
        <w:rPr>
          <w:rFonts w:ascii="Arial" w:hAnsi="Arial" w:cs="Arial"/>
        </w:rPr>
      </w:pPr>
      <w:r w:rsidRPr="00B01850">
        <w:rPr>
          <w:rFonts w:ascii="Arial" w:hAnsi="Arial" w:cs="Arial"/>
        </w:rPr>
        <w:t>Le projet et ses partenaires doivent veiller au respect des différentes mesures de sécurité relatives au transport des équipements et des matériaux nécessaires aux activités d’urgence.</w:t>
      </w:r>
    </w:p>
    <w:p w14:paraId="3B1A04B8" w14:textId="77777777" w:rsidR="00A565A9" w:rsidRPr="00B01850" w:rsidRDefault="00354FB4" w:rsidP="00637EC3">
      <w:pPr>
        <w:spacing w:before="120" w:after="120" w:line="240" w:lineRule="auto"/>
        <w:jc w:val="both"/>
        <w:rPr>
          <w:rFonts w:ascii="Arial" w:hAnsi="Arial" w:cs="Arial"/>
        </w:rPr>
      </w:pPr>
      <w:r w:rsidRPr="00B01850">
        <w:rPr>
          <w:rFonts w:ascii="Arial" w:hAnsi="Arial" w:cs="Arial"/>
        </w:rPr>
        <w:t>À cet égard, des mesures appropriées doivent être prises pour</w:t>
      </w:r>
      <w:r w:rsidR="00A565A9" w:rsidRPr="00B01850">
        <w:rPr>
          <w:rFonts w:ascii="Arial" w:hAnsi="Arial" w:cs="Arial"/>
        </w:rPr>
        <w:t> :</w:t>
      </w:r>
    </w:p>
    <w:p w14:paraId="41998624" w14:textId="77777777" w:rsidR="00A565A9" w:rsidRPr="00B01850" w:rsidRDefault="00A565A9" w:rsidP="00214DCC">
      <w:pPr>
        <w:pStyle w:val="ListParagraph"/>
        <w:numPr>
          <w:ilvl w:val="0"/>
          <w:numId w:val="151"/>
        </w:numPr>
        <w:spacing w:after="0" w:line="240" w:lineRule="auto"/>
        <w:jc w:val="both"/>
        <w:rPr>
          <w:rFonts w:ascii="Arial" w:hAnsi="Arial" w:cs="Arial"/>
        </w:rPr>
      </w:pPr>
      <w:r w:rsidRPr="00B01850">
        <w:rPr>
          <w:rFonts w:ascii="Arial" w:hAnsi="Arial" w:cs="Arial"/>
        </w:rPr>
        <w:t xml:space="preserve">Indiquer les </w:t>
      </w:r>
      <w:r w:rsidR="00354FB4" w:rsidRPr="00B01850">
        <w:rPr>
          <w:rFonts w:ascii="Arial" w:hAnsi="Arial" w:cs="Arial"/>
        </w:rPr>
        <w:t>itinéraires empruntés par les véhicules de construction</w:t>
      </w:r>
      <w:r w:rsidR="00A26073" w:rsidRPr="00B01850">
        <w:rPr>
          <w:rFonts w:ascii="Arial" w:hAnsi="Arial" w:cs="Arial"/>
        </w:rPr>
        <w:t> ;</w:t>
      </w:r>
    </w:p>
    <w:p w14:paraId="1B473724" w14:textId="77777777" w:rsidR="00A565A9" w:rsidRPr="00B01850" w:rsidRDefault="00A565A9" w:rsidP="00214DCC">
      <w:pPr>
        <w:pStyle w:val="ListParagraph"/>
        <w:numPr>
          <w:ilvl w:val="0"/>
          <w:numId w:val="151"/>
        </w:numPr>
        <w:spacing w:after="0" w:line="240" w:lineRule="auto"/>
        <w:jc w:val="both"/>
        <w:rPr>
          <w:rFonts w:ascii="Arial" w:hAnsi="Arial" w:cs="Arial"/>
        </w:rPr>
      </w:pPr>
      <w:r w:rsidRPr="00B01850">
        <w:rPr>
          <w:rFonts w:ascii="Arial" w:hAnsi="Arial" w:cs="Arial"/>
        </w:rPr>
        <w:t xml:space="preserve">Fixer des </w:t>
      </w:r>
      <w:r w:rsidR="00354FB4" w:rsidRPr="00B01850">
        <w:rPr>
          <w:rFonts w:ascii="Arial" w:hAnsi="Arial" w:cs="Arial"/>
        </w:rPr>
        <w:t>signalisation</w:t>
      </w:r>
      <w:r w:rsidRPr="00B01850">
        <w:rPr>
          <w:rFonts w:ascii="Arial" w:hAnsi="Arial" w:cs="Arial"/>
        </w:rPr>
        <w:t>s</w:t>
      </w:r>
      <w:r w:rsidR="00354FB4" w:rsidRPr="00B01850">
        <w:rPr>
          <w:rFonts w:ascii="Arial" w:hAnsi="Arial" w:cs="Arial"/>
        </w:rPr>
        <w:t xml:space="preserve"> adéquate</w:t>
      </w:r>
      <w:r w:rsidRPr="00B01850">
        <w:rPr>
          <w:rFonts w:ascii="Arial" w:hAnsi="Arial" w:cs="Arial"/>
        </w:rPr>
        <w:t>s</w:t>
      </w:r>
      <w:r w:rsidR="00354FB4" w:rsidRPr="00B01850">
        <w:rPr>
          <w:rFonts w:ascii="Arial" w:hAnsi="Arial" w:cs="Arial"/>
        </w:rPr>
        <w:t xml:space="preserve"> pour avertir les membres de la communauté locale</w:t>
      </w:r>
      <w:r w:rsidR="00A26073" w:rsidRPr="00B01850">
        <w:rPr>
          <w:rFonts w:ascii="Arial" w:hAnsi="Arial" w:cs="Arial"/>
        </w:rPr>
        <w:t> ;</w:t>
      </w:r>
    </w:p>
    <w:p w14:paraId="445930F6" w14:textId="6C7FEE74" w:rsidR="00E532C6" w:rsidRPr="00B01850" w:rsidRDefault="00D13648" w:rsidP="00214DCC">
      <w:pPr>
        <w:pStyle w:val="ListParagraph"/>
        <w:numPr>
          <w:ilvl w:val="0"/>
          <w:numId w:val="151"/>
        </w:numPr>
        <w:spacing w:after="0" w:line="240" w:lineRule="auto"/>
        <w:jc w:val="both"/>
        <w:rPr>
          <w:rFonts w:ascii="Arial" w:hAnsi="Arial" w:cs="Arial"/>
        </w:rPr>
      </w:pPr>
      <w:r w:rsidRPr="00B01850">
        <w:rPr>
          <w:rFonts w:ascii="Arial" w:hAnsi="Arial" w:cs="Arial"/>
        </w:rPr>
        <w:t>D</w:t>
      </w:r>
      <w:r w:rsidR="00354FB4" w:rsidRPr="00B01850">
        <w:rPr>
          <w:rFonts w:ascii="Arial" w:hAnsi="Arial" w:cs="Arial"/>
        </w:rPr>
        <w:t>iffus</w:t>
      </w:r>
      <w:r w:rsidRPr="00B01850">
        <w:rPr>
          <w:rFonts w:ascii="Arial" w:hAnsi="Arial" w:cs="Arial"/>
        </w:rPr>
        <w:t xml:space="preserve">er les </w:t>
      </w:r>
      <w:r w:rsidR="00354FB4" w:rsidRPr="00B01850">
        <w:rPr>
          <w:rFonts w:ascii="Arial" w:hAnsi="Arial" w:cs="Arial"/>
        </w:rPr>
        <w:t>informations et sensibilis</w:t>
      </w:r>
      <w:r w:rsidRPr="00B01850">
        <w:rPr>
          <w:rFonts w:ascii="Arial" w:hAnsi="Arial" w:cs="Arial"/>
        </w:rPr>
        <w:t xml:space="preserve">er les </w:t>
      </w:r>
      <w:r w:rsidR="00354FB4" w:rsidRPr="00B01850">
        <w:rPr>
          <w:rFonts w:ascii="Arial" w:hAnsi="Arial" w:cs="Arial"/>
        </w:rPr>
        <w:t>communauté</w:t>
      </w:r>
      <w:r w:rsidRPr="00B01850">
        <w:rPr>
          <w:rFonts w:ascii="Arial" w:hAnsi="Arial" w:cs="Arial"/>
        </w:rPr>
        <w:t>s</w:t>
      </w:r>
      <w:r w:rsidR="00354FB4" w:rsidRPr="00B01850">
        <w:rPr>
          <w:rFonts w:ascii="Arial" w:hAnsi="Arial" w:cs="Arial"/>
        </w:rPr>
        <w:t xml:space="preserve"> </w:t>
      </w:r>
      <w:r w:rsidRPr="00B01850">
        <w:rPr>
          <w:rFonts w:ascii="Arial" w:hAnsi="Arial" w:cs="Arial"/>
        </w:rPr>
        <w:t>sur les r</w:t>
      </w:r>
      <w:r w:rsidR="00354FB4" w:rsidRPr="00B01850">
        <w:rPr>
          <w:rFonts w:ascii="Arial" w:hAnsi="Arial" w:cs="Arial"/>
        </w:rPr>
        <w:t xml:space="preserve">isques </w:t>
      </w:r>
      <w:r w:rsidRPr="00B01850">
        <w:rPr>
          <w:rFonts w:ascii="Arial" w:hAnsi="Arial" w:cs="Arial"/>
        </w:rPr>
        <w:t>rel</w:t>
      </w:r>
      <w:r w:rsidR="00354FB4" w:rsidRPr="00B01850">
        <w:rPr>
          <w:rFonts w:ascii="Arial" w:hAnsi="Arial" w:cs="Arial"/>
        </w:rPr>
        <w:t>a</w:t>
      </w:r>
      <w:r w:rsidRPr="00B01850">
        <w:rPr>
          <w:rFonts w:ascii="Arial" w:hAnsi="Arial" w:cs="Arial"/>
        </w:rPr>
        <w:t xml:space="preserve">tifs à l’augmentation de la </w:t>
      </w:r>
      <w:r w:rsidR="00354FB4" w:rsidRPr="00B01850">
        <w:rPr>
          <w:rFonts w:ascii="Arial" w:hAnsi="Arial" w:cs="Arial"/>
        </w:rPr>
        <w:t xml:space="preserve">circulation et </w:t>
      </w:r>
      <w:r w:rsidRPr="00B01850">
        <w:rPr>
          <w:rFonts w:ascii="Arial" w:hAnsi="Arial" w:cs="Arial"/>
        </w:rPr>
        <w:t xml:space="preserve">les </w:t>
      </w:r>
      <w:r w:rsidR="00354FB4" w:rsidRPr="00B01850">
        <w:rPr>
          <w:rFonts w:ascii="Arial" w:hAnsi="Arial" w:cs="Arial"/>
        </w:rPr>
        <w:t>mesures appropriées</w:t>
      </w:r>
      <w:r w:rsidRPr="00B01850">
        <w:rPr>
          <w:rFonts w:ascii="Arial" w:hAnsi="Arial" w:cs="Arial"/>
        </w:rPr>
        <w:t>, etc.</w:t>
      </w:r>
    </w:p>
    <w:p w14:paraId="670F39F1" w14:textId="77777777" w:rsidR="00E532C6" w:rsidRPr="00B01850" w:rsidRDefault="00E532C6" w:rsidP="00214DCC">
      <w:pPr>
        <w:pStyle w:val="ListParagraph"/>
        <w:numPr>
          <w:ilvl w:val="0"/>
          <w:numId w:val="150"/>
        </w:numPr>
        <w:spacing w:before="120" w:after="120" w:line="240" w:lineRule="auto"/>
        <w:contextualSpacing w:val="0"/>
        <w:jc w:val="both"/>
        <w:rPr>
          <w:rFonts w:ascii="Arial" w:hAnsi="Arial" w:cs="Arial"/>
        </w:rPr>
      </w:pPr>
      <w:r w:rsidRPr="00B01850">
        <w:rPr>
          <w:rFonts w:ascii="Arial" w:hAnsi="Arial" w:cs="Arial"/>
        </w:rPr>
        <w:t>Intervention d'urgence et signalement des dangers</w:t>
      </w:r>
    </w:p>
    <w:p w14:paraId="76D9438B" w14:textId="484A6A12" w:rsidR="00354FB4" w:rsidRPr="00B01850" w:rsidRDefault="00A565A9" w:rsidP="008769A5">
      <w:pPr>
        <w:spacing w:after="0" w:line="240" w:lineRule="auto"/>
        <w:jc w:val="both"/>
        <w:rPr>
          <w:rFonts w:ascii="Arial" w:hAnsi="Arial" w:cs="Arial"/>
        </w:rPr>
      </w:pPr>
      <w:r w:rsidRPr="00B01850">
        <w:rPr>
          <w:rFonts w:ascii="Arial" w:hAnsi="Arial" w:cs="Arial"/>
        </w:rPr>
        <w:t>Dès le début de la mise en œuvre du projet, p</w:t>
      </w:r>
      <w:r w:rsidR="00354FB4" w:rsidRPr="00B01850">
        <w:rPr>
          <w:rFonts w:ascii="Arial" w:hAnsi="Arial" w:cs="Arial"/>
        </w:rPr>
        <w:t>ré</w:t>
      </w:r>
      <w:r w:rsidRPr="00B01850">
        <w:rPr>
          <w:rFonts w:ascii="Arial" w:hAnsi="Arial" w:cs="Arial"/>
        </w:rPr>
        <w:t xml:space="preserve">parer des procédures pour réagir plus adéquatement face aux </w:t>
      </w:r>
      <w:r w:rsidR="00354FB4" w:rsidRPr="00B01850">
        <w:rPr>
          <w:rFonts w:ascii="Arial" w:hAnsi="Arial" w:cs="Arial"/>
        </w:rPr>
        <w:t>événements imprévus</w:t>
      </w:r>
      <w:r w:rsidRPr="00B01850">
        <w:rPr>
          <w:rFonts w:ascii="Arial" w:hAnsi="Arial" w:cs="Arial"/>
        </w:rPr>
        <w:t xml:space="preserve"> qui pourraient survenir lors de la mise en œuvre du projet. Par exemple : </w:t>
      </w:r>
      <w:r w:rsidR="00354FB4" w:rsidRPr="00B01850">
        <w:rPr>
          <w:rFonts w:ascii="Arial" w:hAnsi="Arial" w:cs="Arial"/>
        </w:rPr>
        <w:t xml:space="preserve">des conditions météorologiques extrêmes, des accidents </w:t>
      </w:r>
      <w:r w:rsidRPr="00B01850">
        <w:rPr>
          <w:rFonts w:ascii="Arial" w:hAnsi="Arial" w:cs="Arial"/>
        </w:rPr>
        <w:t xml:space="preserve">de la circulation, </w:t>
      </w:r>
      <w:r w:rsidR="00354FB4" w:rsidRPr="00B01850">
        <w:rPr>
          <w:rFonts w:ascii="Arial" w:hAnsi="Arial" w:cs="Arial"/>
        </w:rPr>
        <w:t>ou des retards.</w:t>
      </w:r>
    </w:p>
    <w:p w14:paraId="0749B023" w14:textId="6B4DE9B2" w:rsidR="00A565A9" w:rsidRPr="00B01850" w:rsidRDefault="00A565A9" w:rsidP="008769A5">
      <w:pPr>
        <w:spacing w:after="0" w:line="240" w:lineRule="auto"/>
        <w:jc w:val="both"/>
        <w:rPr>
          <w:rFonts w:ascii="Arial" w:hAnsi="Arial" w:cs="Arial"/>
        </w:rPr>
      </w:pPr>
      <w:r w:rsidRPr="00B01850">
        <w:rPr>
          <w:rFonts w:ascii="Arial" w:hAnsi="Arial" w:cs="Arial"/>
        </w:rPr>
        <w:t>Des formations, simulations et sensibilisations seront nécessaires pour mieux préparer le projet et ses partenaires à la maîtrise des urgences.</w:t>
      </w:r>
    </w:p>
    <w:p w14:paraId="1B5BAFA2" w14:textId="39DF34DD" w:rsidR="00354FB4" w:rsidRPr="00B01850" w:rsidRDefault="00354FB4" w:rsidP="00214DCC">
      <w:pPr>
        <w:pStyle w:val="ListParagraph"/>
        <w:numPr>
          <w:ilvl w:val="0"/>
          <w:numId w:val="135"/>
        </w:numPr>
        <w:spacing w:before="120" w:after="120" w:line="240" w:lineRule="auto"/>
        <w:contextualSpacing w:val="0"/>
        <w:jc w:val="both"/>
        <w:rPr>
          <w:rFonts w:ascii="Arial" w:hAnsi="Arial" w:cs="Arial"/>
          <w:b/>
          <w:bCs/>
        </w:rPr>
      </w:pPr>
      <w:r w:rsidRPr="00B01850">
        <w:rPr>
          <w:rFonts w:ascii="Arial" w:hAnsi="Arial" w:cs="Arial"/>
          <w:b/>
          <w:bCs/>
        </w:rPr>
        <w:t>Suivi et établissement de rapports</w:t>
      </w:r>
    </w:p>
    <w:p w14:paraId="333AC583" w14:textId="6CACE716" w:rsidR="00354FB4" w:rsidRPr="00B01850" w:rsidRDefault="00354FB4" w:rsidP="008769A5">
      <w:pPr>
        <w:spacing w:after="0" w:line="240" w:lineRule="auto"/>
        <w:jc w:val="both"/>
        <w:rPr>
          <w:rFonts w:ascii="Arial" w:hAnsi="Arial" w:cs="Arial"/>
        </w:rPr>
      </w:pPr>
      <w:r w:rsidRPr="00B01850">
        <w:rPr>
          <w:rFonts w:ascii="Arial" w:hAnsi="Arial" w:cs="Arial"/>
        </w:rPr>
        <w:t>Surveillance</w:t>
      </w:r>
      <w:r w:rsidR="00E532C6" w:rsidRPr="00B01850">
        <w:rPr>
          <w:rFonts w:ascii="Arial" w:hAnsi="Arial" w:cs="Arial"/>
          <w:i/>
          <w:iCs/>
        </w:rPr>
        <w:t xml:space="preserve"> : </w:t>
      </w:r>
      <w:r w:rsidRPr="00B01850">
        <w:rPr>
          <w:rFonts w:ascii="Arial" w:hAnsi="Arial" w:cs="Arial"/>
        </w:rPr>
        <w:t>Le suivi de la performance du plan de gestion du trafic est essentiel pour évaluer son efficacité et identifier les aspects à améliorer. Nous utiliserons divers indicateurs et méthodes, tels que le comptage du trafic, la durée des trajets, les données sur les accidents et les enquêtes de rétroaction, pour mesurer l'impact du plan de gestion du trafic sur la fluidité du trafic et la satisfaction des usagers. Nous effectuerons également des audits et des inspections réguliers pour vérifier la conformité et la sécurité du plan de gestion du trafic.  Les rapports et les constatations devraient être documentés et des recommandations suggérées pour référence et apprentissage futurs.</w:t>
      </w:r>
    </w:p>
    <w:p w14:paraId="29C60244" w14:textId="77777777" w:rsidR="00E532C6" w:rsidRPr="00B01850" w:rsidRDefault="00E532C6" w:rsidP="008769A5">
      <w:pPr>
        <w:spacing w:after="0" w:line="240" w:lineRule="auto"/>
        <w:jc w:val="both"/>
        <w:rPr>
          <w:rFonts w:ascii="Arial" w:hAnsi="Arial" w:cs="Arial"/>
          <w:i/>
          <w:iCs/>
        </w:rPr>
      </w:pPr>
    </w:p>
    <w:p w14:paraId="5FC1A9A2" w14:textId="4C9A4AED" w:rsidR="00354FB4" w:rsidRPr="00B01850" w:rsidRDefault="00354FB4" w:rsidP="008769A5">
      <w:pPr>
        <w:spacing w:after="0" w:line="240" w:lineRule="auto"/>
        <w:jc w:val="both"/>
        <w:rPr>
          <w:rFonts w:ascii="Arial" w:hAnsi="Arial" w:cs="Arial"/>
        </w:rPr>
      </w:pPr>
      <w:r w:rsidRPr="00B01850">
        <w:rPr>
          <w:rFonts w:ascii="Arial" w:hAnsi="Arial" w:cs="Arial"/>
        </w:rPr>
        <w:t xml:space="preserve">Rapports </w:t>
      </w:r>
      <w:r w:rsidR="00E532C6" w:rsidRPr="00B01850">
        <w:rPr>
          <w:rFonts w:ascii="Arial" w:hAnsi="Arial" w:cs="Arial"/>
          <w:i/>
          <w:iCs/>
        </w:rPr>
        <w:t xml:space="preserve">: </w:t>
      </w:r>
      <w:r w:rsidRPr="00B01850">
        <w:rPr>
          <w:rFonts w:ascii="Arial" w:hAnsi="Arial" w:cs="Arial"/>
        </w:rPr>
        <w:t xml:space="preserve">L'organisme d'exécution doit soumettre des rapports sur tous les incidents, incendies et dégâts matériels, etc. à l'ingénieur immédiatement après un tel événement, mais dans tous les cas, au plus tard 24 heures après l'événement. </w:t>
      </w:r>
    </w:p>
    <w:p w14:paraId="00662104" w14:textId="77777777" w:rsidR="00E532C6" w:rsidRPr="00B01850" w:rsidRDefault="00E532C6" w:rsidP="008769A5">
      <w:pPr>
        <w:spacing w:after="0" w:line="240" w:lineRule="auto"/>
        <w:jc w:val="both"/>
        <w:rPr>
          <w:rFonts w:ascii="Arial" w:hAnsi="Arial" w:cs="Arial"/>
          <w:i/>
          <w:iCs/>
        </w:rPr>
      </w:pPr>
    </w:p>
    <w:p w14:paraId="3A2B297E" w14:textId="62283E72" w:rsidR="00354FB4" w:rsidRPr="00B01850" w:rsidRDefault="00354FB4" w:rsidP="008769A5">
      <w:pPr>
        <w:spacing w:after="0" w:line="240" w:lineRule="auto"/>
        <w:jc w:val="both"/>
        <w:rPr>
          <w:rFonts w:ascii="Arial" w:hAnsi="Arial" w:cs="Arial"/>
        </w:rPr>
      </w:pPr>
      <w:r w:rsidRPr="00B01850">
        <w:rPr>
          <w:rFonts w:ascii="Arial" w:hAnsi="Arial" w:cs="Arial"/>
        </w:rPr>
        <w:t>En outre, des rapports périodiques sur la sécurité doivent également être soumis de temps à autre par l'organisme d'exécution à l'U</w:t>
      </w:r>
      <w:r w:rsidR="009C75C6" w:rsidRPr="00B01850">
        <w:rPr>
          <w:rFonts w:ascii="Arial" w:hAnsi="Arial" w:cs="Arial"/>
        </w:rPr>
        <w:t>G</w:t>
      </w:r>
      <w:r w:rsidRPr="00B01850">
        <w:rPr>
          <w:rFonts w:ascii="Arial" w:hAnsi="Arial" w:cs="Arial"/>
        </w:rPr>
        <w:t>P. Compilation de rapports mensuels sur tous les types d'incidents, d'incendies et de dommages matériels à soumettre au spécialiste des questions environnementales et sociales selon les formats prescrits. Les incidents S</w:t>
      </w:r>
      <w:r w:rsidR="009C75C6" w:rsidRPr="00B01850">
        <w:rPr>
          <w:rFonts w:ascii="Arial" w:hAnsi="Arial" w:cs="Arial"/>
        </w:rPr>
        <w:t>ST</w:t>
      </w:r>
      <w:r w:rsidRPr="00B01850">
        <w:rPr>
          <w:rFonts w:ascii="Arial" w:hAnsi="Arial" w:cs="Arial"/>
        </w:rPr>
        <w:t xml:space="preserve"> survenant sur le site doivent être signalés à </w:t>
      </w:r>
      <w:r w:rsidR="009C75C6" w:rsidRPr="00B01850">
        <w:rPr>
          <w:rFonts w:ascii="Arial" w:hAnsi="Arial" w:cs="Arial"/>
        </w:rPr>
        <w:t>l'UGP</w:t>
      </w:r>
      <w:r w:rsidRPr="00B01850">
        <w:rPr>
          <w:rFonts w:ascii="Arial" w:hAnsi="Arial" w:cs="Arial"/>
        </w:rPr>
        <w:t>.</w:t>
      </w:r>
    </w:p>
    <w:p w14:paraId="3CF0B368" w14:textId="77777777" w:rsidR="00354FB4" w:rsidRPr="00B01850" w:rsidRDefault="00354FB4" w:rsidP="00713C2D">
      <w:pPr>
        <w:spacing w:after="0" w:line="240" w:lineRule="auto"/>
        <w:jc w:val="both"/>
        <w:rPr>
          <w:rFonts w:ascii="Arial" w:hAnsi="Arial" w:cs="Arial"/>
          <w:b/>
          <w:bCs/>
        </w:rPr>
      </w:pPr>
    </w:p>
    <w:p w14:paraId="204DC454" w14:textId="6B8C0EF2" w:rsidR="009549A8" w:rsidRPr="0044195C" w:rsidRDefault="007A3F4D" w:rsidP="0044195C">
      <w:pPr>
        <w:pStyle w:val="Body"/>
        <w:spacing w:after="0"/>
        <w:rPr>
          <w:rFonts w:ascii="Arial" w:hAnsi="Arial" w:cs="Arial"/>
          <w:lang w:val="fr-FR"/>
        </w:rPr>
        <w:sectPr w:rsidR="009549A8" w:rsidRPr="0044195C" w:rsidSect="00AC2241">
          <w:pgSz w:w="12240" w:h="15840"/>
          <w:pgMar w:top="1440" w:right="1440" w:bottom="1440" w:left="1440" w:header="720" w:footer="720" w:gutter="0"/>
          <w:cols w:space="720"/>
          <w:docGrid w:linePitch="360"/>
        </w:sectPr>
      </w:pPr>
      <w:bookmarkStart w:id="250" w:name="_Toc872934282"/>
      <w:bookmarkStart w:id="251" w:name="_Hlk196719066"/>
      <w:bookmarkEnd w:id="249"/>
      <w:r w:rsidRPr="00B01850">
        <w:rPr>
          <w:rFonts w:ascii="Arial" w:hAnsi="Arial" w:cs="Arial"/>
          <w:lang w:val="fr-FR"/>
        </w:rPr>
        <w:t xml:space="preserve">Par ailleurs, le projet </w:t>
      </w:r>
      <w:r w:rsidR="00225B58" w:rsidRPr="00B01850">
        <w:rPr>
          <w:rFonts w:ascii="Arial" w:hAnsi="Arial" w:cs="Arial"/>
          <w:lang w:val="fr-FR"/>
        </w:rPr>
        <w:t xml:space="preserve">utilisera </w:t>
      </w:r>
      <w:r w:rsidRPr="00B01850">
        <w:rPr>
          <w:rFonts w:ascii="Arial" w:hAnsi="Arial" w:cs="Arial"/>
          <w:lang w:val="fr-FR"/>
        </w:rPr>
        <w:t>les modèles de f</w:t>
      </w:r>
      <w:r w:rsidR="00FF1DB9" w:rsidRPr="00B01850">
        <w:rPr>
          <w:rFonts w:ascii="Arial" w:hAnsi="Arial" w:cs="Arial"/>
          <w:lang w:val="fr-FR"/>
        </w:rPr>
        <w:t xml:space="preserve">ormulaire </w:t>
      </w:r>
      <w:r w:rsidRPr="00B01850">
        <w:rPr>
          <w:rFonts w:ascii="Arial" w:hAnsi="Arial" w:cs="Arial"/>
          <w:lang w:val="fr-FR"/>
        </w:rPr>
        <w:t xml:space="preserve">de la Banque mondiale </w:t>
      </w:r>
      <w:r w:rsidR="00244261">
        <w:rPr>
          <w:rFonts w:ascii="Arial" w:hAnsi="Arial" w:cs="Arial"/>
          <w:lang w:val="fr-FR"/>
        </w:rPr>
        <w:t xml:space="preserve">pour </w:t>
      </w:r>
      <w:r w:rsidRPr="00B01850">
        <w:rPr>
          <w:rFonts w:ascii="Arial" w:hAnsi="Arial" w:cs="Arial"/>
          <w:lang w:val="fr-FR"/>
        </w:rPr>
        <w:t xml:space="preserve">renseigner son </w:t>
      </w:r>
      <w:r w:rsidR="00FF1DB9" w:rsidRPr="00B01850">
        <w:rPr>
          <w:rFonts w:ascii="Arial" w:hAnsi="Arial" w:cs="Arial"/>
          <w:lang w:val="fr-FR"/>
        </w:rPr>
        <w:t>rapport d'incident</w:t>
      </w:r>
      <w:bookmarkEnd w:id="250"/>
      <w:bookmarkEnd w:id="251"/>
      <w:r w:rsidR="00244261">
        <w:rPr>
          <w:rFonts w:ascii="Arial" w:hAnsi="Arial" w:cs="Arial"/>
          <w:lang w:val="fr-FR"/>
        </w:rPr>
        <w:t>.</w:t>
      </w:r>
    </w:p>
    <w:p w14:paraId="4657080B" w14:textId="0615F92E" w:rsidR="00C119C5" w:rsidRPr="00D12414" w:rsidRDefault="00C119C5" w:rsidP="002610EE">
      <w:pPr>
        <w:spacing w:after="0" w:line="240" w:lineRule="auto"/>
        <w:rPr>
          <w:rFonts w:ascii="Arial" w:eastAsiaTheme="majorEastAsia" w:hAnsi="Arial" w:cs="Arial"/>
          <w:color w:val="365F91" w:themeColor="accent1" w:themeShade="BF"/>
        </w:rPr>
      </w:pPr>
    </w:p>
    <w:sectPr w:rsidR="00C119C5" w:rsidRPr="00D12414" w:rsidSect="00AC224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A4EC8E" w14:textId="77777777" w:rsidR="00CD6F98" w:rsidRPr="00B01850" w:rsidRDefault="00CD6F98" w:rsidP="00FC0A46">
      <w:pPr>
        <w:spacing w:after="0" w:line="240" w:lineRule="auto"/>
      </w:pPr>
      <w:r w:rsidRPr="00B01850">
        <w:separator/>
      </w:r>
    </w:p>
  </w:endnote>
  <w:endnote w:type="continuationSeparator" w:id="0">
    <w:p w14:paraId="10B5E33A" w14:textId="77777777" w:rsidR="00CD6F98" w:rsidRPr="00B01850" w:rsidRDefault="00CD6F98" w:rsidP="00FC0A46">
      <w:pPr>
        <w:spacing w:after="0" w:line="240" w:lineRule="auto"/>
      </w:pPr>
      <w:r w:rsidRPr="00B01850">
        <w:continuationSeparator/>
      </w:r>
    </w:p>
  </w:endnote>
  <w:endnote w:type="continuationNotice" w:id="1">
    <w:p w14:paraId="64F1547E" w14:textId="77777777" w:rsidR="00CD6F98" w:rsidRPr="00B01850" w:rsidRDefault="00CD6F9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 w:name="Times New Roman Bold">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variable"/>
    <w:sig w:usb0="E00002FF" w:usb1="5000785B" w:usb2="00000000" w:usb3="00000000" w:csb0="0000019F" w:csb1="00000000"/>
  </w:font>
  <w:font w:name="ヒラギノ角ゴ Pro W3">
    <w:charset w:val="80"/>
    <w:family w:val="auto"/>
    <w:pitch w:val="variable"/>
    <w:sig w:usb0="E00002FF" w:usb1="7AC7FFFF" w:usb2="00000012" w:usb3="00000000" w:csb0="0002000D" w:csb1="00000000"/>
  </w:font>
  <w:font w:name="Times">
    <w:altName w:val="Sylfaen"/>
    <w:panose1 w:val="02020603050405020304"/>
    <w:charset w:val="00"/>
    <w:family w:val="roman"/>
    <w:pitch w:val="variable"/>
    <w:sig w:usb0="E0002EFF" w:usb1="C000785B" w:usb2="00000009" w:usb3="00000000" w:csb0="000001FF" w:csb1="00000000"/>
  </w:font>
  <w:font w:name="Lucida Grande">
    <w:charset w:val="00"/>
    <w:family w:val="swiss"/>
    <w:pitch w:val="variable"/>
    <w:sig w:usb0="E1000AEF" w:usb1="5000A1FF" w:usb2="00000000" w:usb3="00000000" w:csb0="000001BF" w:csb1="00000000"/>
  </w:font>
  <w:font w:name="TrueHelveticaBlack">
    <w:altName w:val="Cambria"/>
    <w:charset w:val="00"/>
    <w:family w:val="auto"/>
    <w:pitch w:val="default"/>
    <w:sig w:usb0="00000000" w:usb1="00000000" w:usb2="00000000" w:usb3="00000000" w:csb0="00000001" w:csb1="00000000"/>
  </w:font>
  <w:font w:name="Aptos">
    <w:charset w:val="00"/>
    <w:family w:val="swiss"/>
    <w:pitch w:val="variable"/>
    <w:sig w:usb0="20000287" w:usb1="00000003" w:usb2="00000000" w:usb3="00000000" w:csb0="0000019F" w:csb1="00000000"/>
  </w:font>
  <w:font w:name="Aharoni">
    <w:charset w:val="B1"/>
    <w:family w:val="auto"/>
    <w:pitch w:val="variable"/>
    <w:sig w:usb0="00000803" w:usb1="00000000" w:usb2="00000000" w:usb3="00000000" w:csb0="00000021" w:csb1="00000000"/>
  </w:font>
  <w:font w:name="Arial Black">
    <w:panose1 w:val="020B0A04020102020204"/>
    <w:charset w:val="00"/>
    <w:family w:val="swiss"/>
    <w:pitch w:val="variable"/>
    <w:sig w:usb0="A00002AF" w:usb1="400078FB"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5815298"/>
      <w:docPartObj>
        <w:docPartGallery w:val="Page Numbers (Bottom of Page)"/>
        <w:docPartUnique/>
      </w:docPartObj>
    </w:sdtPr>
    <w:sdtEndPr/>
    <w:sdtContent>
      <w:p w14:paraId="77BEE1B8" w14:textId="03F4D11C" w:rsidR="00287C5A" w:rsidRPr="00B01850" w:rsidRDefault="00287C5A">
        <w:pPr>
          <w:pStyle w:val="Footer"/>
          <w:jc w:val="right"/>
        </w:pPr>
        <w:r w:rsidRPr="00B01850">
          <w:fldChar w:fldCharType="begin"/>
        </w:r>
        <w:r w:rsidRPr="00B01850">
          <w:instrText xml:space="preserve"> PAGE   \* MERGEFORMAT </w:instrText>
        </w:r>
        <w:r w:rsidRPr="00B01850">
          <w:fldChar w:fldCharType="separate"/>
        </w:r>
        <w:r w:rsidRPr="00B01850">
          <w:t>2</w:t>
        </w:r>
        <w:r w:rsidRPr="00B01850">
          <w:fldChar w:fldCharType="end"/>
        </w:r>
      </w:p>
    </w:sdtContent>
  </w:sdt>
  <w:p w14:paraId="1A40B9AB" w14:textId="77777777" w:rsidR="00287C5A" w:rsidRPr="00B01850" w:rsidRDefault="00287C5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56773325"/>
      <w:docPartObj>
        <w:docPartGallery w:val="Page Numbers (Bottom of Page)"/>
        <w:docPartUnique/>
      </w:docPartObj>
    </w:sdtPr>
    <w:sdtEndPr>
      <w:rPr>
        <w:rStyle w:val="PageNumber"/>
      </w:rPr>
    </w:sdtEndPr>
    <w:sdtContent>
      <w:p w14:paraId="1FC448B0" w14:textId="587ED681" w:rsidR="00CC2043" w:rsidRPr="00B01850" w:rsidRDefault="00CC2043">
        <w:pPr>
          <w:pStyle w:val="Footer"/>
          <w:framePr w:wrap="none" w:vAnchor="text" w:hAnchor="margin" w:xAlign="right" w:y="1"/>
          <w:rPr>
            <w:rStyle w:val="PageNumber"/>
          </w:rPr>
        </w:pPr>
        <w:r w:rsidRPr="00B01850">
          <w:rPr>
            <w:rStyle w:val="PageNumber"/>
          </w:rPr>
          <w:fldChar w:fldCharType="begin"/>
        </w:r>
        <w:r w:rsidRPr="00B01850">
          <w:rPr>
            <w:rStyle w:val="PageNumber"/>
          </w:rPr>
          <w:instrText xml:space="preserve"> PAGE </w:instrText>
        </w:r>
        <w:r w:rsidRPr="00B01850">
          <w:rPr>
            <w:rStyle w:val="PageNumber"/>
          </w:rPr>
          <w:fldChar w:fldCharType="end"/>
        </w:r>
      </w:p>
    </w:sdtContent>
  </w:sdt>
  <w:p w14:paraId="40FF5DF5" w14:textId="77777777" w:rsidR="00CC2043" w:rsidRPr="00B01850" w:rsidRDefault="00CC2043" w:rsidP="00CC2043">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21C7ED" w14:textId="77777777" w:rsidR="00CC2043" w:rsidRPr="00B01850" w:rsidRDefault="00CC2043" w:rsidP="00CC204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E5D2E9" w14:textId="77777777" w:rsidR="00CD6F98" w:rsidRPr="00B01850" w:rsidRDefault="00CD6F98" w:rsidP="00FC0A46">
      <w:pPr>
        <w:spacing w:after="0" w:line="240" w:lineRule="auto"/>
      </w:pPr>
      <w:r w:rsidRPr="00B01850">
        <w:separator/>
      </w:r>
    </w:p>
  </w:footnote>
  <w:footnote w:type="continuationSeparator" w:id="0">
    <w:p w14:paraId="06408C5B" w14:textId="77777777" w:rsidR="00CD6F98" w:rsidRPr="00B01850" w:rsidRDefault="00CD6F98" w:rsidP="00FC0A46">
      <w:pPr>
        <w:spacing w:after="0" w:line="240" w:lineRule="auto"/>
      </w:pPr>
      <w:r w:rsidRPr="00B01850">
        <w:continuationSeparator/>
      </w:r>
    </w:p>
  </w:footnote>
  <w:footnote w:type="continuationNotice" w:id="1">
    <w:p w14:paraId="5F6C8FDB" w14:textId="77777777" w:rsidR="00CD6F98" w:rsidRPr="00B01850" w:rsidRDefault="00CD6F98">
      <w:pPr>
        <w:spacing w:after="0" w:line="240" w:lineRule="auto"/>
      </w:pPr>
    </w:p>
  </w:footnote>
  <w:footnote w:id="2">
    <w:p w14:paraId="3DC21403" w14:textId="3D05378D" w:rsidR="00322F17" w:rsidRPr="00B01850" w:rsidRDefault="00322F17">
      <w:pPr>
        <w:pStyle w:val="FootnoteText"/>
      </w:pPr>
      <w:r w:rsidRPr="00B01850">
        <w:rPr>
          <w:rStyle w:val="FootnoteReference"/>
        </w:rPr>
        <w:footnoteRef/>
      </w:r>
      <w:r w:rsidRPr="00B01850">
        <w:t xml:space="preserve"> Les informations relatives aux types de risques identifiées en Guinée et leurs caractéristiques proviennent de : RG, PNUD et FEM, Élaboration de cartes sur les risques de catastrophes en Guinée, SAP-Guinée, 2020.</w:t>
      </w:r>
    </w:p>
  </w:footnote>
  <w:footnote w:id="3">
    <w:p w14:paraId="0F8CDACF" w14:textId="77777777" w:rsidR="00DD10A0" w:rsidRPr="008D1D76" w:rsidRDefault="00DD10A0" w:rsidP="00DD10A0">
      <w:pPr>
        <w:pStyle w:val="FootnoteText"/>
        <w:rPr>
          <w:rFonts w:ascii="Times New Roman" w:hAnsi="Times New Roman" w:cs="Times New Roman"/>
        </w:rPr>
      </w:pPr>
      <w:r w:rsidRPr="00B01850">
        <w:rPr>
          <w:rStyle w:val="FootnoteReference"/>
          <w:rFonts w:ascii="Times New Roman" w:hAnsi="Times New Roman" w:cs="Times New Roman"/>
        </w:rPr>
        <w:footnoteRef/>
      </w:r>
      <w:r w:rsidRPr="00B01850">
        <w:rPr>
          <w:rFonts w:ascii="Times New Roman" w:hAnsi="Times New Roman" w:cs="Times New Roman"/>
        </w:rPr>
        <w:t xml:space="preserve"> Incident clos faisant référence à ceux pour lesquels toutes les actions ont été effectuées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063A5" w14:textId="17F0359D" w:rsidR="005431A5" w:rsidRPr="00B01850" w:rsidRDefault="005431A5" w:rsidP="00A713F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4"/>
    <w:multiLevelType w:val="hybridMultilevel"/>
    <w:tmpl w:val="120238E4"/>
    <w:lvl w:ilvl="0" w:tplc="040C0005">
      <w:start w:val="1"/>
      <w:numFmt w:val="bullet"/>
      <w:lvlText w:val=""/>
      <w:lvlJc w:val="left"/>
      <w:pPr>
        <w:ind w:left="720" w:hanging="360"/>
      </w:pPr>
      <w:rPr>
        <w:rFonts w:ascii="Wingdings" w:hAnsi="Wingdings" w:hint="default"/>
      </w:rPr>
    </w:lvl>
    <w:lvl w:ilvl="1" w:tplc="10000003">
      <w:start w:val="1"/>
      <w:numFmt w:val="bullet"/>
      <w:lvlRestart w:val="0"/>
      <w:lvlText w:val="o"/>
      <w:lvlJc w:val="left"/>
      <w:pPr>
        <w:ind w:left="1440" w:hanging="360"/>
      </w:pPr>
      <w:rPr>
        <w:rFonts w:ascii="Courier New" w:hAnsi="Courier New" w:cs="Courier New" w:hint="default"/>
      </w:rPr>
    </w:lvl>
    <w:lvl w:ilvl="2" w:tplc="10000005">
      <w:start w:val="1"/>
      <w:numFmt w:val="bullet"/>
      <w:lvlRestart w:val="0"/>
      <w:lvlText w:val=""/>
      <w:lvlJc w:val="left"/>
      <w:pPr>
        <w:ind w:left="2160" w:hanging="360"/>
      </w:pPr>
      <w:rPr>
        <w:rFonts w:ascii="Wingdings" w:hAnsi="Wingdings" w:hint="default"/>
      </w:rPr>
    </w:lvl>
    <w:lvl w:ilvl="3" w:tplc="10000001">
      <w:start w:val="1"/>
      <w:numFmt w:val="bullet"/>
      <w:lvlRestart w:val="0"/>
      <w:lvlText w:val=""/>
      <w:lvlJc w:val="left"/>
      <w:pPr>
        <w:ind w:left="2880" w:hanging="360"/>
      </w:pPr>
      <w:rPr>
        <w:rFonts w:ascii="Symbol" w:hAnsi="Symbol" w:hint="default"/>
      </w:rPr>
    </w:lvl>
    <w:lvl w:ilvl="4" w:tplc="10000003">
      <w:start w:val="1"/>
      <w:numFmt w:val="bullet"/>
      <w:lvlRestart w:val="0"/>
      <w:lvlText w:val="o"/>
      <w:lvlJc w:val="left"/>
      <w:pPr>
        <w:ind w:left="3600" w:hanging="360"/>
      </w:pPr>
      <w:rPr>
        <w:rFonts w:ascii="Courier New" w:hAnsi="Courier New" w:cs="Courier New" w:hint="default"/>
      </w:rPr>
    </w:lvl>
    <w:lvl w:ilvl="5" w:tplc="10000005">
      <w:start w:val="1"/>
      <w:numFmt w:val="bullet"/>
      <w:lvlRestart w:val="0"/>
      <w:lvlText w:val=""/>
      <w:lvlJc w:val="left"/>
      <w:pPr>
        <w:ind w:left="4320" w:hanging="360"/>
      </w:pPr>
      <w:rPr>
        <w:rFonts w:ascii="Wingdings" w:hAnsi="Wingdings" w:hint="default"/>
      </w:rPr>
    </w:lvl>
    <w:lvl w:ilvl="6" w:tplc="10000001">
      <w:start w:val="1"/>
      <w:numFmt w:val="bullet"/>
      <w:lvlRestart w:val="0"/>
      <w:lvlText w:val=""/>
      <w:lvlJc w:val="left"/>
      <w:pPr>
        <w:ind w:left="5040" w:hanging="360"/>
      </w:pPr>
      <w:rPr>
        <w:rFonts w:ascii="Symbol" w:hAnsi="Symbol" w:hint="default"/>
      </w:rPr>
    </w:lvl>
    <w:lvl w:ilvl="7" w:tplc="10000003">
      <w:start w:val="1"/>
      <w:numFmt w:val="bullet"/>
      <w:lvlRestart w:val="0"/>
      <w:lvlText w:val="o"/>
      <w:lvlJc w:val="left"/>
      <w:pPr>
        <w:ind w:left="5760" w:hanging="360"/>
      </w:pPr>
      <w:rPr>
        <w:rFonts w:ascii="Courier New" w:hAnsi="Courier New" w:cs="Courier New" w:hint="default"/>
      </w:rPr>
    </w:lvl>
    <w:lvl w:ilvl="8" w:tplc="10000005">
      <w:start w:val="1"/>
      <w:numFmt w:val="bullet"/>
      <w:lvlRestart w:val="0"/>
      <w:lvlText w:val=""/>
      <w:lvlJc w:val="left"/>
      <w:pPr>
        <w:ind w:left="6480" w:hanging="360"/>
      </w:pPr>
      <w:rPr>
        <w:rFonts w:ascii="Wingdings" w:hAnsi="Wingdings" w:hint="default"/>
      </w:rPr>
    </w:lvl>
  </w:abstractNum>
  <w:abstractNum w:abstractNumId="1" w15:restartNumberingAfterBreak="0">
    <w:nsid w:val="0000000E"/>
    <w:multiLevelType w:val="hybridMultilevel"/>
    <w:tmpl w:val="288E5B16"/>
    <w:lvl w:ilvl="0" w:tplc="040C0005">
      <w:start w:val="1"/>
      <w:numFmt w:val="bullet"/>
      <w:lvlText w:val=""/>
      <w:lvlJc w:val="left"/>
      <w:pPr>
        <w:ind w:left="720" w:hanging="360"/>
      </w:pPr>
      <w:rPr>
        <w:rFonts w:ascii="Wingdings" w:hAnsi="Wingdings" w:hint="default"/>
      </w:rPr>
    </w:lvl>
    <w:lvl w:ilvl="1" w:tplc="10000003">
      <w:start w:val="1"/>
      <w:numFmt w:val="bullet"/>
      <w:lvlRestart w:val="0"/>
      <w:lvlText w:val="o"/>
      <w:lvlJc w:val="left"/>
      <w:pPr>
        <w:ind w:left="1440" w:hanging="360"/>
      </w:pPr>
      <w:rPr>
        <w:rFonts w:ascii="Courier New" w:hAnsi="Courier New" w:cs="Courier New" w:hint="default"/>
      </w:rPr>
    </w:lvl>
    <w:lvl w:ilvl="2" w:tplc="10000005">
      <w:start w:val="1"/>
      <w:numFmt w:val="bullet"/>
      <w:lvlRestart w:val="0"/>
      <w:lvlText w:val=""/>
      <w:lvlJc w:val="left"/>
      <w:pPr>
        <w:ind w:left="2160" w:hanging="360"/>
      </w:pPr>
      <w:rPr>
        <w:rFonts w:ascii="Wingdings" w:hAnsi="Wingdings" w:hint="default"/>
      </w:rPr>
    </w:lvl>
    <w:lvl w:ilvl="3" w:tplc="10000001">
      <w:start w:val="1"/>
      <w:numFmt w:val="bullet"/>
      <w:lvlRestart w:val="0"/>
      <w:lvlText w:val=""/>
      <w:lvlJc w:val="left"/>
      <w:pPr>
        <w:ind w:left="2880" w:hanging="360"/>
      </w:pPr>
      <w:rPr>
        <w:rFonts w:ascii="Symbol" w:hAnsi="Symbol" w:hint="default"/>
      </w:rPr>
    </w:lvl>
    <w:lvl w:ilvl="4" w:tplc="10000003">
      <w:start w:val="1"/>
      <w:numFmt w:val="bullet"/>
      <w:lvlRestart w:val="0"/>
      <w:lvlText w:val="o"/>
      <w:lvlJc w:val="left"/>
      <w:pPr>
        <w:ind w:left="3600" w:hanging="360"/>
      </w:pPr>
      <w:rPr>
        <w:rFonts w:ascii="Courier New" w:hAnsi="Courier New" w:cs="Courier New" w:hint="default"/>
      </w:rPr>
    </w:lvl>
    <w:lvl w:ilvl="5" w:tplc="10000005">
      <w:start w:val="1"/>
      <w:numFmt w:val="bullet"/>
      <w:lvlRestart w:val="0"/>
      <w:lvlText w:val=""/>
      <w:lvlJc w:val="left"/>
      <w:pPr>
        <w:ind w:left="4320" w:hanging="360"/>
      </w:pPr>
      <w:rPr>
        <w:rFonts w:ascii="Wingdings" w:hAnsi="Wingdings" w:hint="default"/>
      </w:rPr>
    </w:lvl>
    <w:lvl w:ilvl="6" w:tplc="10000001">
      <w:start w:val="1"/>
      <w:numFmt w:val="bullet"/>
      <w:lvlRestart w:val="0"/>
      <w:lvlText w:val=""/>
      <w:lvlJc w:val="left"/>
      <w:pPr>
        <w:ind w:left="5040" w:hanging="360"/>
      </w:pPr>
      <w:rPr>
        <w:rFonts w:ascii="Symbol" w:hAnsi="Symbol" w:hint="default"/>
      </w:rPr>
    </w:lvl>
    <w:lvl w:ilvl="7" w:tplc="10000003">
      <w:start w:val="1"/>
      <w:numFmt w:val="bullet"/>
      <w:lvlRestart w:val="0"/>
      <w:lvlText w:val="o"/>
      <w:lvlJc w:val="left"/>
      <w:pPr>
        <w:ind w:left="5760" w:hanging="360"/>
      </w:pPr>
      <w:rPr>
        <w:rFonts w:ascii="Courier New" w:hAnsi="Courier New" w:cs="Courier New" w:hint="default"/>
      </w:rPr>
    </w:lvl>
    <w:lvl w:ilvl="8" w:tplc="10000005">
      <w:start w:val="1"/>
      <w:numFmt w:val="bullet"/>
      <w:lvlRestart w:val="0"/>
      <w:lvlText w:val=""/>
      <w:lvlJc w:val="left"/>
      <w:pPr>
        <w:ind w:left="6480" w:hanging="360"/>
      </w:pPr>
      <w:rPr>
        <w:rFonts w:ascii="Wingdings" w:hAnsi="Wingdings" w:hint="default"/>
      </w:rPr>
    </w:lvl>
  </w:abstractNum>
  <w:abstractNum w:abstractNumId="2" w15:restartNumberingAfterBreak="0">
    <w:nsid w:val="00000013"/>
    <w:multiLevelType w:val="hybridMultilevel"/>
    <w:tmpl w:val="C2E682B8"/>
    <w:lvl w:ilvl="0" w:tplc="040C0005">
      <w:start w:val="1"/>
      <w:numFmt w:val="bullet"/>
      <w:lvlText w:val=""/>
      <w:lvlJc w:val="left"/>
      <w:pPr>
        <w:ind w:left="720" w:hanging="360"/>
      </w:pPr>
      <w:rPr>
        <w:rFonts w:ascii="Wingdings" w:hAnsi="Wingdings" w:hint="default"/>
      </w:rPr>
    </w:lvl>
    <w:lvl w:ilvl="1" w:tplc="10000003">
      <w:start w:val="1"/>
      <w:numFmt w:val="bullet"/>
      <w:lvlRestart w:val="0"/>
      <w:lvlText w:val="o"/>
      <w:lvlJc w:val="left"/>
      <w:pPr>
        <w:ind w:left="1440" w:hanging="360"/>
      </w:pPr>
      <w:rPr>
        <w:rFonts w:ascii="Courier New" w:hAnsi="Courier New" w:cs="Courier New" w:hint="default"/>
      </w:rPr>
    </w:lvl>
    <w:lvl w:ilvl="2" w:tplc="10000005">
      <w:start w:val="1"/>
      <w:numFmt w:val="bullet"/>
      <w:lvlRestart w:val="0"/>
      <w:lvlText w:val=""/>
      <w:lvlJc w:val="left"/>
      <w:pPr>
        <w:ind w:left="2160" w:hanging="360"/>
      </w:pPr>
      <w:rPr>
        <w:rFonts w:ascii="Wingdings" w:hAnsi="Wingdings" w:hint="default"/>
      </w:rPr>
    </w:lvl>
    <w:lvl w:ilvl="3" w:tplc="10000001">
      <w:start w:val="1"/>
      <w:numFmt w:val="bullet"/>
      <w:lvlRestart w:val="0"/>
      <w:lvlText w:val=""/>
      <w:lvlJc w:val="left"/>
      <w:pPr>
        <w:ind w:left="2880" w:hanging="360"/>
      </w:pPr>
      <w:rPr>
        <w:rFonts w:ascii="Symbol" w:hAnsi="Symbol" w:hint="default"/>
      </w:rPr>
    </w:lvl>
    <w:lvl w:ilvl="4" w:tplc="10000003">
      <w:start w:val="1"/>
      <w:numFmt w:val="bullet"/>
      <w:lvlRestart w:val="0"/>
      <w:lvlText w:val="o"/>
      <w:lvlJc w:val="left"/>
      <w:pPr>
        <w:ind w:left="3600" w:hanging="360"/>
      </w:pPr>
      <w:rPr>
        <w:rFonts w:ascii="Courier New" w:hAnsi="Courier New" w:cs="Courier New" w:hint="default"/>
      </w:rPr>
    </w:lvl>
    <w:lvl w:ilvl="5" w:tplc="10000005">
      <w:start w:val="1"/>
      <w:numFmt w:val="bullet"/>
      <w:lvlRestart w:val="0"/>
      <w:lvlText w:val=""/>
      <w:lvlJc w:val="left"/>
      <w:pPr>
        <w:ind w:left="4320" w:hanging="360"/>
      </w:pPr>
      <w:rPr>
        <w:rFonts w:ascii="Wingdings" w:hAnsi="Wingdings" w:hint="default"/>
      </w:rPr>
    </w:lvl>
    <w:lvl w:ilvl="6" w:tplc="10000001">
      <w:start w:val="1"/>
      <w:numFmt w:val="bullet"/>
      <w:lvlRestart w:val="0"/>
      <w:lvlText w:val=""/>
      <w:lvlJc w:val="left"/>
      <w:pPr>
        <w:ind w:left="5040" w:hanging="360"/>
      </w:pPr>
      <w:rPr>
        <w:rFonts w:ascii="Symbol" w:hAnsi="Symbol" w:hint="default"/>
      </w:rPr>
    </w:lvl>
    <w:lvl w:ilvl="7" w:tplc="10000003">
      <w:start w:val="1"/>
      <w:numFmt w:val="bullet"/>
      <w:lvlRestart w:val="0"/>
      <w:lvlText w:val="o"/>
      <w:lvlJc w:val="left"/>
      <w:pPr>
        <w:ind w:left="5760" w:hanging="360"/>
      </w:pPr>
      <w:rPr>
        <w:rFonts w:ascii="Courier New" w:hAnsi="Courier New" w:cs="Courier New" w:hint="default"/>
      </w:rPr>
    </w:lvl>
    <w:lvl w:ilvl="8" w:tplc="10000005">
      <w:start w:val="1"/>
      <w:numFmt w:val="bullet"/>
      <w:lvlRestart w:val="0"/>
      <w:lvlText w:val=""/>
      <w:lvlJc w:val="left"/>
      <w:pPr>
        <w:ind w:left="6480" w:hanging="360"/>
      </w:pPr>
      <w:rPr>
        <w:rFonts w:ascii="Wingdings" w:hAnsi="Wingdings" w:hint="default"/>
      </w:rPr>
    </w:lvl>
  </w:abstractNum>
  <w:abstractNum w:abstractNumId="3" w15:restartNumberingAfterBreak="0">
    <w:nsid w:val="00000019"/>
    <w:multiLevelType w:val="hybridMultilevel"/>
    <w:tmpl w:val="8FB0D9CC"/>
    <w:lvl w:ilvl="0" w:tplc="040C0005">
      <w:start w:val="1"/>
      <w:numFmt w:val="bullet"/>
      <w:lvlText w:val=""/>
      <w:lvlJc w:val="left"/>
      <w:pPr>
        <w:ind w:left="720" w:hanging="360"/>
      </w:pPr>
      <w:rPr>
        <w:rFonts w:ascii="Wingdings" w:hAnsi="Wingdings" w:hint="default"/>
      </w:rPr>
    </w:lvl>
    <w:lvl w:ilvl="1" w:tplc="10000003">
      <w:start w:val="1"/>
      <w:numFmt w:val="bullet"/>
      <w:lvlRestart w:val="0"/>
      <w:lvlText w:val="o"/>
      <w:lvlJc w:val="left"/>
      <w:pPr>
        <w:ind w:left="1440" w:hanging="360"/>
      </w:pPr>
      <w:rPr>
        <w:rFonts w:ascii="Courier New" w:hAnsi="Courier New" w:cs="Courier New" w:hint="default"/>
      </w:rPr>
    </w:lvl>
    <w:lvl w:ilvl="2" w:tplc="10000005">
      <w:start w:val="1"/>
      <w:numFmt w:val="bullet"/>
      <w:lvlRestart w:val="0"/>
      <w:lvlText w:val=""/>
      <w:lvlJc w:val="left"/>
      <w:pPr>
        <w:ind w:left="2160" w:hanging="360"/>
      </w:pPr>
      <w:rPr>
        <w:rFonts w:ascii="Wingdings" w:hAnsi="Wingdings" w:hint="default"/>
      </w:rPr>
    </w:lvl>
    <w:lvl w:ilvl="3" w:tplc="10000001">
      <w:start w:val="1"/>
      <w:numFmt w:val="bullet"/>
      <w:lvlRestart w:val="0"/>
      <w:lvlText w:val=""/>
      <w:lvlJc w:val="left"/>
      <w:pPr>
        <w:ind w:left="2880" w:hanging="360"/>
      </w:pPr>
      <w:rPr>
        <w:rFonts w:ascii="Symbol" w:hAnsi="Symbol" w:hint="default"/>
      </w:rPr>
    </w:lvl>
    <w:lvl w:ilvl="4" w:tplc="10000003">
      <w:start w:val="1"/>
      <w:numFmt w:val="bullet"/>
      <w:lvlRestart w:val="0"/>
      <w:lvlText w:val="o"/>
      <w:lvlJc w:val="left"/>
      <w:pPr>
        <w:ind w:left="3600" w:hanging="360"/>
      </w:pPr>
      <w:rPr>
        <w:rFonts w:ascii="Courier New" w:hAnsi="Courier New" w:cs="Courier New" w:hint="default"/>
      </w:rPr>
    </w:lvl>
    <w:lvl w:ilvl="5" w:tplc="10000005">
      <w:start w:val="1"/>
      <w:numFmt w:val="bullet"/>
      <w:lvlRestart w:val="0"/>
      <w:lvlText w:val=""/>
      <w:lvlJc w:val="left"/>
      <w:pPr>
        <w:ind w:left="4320" w:hanging="360"/>
      </w:pPr>
      <w:rPr>
        <w:rFonts w:ascii="Wingdings" w:hAnsi="Wingdings" w:hint="default"/>
      </w:rPr>
    </w:lvl>
    <w:lvl w:ilvl="6" w:tplc="10000001">
      <w:start w:val="1"/>
      <w:numFmt w:val="bullet"/>
      <w:lvlRestart w:val="0"/>
      <w:lvlText w:val=""/>
      <w:lvlJc w:val="left"/>
      <w:pPr>
        <w:ind w:left="5040" w:hanging="360"/>
      </w:pPr>
      <w:rPr>
        <w:rFonts w:ascii="Symbol" w:hAnsi="Symbol" w:hint="default"/>
      </w:rPr>
    </w:lvl>
    <w:lvl w:ilvl="7" w:tplc="10000003">
      <w:start w:val="1"/>
      <w:numFmt w:val="bullet"/>
      <w:lvlRestart w:val="0"/>
      <w:lvlText w:val="o"/>
      <w:lvlJc w:val="left"/>
      <w:pPr>
        <w:ind w:left="5760" w:hanging="360"/>
      </w:pPr>
      <w:rPr>
        <w:rFonts w:ascii="Courier New" w:hAnsi="Courier New" w:cs="Courier New" w:hint="default"/>
      </w:rPr>
    </w:lvl>
    <w:lvl w:ilvl="8" w:tplc="10000005">
      <w:start w:val="1"/>
      <w:numFmt w:val="bullet"/>
      <w:lvlRestart w:val="0"/>
      <w:lvlText w:val=""/>
      <w:lvlJc w:val="left"/>
      <w:pPr>
        <w:ind w:left="6480" w:hanging="360"/>
      </w:pPr>
      <w:rPr>
        <w:rFonts w:ascii="Wingdings" w:hAnsi="Wingdings" w:hint="default"/>
      </w:rPr>
    </w:lvl>
  </w:abstractNum>
  <w:abstractNum w:abstractNumId="4" w15:restartNumberingAfterBreak="0">
    <w:nsid w:val="00000020"/>
    <w:multiLevelType w:val="hybridMultilevel"/>
    <w:tmpl w:val="F5706D06"/>
    <w:lvl w:ilvl="0" w:tplc="040C0005">
      <w:start w:val="1"/>
      <w:numFmt w:val="bullet"/>
      <w:lvlText w:val=""/>
      <w:lvlJc w:val="left"/>
      <w:pPr>
        <w:ind w:left="720" w:hanging="360"/>
      </w:pPr>
      <w:rPr>
        <w:rFonts w:ascii="Wingdings" w:hAnsi="Wingdings" w:hint="default"/>
      </w:rPr>
    </w:lvl>
    <w:lvl w:ilvl="1" w:tplc="10000003">
      <w:start w:val="1"/>
      <w:numFmt w:val="bullet"/>
      <w:lvlRestart w:val="0"/>
      <w:lvlText w:val="o"/>
      <w:lvlJc w:val="left"/>
      <w:pPr>
        <w:ind w:left="1440" w:hanging="360"/>
      </w:pPr>
      <w:rPr>
        <w:rFonts w:ascii="Courier New" w:hAnsi="Courier New" w:cs="Courier New" w:hint="default"/>
      </w:rPr>
    </w:lvl>
    <w:lvl w:ilvl="2" w:tplc="10000005">
      <w:start w:val="1"/>
      <w:numFmt w:val="bullet"/>
      <w:lvlRestart w:val="0"/>
      <w:lvlText w:val=""/>
      <w:lvlJc w:val="left"/>
      <w:pPr>
        <w:ind w:left="2160" w:hanging="360"/>
      </w:pPr>
      <w:rPr>
        <w:rFonts w:ascii="Wingdings" w:hAnsi="Wingdings" w:hint="default"/>
      </w:rPr>
    </w:lvl>
    <w:lvl w:ilvl="3" w:tplc="10000001">
      <w:start w:val="1"/>
      <w:numFmt w:val="bullet"/>
      <w:lvlRestart w:val="0"/>
      <w:lvlText w:val=""/>
      <w:lvlJc w:val="left"/>
      <w:pPr>
        <w:ind w:left="2880" w:hanging="360"/>
      </w:pPr>
      <w:rPr>
        <w:rFonts w:ascii="Symbol" w:hAnsi="Symbol" w:hint="default"/>
      </w:rPr>
    </w:lvl>
    <w:lvl w:ilvl="4" w:tplc="10000003">
      <w:start w:val="1"/>
      <w:numFmt w:val="bullet"/>
      <w:lvlRestart w:val="0"/>
      <w:lvlText w:val="o"/>
      <w:lvlJc w:val="left"/>
      <w:pPr>
        <w:ind w:left="3600" w:hanging="360"/>
      </w:pPr>
      <w:rPr>
        <w:rFonts w:ascii="Courier New" w:hAnsi="Courier New" w:cs="Courier New" w:hint="default"/>
      </w:rPr>
    </w:lvl>
    <w:lvl w:ilvl="5" w:tplc="10000005">
      <w:start w:val="1"/>
      <w:numFmt w:val="bullet"/>
      <w:lvlRestart w:val="0"/>
      <w:lvlText w:val=""/>
      <w:lvlJc w:val="left"/>
      <w:pPr>
        <w:ind w:left="4320" w:hanging="360"/>
      </w:pPr>
      <w:rPr>
        <w:rFonts w:ascii="Wingdings" w:hAnsi="Wingdings" w:hint="default"/>
      </w:rPr>
    </w:lvl>
    <w:lvl w:ilvl="6" w:tplc="10000001">
      <w:start w:val="1"/>
      <w:numFmt w:val="bullet"/>
      <w:lvlRestart w:val="0"/>
      <w:lvlText w:val=""/>
      <w:lvlJc w:val="left"/>
      <w:pPr>
        <w:ind w:left="5040" w:hanging="360"/>
      </w:pPr>
      <w:rPr>
        <w:rFonts w:ascii="Symbol" w:hAnsi="Symbol" w:hint="default"/>
      </w:rPr>
    </w:lvl>
    <w:lvl w:ilvl="7" w:tplc="10000003">
      <w:start w:val="1"/>
      <w:numFmt w:val="bullet"/>
      <w:lvlRestart w:val="0"/>
      <w:lvlText w:val="o"/>
      <w:lvlJc w:val="left"/>
      <w:pPr>
        <w:ind w:left="5760" w:hanging="360"/>
      </w:pPr>
      <w:rPr>
        <w:rFonts w:ascii="Courier New" w:hAnsi="Courier New" w:cs="Courier New" w:hint="default"/>
      </w:rPr>
    </w:lvl>
    <w:lvl w:ilvl="8" w:tplc="10000005">
      <w:start w:val="1"/>
      <w:numFmt w:val="bullet"/>
      <w:lvlRestart w:val="0"/>
      <w:lvlText w:val=""/>
      <w:lvlJc w:val="left"/>
      <w:pPr>
        <w:ind w:left="6480" w:hanging="360"/>
      </w:pPr>
      <w:rPr>
        <w:rFonts w:ascii="Wingdings" w:hAnsi="Wingdings" w:hint="default"/>
      </w:rPr>
    </w:lvl>
  </w:abstractNum>
  <w:abstractNum w:abstractNumId="5" w15:restartNumberingAfterBreak="0">
    <w:nsid w:val="00000025"/>
    <w:multiLevelType w:val="hybridMultilevel"/>
    <w:tmpl w:val="A62E9BA4"/>
    <w:lvl w:ilvl="0" w:tplc="040C0005">
      <w:start w:val="1"/>
      <w:numFmt w:val="bullet"/>
      <w:lvlText w:val=""/>
      <w:lvlJc w:val="left"/>
      <w:pPr>
        <w:ind w:left="720" w:hanging="360"/>
      </w:pPr>
      <w:rPr>
        <w:rFonts w:ascii="Wingdings" w:hAnsi="Wingdings" w:hint="default"/>
      </w:rPr>
    </w:lvl>
    <w:lvl w:ilvl="1" w:tplc="040C0019">
      <w:start w:val="1"/>
      <w:numFmt w:val="lowerLetter"/>
      <w:lvlRestart w:val="0"/>
      <w:lvlText w:val="%2."/>
      <w:lvlJc w:val="left"/>
      <w:pPr>
        <w:ind w:left="1440" w:hanging="360"/>
      </w:pPr>
    </w:lvl>
    <w:lvl w:ilvl="2" w:tplc="040C001B">
      <w:start w:val="1"/>
      <w:numFmt w:val="lowerRoman"/>
      <w:lvlRestart w:val="0"/>
      <w:lvlText w:val="%3."/>
      <w:lvlJc w:val="right"/>
      <w:pPr>
        <w:ind w:left="2160" w:hanging="180"/>
      </w:pPr>
    </w:lvl>
    <w:lvl w:ilvl="3" w:tplc="040C000F">
      <w:start w:val="1"/>
      <w:numFmt w:val="decimal"/>
      <w:lvlRestart w:val="0"/>
      <w:lvlText w:val="%4."/>
      <w:lvlJc w:val="left"/>
      <w:pPr>
        <w:ind w:left="2880" w:hanging="360"/>
      </w:pPr>
    </w:lvl>
    <w:lvl w:ilvl="4" w:tplc="040C0019">
      <w:start w:val="1"/>
      <w:numFmt w:val="lowerLetter"/>
      <w:lvlRestart w:val="0"/>
      <w:lvlText w:val="%5."/>
      <w:lvlJc w:val="left"/>
      <w:pPr>
        <w:ind w:left="3600" w:hanging="360"/>
      </w:pPr>
    </w:lvl>
    <w:lvl w:ilvl="5" w:tplc="040C001B">
      <w:start w:val="1"/>
      <w:numFmt w:val="lowerRoman"/>
      <w:lvlRestart w:val="0"/>
      <w:lvlText w:val="%6."/>
      <w:lvlJc w:val="right"/>
      <w:pPr>
        <w:ind w:left="4320" w:hanging="180"/>
      </w:pPr>
    </w:lvl>
    <w:lvl w:ilvl="6" w:tplc="040C000F">
      <w:start w:val="1"/>
      <w:numFmt w:val="decimal"/>
      <w:lvlRestart w:val="0"/>
      <w:lvlText w:val="%7."/>
      <w:lvlJc w:val="left"/>
      <w:pPr>
        <w:ind w:left="5040" w:hanging="360"/>
      </w:pPr>
    </w:lvl>
    <w:lvl w:ilvl="7" w:tplc="040C0019">
      <w:start w:val="1"/>
      <w:numFmt w:val="lowerLetter"/>
      <w:lvlRestart w:val="0"/>
      <w:lvlText w:val="%8."/>
      <w:lvlJc w:val="left"/>
      <w:pPr>
        <w:ind w:left="5760" w:hanging="360"/>
      </w:pPr>
    </w:lvl>
    <w:lvl w:ilvl="8" w:tplc="040C001B">
      <w:start w:val="1"/>
      <w:numFmt w:val="lowerRoman"/>
      <w:lvlRestart w:val="0"/>
      <w:lvlText w:val="%9."/>
      <w:lvlJc w:val="right"/>
      <w:pPr>
        <w:ind w:left="6480" w:hanging="180"/>
      </w:pPr>
    </w:lvl>
  </w:abstractNum>
  <w:abstractNum w:abstractNumId="6" w15:restartNumberingAfterBreak="0">
    <w:nsid w:val="00000033"/>
    <w:multiLevelType w:val="hybridMultilevel"/>
    <w:tmpl w:val="9940BA12"/>
    <w:lvl w:ilvl="0" w:tplc="040C0005">
      <w:start w:val="1"/>
      <w:numFmt w:val="bullet"/>
      <w:lvlText w:val=""/>
      <w:lvlJc w:val="left"/>
      <w:pPr>
        <w:ind w:left="720" w:hanging="360"/>
      </w:pPr>
      <w:rPr>
        <w:rFonts w:ascii="Wingdings" w:hAnsi="Wingdings" w:hint="default"/>
      </w:rPr>
    </w:lvl>
    <w:lvl w:ilvl="1" w:tplc="10000003">
      <w:start w:val="1"/>
      <w:numFmt w:val="bullet"/>
      <w:lvlRestart w:val="0"/>
      <w:lvlText w:val="o"/>
      <w:lvlJc w:val="left"/>
      <w:pPr>
        <w:ind w:left="1440" w:hanging="360"/>
      </w:pPr>
      <w:rPr>
        <w:rFonts w:ascii="Courier New" w:hAnsi="Courier New" w:cs="Courier New" w:hint="default"/>
      </w:rPr>
    </w:lvl>
    <w:lvl w:ilvl="2" w:tplc="10000005">
      <w:start w:val="1"/>
      <w:numFmt w:val="bullet"/>
      <w:lvlRestart w:val="0"/>
      <w:lvlText w:val=""/>
      <w:lvlJc w:val="left"/>
      <w:pPr>
        <w:ind w:left="2160" w:hanging="360"/>
      </w:pPr>
      <w:rPr>
        <w:rFonts w:ascii="Wingdings" w:hAnsi="Wingdings" w:hint="default"/>
      </w:rPr>
    </w:lvl>
    <w:lvl w:ilvl="3" w:tplc="10000001">
      <w:start w:val="1"/>
      <w:numFmt w:val="bullet"/>
      <w:lvlRestart w:val="0"/>
      <w:lvlText w:val=""/>
      <w:lvlJc w:val="left"/>
      <w:pPr>
        <w:ind w:left="2880" w:hanging="360"/>
      </w:pPr>
      <w:rPr>
        <w:rFonts w:ascii="Symbol" w:hAnsi="Symbol" w:hint="default"/>
      </w:rPr>
    </w:lvl>
    <w:lvl w:ilvl="4" w:tplc="10000003">
      <w:start w:val="1"/>
      <w:numFmt w:val="bullet"/>
      <w:lvlRestart w:val="0"/>
      <w:lvlText w:val="o"/>
      <w:lvlJc w:val="left"/>
      <w:pPr>
        <w:ind w:left="3600" w:hanging="360"/>
      </w:pPr>
      <w:rPr>
        <w:rFonts w:ascii="Courier New" w:hAnsi="Courier New" w:cs="Courier New" w:hint="default"/>
      </w:rPr>
    </w:lvl>
    <w:lvl w:ilvl="5" w:tplc="10000005">
      <w:start w:val="1"/>
      <w:numFmt w:val="bullet"/>
      <w:lvlRestart w:val="0"/>
      <w:lvlText w:val=""/>
      <w:lvlJc w:val="left"/>
      <w:pPr>
        <w:ind w:left="4320" w:hanging="360"/>
      </w:pPr>
      <w:rPr>
        <w:rFonts w:ascii="Wingdings" w:hAnsi="Wingdings" w:hint="default"/>
      </w:rPr>
    </w:lvl>
    <w:lvl w:ilvl="6" w:tplc="10000001">
      <w:start w:val="1"/>
      <w:numFmt w:val="bullet"/>
      <w:lvlRestart w:val="0"/>
      <w:lvlText w:val=""/>
      <w:lvlJc w:val="left"/>
      <w:pPr>
        <w:ind w:left="5040" w:hanging="360"/>
      </w:pPr>
      <w:rPr>
        <w:rFonts w:ascii="Symbol" w:hAnsi="Symbol" w:hint="default"/>
      </w:rPr>
    </w:lvl>
    <w:lvl w:ilvl="7" w:tplc="10000003">
      <w:start w:val="1"/>
      <w:numFmt w:val="bullet"/>
      <w:lvlRestart w:val="0"/>
      <w:lvlText w:val="o"/>
      <w:lvlJc w:val="left"/>
      <w:pPr>
        <w:ind w:left="5760" w:hanging="360"/>
      </w:pPr>
      <w:rPr>
        <w:rFonts w:ascii="Courier New" w:hAnsi="Courier New" w:cs="Courier New" w:hint="default"/>
      </w:rPr>
    </w:lvl>
    <w:lvl w:ilvl="8" w:tplc="10000005">
      <w:start w:val="1"/>
      <w:numFmt w:val="bullet"/>
      <w:lvlRestart w:val="0"/>
      <w:lvlText w:val=""/>
      <w:lvlJc w:val="left"/>
      <w:pPr>
        <w:ind w:left="6480" w:hanging="360"/>
      </w:pPr>
      <w:rPr>
        <w:rFonts w:ascii="Wingdings" w:hAnsi="Wingdings" w:hint="default"/>
      </w:rPr>
    </w:lvl>
  </w:abstractNum>
  <w:abstractNum w:abstractNumId="7" w15:restartNumberingAfterBreak="0">
    <w:nsid w:val="0000003A"/>
    <w:multiLevelType w:val="hybridMultilevel"/>
    <w:tmpl w:val="A4B6837C"/>
    <w:lvl w:ilvl="0" w:tplc="040C0005">
      <w:start w:val="1"/>
      <w:numFmt w:val="bullet"/>
      <w:lvlText w:val=""/>
      <w:lvlJc w:val="left"/>
      <w:pPr>
        <w:ind w:left="720" w:hanging="360"/>
      </w:pPr>
      <w:rPr>
        <w:rFonts w:ascii="Wingdings" w:hAnsi="Wingdings" w:hint="default"/>
      </w:rPr>
    </w:lvl>
    <w:lvl w:ilvl="1" w:tplc="10000003">
      <w:start w:val="1"/>
      <w:numFmt w:val="bullet"/>
      <w:lvlRestart w:val="0"/>
      <w:lvlText w:val="o"/>
      <w:lvlJc w:val="left"/>
      <w:pPr>
        <w:ind w:left="1440" w:hanging="360"/>
      </w:pPr>
      <w:rPr>
        <w:rFonts w:ascii="Courier New" w:hAnsi="Courier New" w:cs="Courier New" w:hint="default"/>
      </w:rPr>
    </w:lvl>
    <w:lvl w:ilvl="2" w:tplc="10000005">
      <w:start w:val="1"/>
      <w:numFmt w:val="bullet"/>
      <w:lvlRestart w:val="0"/>
      <w:lvlText w:val=""/>
      <w:lvlJc w:val="left"/>
      <w:pPr>
        <w:ind w:left="2160" w:hanging="360"/>
      </w:pPr>
      <w:rPr>
        <w:rFonts w:ascii="Wingdings" w:hAnsi="Wingdings" w:hint="default"/>
      </w:rPr>
    </w:lvl>
    <w:lvl w:ilvl="3" w:tplc="10000001">
      <w:start w:val="1"/>
      <w:numFmt w:val="bullet"/>
      <w:lvlRestart w:val="0"/>
      <w:lvlText w:val=""/>
      <w:lvlJc w:val="left"/>
      <w:pPr>
        <w:ind w:left="2880" w:hanging="360"/>
      </w:pPr>
      <w:rPr>
        <w:rFonts w:ascii="Symbol" w:hAnsi="Symbol" w:hint="default"/>
      </w:rPr>
    </w:lvl>
    <w:lvl w:ilvl="4" w:tplc="10000003">
      <w:start w:val="1"/>
      <w:numFmt w:val="bullet"/>
      <w:lvlRestart w:val="0"/>
      <w:lvlText w:val="o"/>
      <w:lvlJc w:val="left"/>
      <w:pPr>
        <w:ind w:left="3600" w:hanging="360"/>
      </w:pPr>
      <w:rPr>
        <w:rFonts w:ascii="Courier New" w:hAnsi="Courier New" w:cs="Courier New" w:hint="default"/>
      </w:rPr>
    </w:lvl>
    <w:lvl w:ilvl="5" w:tplc="10000005">
      <w:start w:val="1"/>
      <w:numFmt w:val="bullet"/>
      <w:lvlRestart w:val="0"/>
      <w:lvlText w:val=""/>
      <w:lvlJc w:val="left"/>
      <w:pPr>
        <w:ind w:left="4320" w:hanging="360"/>
      </w:pPr>
      <w:rPr>
        <w:rFonts w:ascii="Wingdings" w:hAnsi="Wingdings" w:hint="default"/>
      </w:rPr>
    </w:lvl>
    <w:lvl w:ilvl="6" w:tplc="10000001">
      <w:start w:val="1"/>
      <w:numFmt w:val="bullet"/>
      <w:lvlRestart w:val="0"/>
      <w:lvlText w:val=""/>
      <w:lvlJc w:val="left"/>
      <w:pPr>
        <w:ind w:left="5040" w:hanging="360"/>
      </w:pPr>
      <w:rPr>
        <w:rFonts w:ascii="Symbol" w:hAnsi="Symbol" w:hint="default"/>
      </w:rPr>
    </w:lvl>
    <w:lvl w:ilvl="7" w:tplc="10000003">
      <w:start w:val="1"/>
      <w:numFmt w:val="bullet"/>
      <w:lvlRestart w:val="0"/>
      <w:lvlText w:val="o"/>
      <w:lvlJc w:val="left"/>
      <w:pPr>
        <w:ind w:left="5760" w:hanging="360"/>
      </w:pPr>
      <w:rPr>
        <w:rFonts w:ascii="Courier New" w:hAnsi="Courier New" w:cs="Courier New" w:hint="default"/>
      </w:rPr>
    </w:lvl>
    <w:lvl w:ilvl="8" w:tplc="10000005">
      <w:start w:val="1"/>
      <w:numFmt w:val="bullet"/>
      <w:lvlRestart w:val="0"/>
      <w:lvlText w:val=""/>
      <w:lvlJc w:val="left"/>
      <w:pPr>
        <w:ind w:left="6480" w:hanging="360"/>
      </w:pPr>
      <w:rPr>
        <w:rFonts w:ascii="Wingdings" w:hAnsi="Wingdings" w:hint="default"/>
      </w:rPr>
    </w:lvl>
  </w:abstractNum>
  <w:abstractNum w:abstractNumId="8" w15:restartNumberingAfterBreak="0">
    <w:nsid w:val="010B28BD"/>
    <w:multiLevelType w:val="hybridMultilevel"/>
    <w:tmpl w:val="285A832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12806B9"/>
    <w:multiLevelType w:val="hybridMultilevel"/>
    <w:tmpl w:val="4CD291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2692E87"/>
    <w:multiLevelType w:val="hybridMultilevel"/>
    <w:tmpl w:val="04F46996"/>
    <w:lvl w:ilvl="0" w:tplc="040C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1" w15:restartNumberingAfterBreak="0">
    <w:nsid w:val="02DA273D"/>
    <w:multiLevelType w:val="multilevel"/>
    <w:tmpl w:val="1318EAF6"/>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2" w15:restartNumberingAfterBreak="0">
    <w:nsid w:val="03075D54"/>
    <w:multiLevelType w:val="hybridMultilevel"/>
    <w:tmpl w:val="410481A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3F759F2"/>
    <w:multiLevelType w:val="hybridMultilevel"/>
    <w:tmpl w:val="DBEC9EA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5071B01"/>
    <w:multiLevelType w:val="hybridMultilevel"/>
    <w:tmpl w:val="61E2A366"/>
    <w:lvl w:ilvl="0" w:tplc="040C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53C0887"/>
    <w:multiLevelType w:val="hybridMultilevel"/>
    <w:tmpl w:val="8ABE2CA8"/>
    <w:lvl w:ilvl="0" w:tplc="040C000F">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6" w15:restartNumberingAfterBreak="0">
    <w:nsid w:val="06650D49"/>
    <w:multiLevelType w:val="hybridMultilevel"/>
    <w:tmpl w:val="9E20CC08"/>
    <w:lvl w:ilvl="0" w:tplc="E67A886A">
      <w:start w:val="3"/>
      <w:numFmt w:val="decimal"/>
      <w:pStyle w:val="hsnor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774205D"/>
    <w:multiLevelType w:val="hybridMultilevel"/>
    <w:tmpl w:val="EC0E5D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946B54"/>
    <w:multiLevelType w:val="hybridMultilevel"/>
    <w:tmpl w:val="ABAA2D46"/>
    <w:lvl w:ilvl="0" w:tplc="81C614AC">
      <w:start w:val="2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7FB6842"/>
    <w:multiLevelType w:val="hybridMultilevel"/>
    <w:tmpl w:val="F8B4C2A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9C57710"/>
    <w:multiLevelType w:val="multilevel"/>
    <w:tmpl w:val="1D303D4C"/>
    <w:lvl w:ilvl="0">
      <w:start w:val="1"/>
      <w:numFmt w:val="lowerLetter"/>
      <w:lvlText w:val="%1."/>
      <w:lvlJc w:val="left"/>
      <w:pPr>
        <w:ind w:left="99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 w15:restartNumberingAfterBreak="0">
    <w:nsid w:val="0A85350E"/>
    <w:multiLevelType w:val="hybridMultilevel"/>
    <w:tmpl w:val="31AE2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B8B7FC0"/>
    <w:multiLevelType w:val="hybridMultilevel"/>
    <w:tmpl w:val="52BEB45C"/>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0BA6216C"/>
    <w:multiLevelType w:val="hybridMultilevel"/>
    <w:tmpl w:val="AE3811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0C110C3F"/>
    <w:multiLevelType w:val="multilevel"/>
    <w:tmpl w:val="F44208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0D262827"/>
    <w:multiLevelType w:val="hybridMultilevel"/>
    <w:tmpl w:val="137CD63E"/>
    <w:lvl w:ilvl="0" w:tplc="81C614AC">
      <w:start w:val="2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0D3E38B8"/>
    <w:multiLevelType w:val="hybridMultilevel"/>
    <w:tmpl w:val="8EAE1C6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D6B7D25"/>
    <w:multiLevelType w:val="hybridMultilevel"/>
    <w:tmpl w:val="A6885E9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0EC00B12"/>
    <w:multiLevelType w:val="hybridMultilevel"/>
    <w:tmpl w:val="718EB13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04E2B5A"/>
    <w:multiLevelType w:val="hybridMultilevel"/>
    <w:tmpl w:val="CE28945E"/>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11191FD9"/>
    <w:multiLevelType w:val="hybridMultilevel"/>
    <w:tmpl w:val="1292C87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1D95C47"/>
    <w:multiLevelType w:val="multilevel"/>
    <w:tmpl w:val="9EF81BF4"/>
    <w:lvl w:ilvl="0">
      <w:start w:val="1"/>
      <w:numFmt w:val="bullet"/>
      <w:lvlText w:val=""/>
      <w:lvlJc w:val="left"/>
      <w:pPr>
        <w:ind w:left="1440" w:hanging="360"/>
      </w:pPr>
      <w:rPr>
        <w:rFonts w:ascii="Wingdings" w:hAnsi="Wingding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2" w15:restartNumberingAfterBreak="0">
    <w:nsid w:val="12E0520A"/>
    <w:multiLevelType w:val="multilevel"/>
    <w:tmpl w:val="44221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13304673"/>
    <w:multiLevelType w:val="hybridMultilevel"/>
    <w:tmpl w:val="6CEE7914"/>
    <w:lvl w:ilvl="0" w:tplc="040C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133B625F"/>
    <w:multiLevelType w:val="hybridMultilevel"/>
    <w:tmpl w:val="6A20D52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3600E32"/>
    <w:multiLevelType w:val="hybridMultilevel"/>
    <w:tmpl w:val="9FD4062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39B65AD"/>
    <w:multiLevelType w:val="hybridMultilevel"/>
    <w:tmpl w:val="FD7AF084"/>
    <w:lvl w:ilvl="0" w:tplc="040C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141E79F1"/>
    <w:multiLevelType w:val="multilevel"/>
    <w:tmpl w:val="1D303D4C"/>
    <w:lvl w:ilvl="0">
      <w:start w:val="1"/>
      <w:numFmt w:val="lowerLetter"/>
      <w:lvlText w:val="%1."/>
      <w:lvlJc w:val="left"/>
      <w:pPr>
        <w:ind w:left="99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8" w15:restartNumberingAfterBreak="0">
    <w:nsid w:val="15783E71"/>
    <w:multiLevelType w:val="hybridMultilevel"/>
    <w:tmpl w:val="1772C248"/>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18800EBD"/>
    <w:multiLevelType w:val="hybridMultilevel"/>
    <w:tmpl w:val="20F83F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99F20B6"/>
    <w:multiLevelType w:val="hybridMultilevel"/>
    <w:tmpl w:val="3D544BB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CF506D3"/>
    <w:multiLevelType w:val="hybridMultilevel"/>
    <w:tmpl w:val="2D10235C"/>
    <w:lvl w:ilvl="0" w:tplc="2738185E">
      <w:start w:val="1"/>
      <w:numFmt w:val="bullet"/>
      <w:lvlText w:val="-"/>
      <w:lvlJc w:val="left"/>
      <w:pPr>
        <w:ind w:left="720" w:hanging="360"/>
      </w:pPr>
      <w:rPr>
        <w:rFonts w:ascii="Arial" w:eastAsiaTheme="minorEastAsia"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D2E1410"/>
    <w:multiLevelType w:val="multilevel"/>
    <w:tmpl w:val="B9FEF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1DFB65ED"/>
    <w:multiLevelType w:val="hybridMultilevel"/>
    <w:tmpl w:val="1FA8F0D4"/>
    <w:lvl w:ilvl="0" w:tplc="81C614AC">
      <w:start w:val="2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F23459D"/>
    <w:multiLevelType w:val="hybridMultilevel"/>
    <w:tmpl w:val="6C3494E6"/>
    <w:lvl w:ilvl="0" w:tplc="81C614AC">
      <w:start w:val="2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0244071"/>
    <w:multiLevelType w:val="hybridMultilevel"/>
    <w:tmpl w:val="13424782"/>
    <w:lvl w:ilvl="0" w:tplc="04090005">
      <w:start w:val="1"/>
      <w:numFmt w:val="bullet"/>
      <w:lvlText w:val=""/>
      <w:lvlJc w:val="left"/>
      <w:pPr>
        <w:ind w:left="1250" w:hanging="360"/>
      </w:pPr>
      <w:rPr>
        <w:rFonts w:ascii="Wingdings" w:hAnsi="Wingdings" w:hint="default"/>
      </w:rPr>
    </w:lvl>
    <w:lvl w:ilvl="1" w:tplc="04090003" w:tentative="1">
      <w:start w:val="1"/>
      <w:numFmt w:val="bullet"/>
      <w:lvlText w:val="o"/>
      <w:lvlJc w:val="left"/>
      <w:pPr>
        <w:ind w:left="1970" w:hanging="360"/>
      </w:pPr>
      <w:rPr>
        <w:rFonts w:ascii="Courier New" w:hAnsi="Courier New" w:cs="Courier New" w:hint="default"/>
      </w:rPr>
    </w:lvl>
    <w:lvl w:ilvl="2" w:tplc="04090005" w:tentative="1">
      <w:start w:val="1"/>
      <w:numFmt w:val="bullet"/>
      <w:lvlText w:val=""/>
      <w:lvlJc w:val="left"/>
      <w:pPr>
        <w:ind w:left="2690" w:hanging="360"/>
      </w:pPr>
      <w:rPr>
        <w:rFonts w:ascii="Wingdings" w:hAnsi="Wingdings" w:hint="default"/>
      </w:rPr>
    </w:lvl>
    <w:lvl w:ilvl="3" w:tplc="04090001" w:tentative="1">
      <w:start w:val="1"/>
      <w:numFmt w:val="bullet"/>
      <w:lvlText w:val=""/>
      <w:lvlJc w:val="left"/>
      <w:pPr>
        <w:ind w:left="3410" w:hanging="360"/>
      </w:pPr>
      <w:rPr>
        <w:rFonts w:ascii="Symbol" w:hAnsi="Symbol" w:hint="default"/>
      </w:rPr>
    </w:lvl>
    <w:lvl w:ilvl="4" w:tplc="04090003" w:tentative="1">
      <w:start w:val="1"/>
      <w:numFmt w:val="bullet"/>
      <w:lvlText w:val="o"/>
      <w:lvlJc w:val="left"/>
      <w:pPr>
        <w:ind w:left="4130" w:hanging="360"/>
      </w:pPr>
      <w:rPr>
        <w:rFonts w:ascii="Courier New" w:hAnsi="Courier New" w:cs="Courier New" w:hint="default"/>
      </w:rPr>
    </w:lvl>
    <w:lvl w:ilvl="5" w:tplc="04090005" w:tentative="1">
      <w:start w:val="1"/>
      <w:numFmt w:val="bullet"/>
      <w:lvlText w:val=""/>
      <w:lvlJc w:val="left"/>
      <w:pPr>
        <w:ind w:left="4850" w:hanging="360"/>
      </w:pPr>
      <w:rPr>
        <w:rFonts w:ascii="Wingdings" w:hAnsi="Wingdings" w:hint="default"/>
      </w:rPr>
    </w:lvl>
    <w:lvl w:ilvl="6" w:tplc="04090001" w:tentative="1">
      <w:start w:val="1"/>
      <w:numFmt w:val="bullet"/>
      <w:lvlText w:val=""/>
      <w:lvlJc w:val="left"/>
      <w:pPr>
        <w:ind w:left="5570" w:hanging="360"/>
      </w:pPr>
      <w:rPr>
        <w:rFonts w:ascii="Symbol" w:hAnsi="Symbol" w:hint="default"/>
      </w:rPr>
    </w:lvl>
    <w:lvl w:ilvl="7" w:tplc="04090003" w:tentative="1">
      <w:start w:val="1"/>
      <w:numFmt w:val="bullet"/>
      <w:lvlText w:val="o"/>
      <w:lvlJc w:val="left"/>
      <w:pPr>
        <w:ind w:left="6290" w:hanging="360"/>
      </w:pPr>
      <w:rPr>
        <w:rFonts w:ascii="Courier New" w:hAnsi="Courier New" w:cs="Courier New" w:hint="default"/>
      </w:rPr>
    </w:lvl>
    <w:lvl w:ilvl="8" w:tplc="04090005" w:tentative="1">
      <w:start w:val="1"/>
      <w:numFmt w:val="bullet"/>
      <w:lvlText w:val=""/>
      <w:lvlJc w:val="left"/>
      <w:pPr>
        <w:ind w:left="7010" w:hanging="360"/>
      </w:pPr>
      <w:rPr>
        <w:rFonts w:ascii="Wingdings" w:hAnsi="Wingdings" w:hint="default"/>
      </w:rPr>
    </w:lvl>
  </w:abstractNum>
  <w:abstractNum w:abstractNumId="46" w15:restartNumberingAfterBreak="0">
    <w:nsid w:val="2070286D"/>
    <w:multiLevelType w:val="hybridMultilevel"/>
    <w:tmpl w:val="299829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210623C3"/>
    <w:multiLevelType w:val="hybridMultilevel"/>
    <w:tmpl w:val="4976A09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16A1D77"/>
    <w:multiLevelType w:val="hybridMultilevel"/>
    <w:tmpl w:val="4A00707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22474FB"/>
    <w:multiLevelType w:val="hybridMultilevel"/>
    <w:tmpl w:val="49549D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30C435D"/>
    <w:multiLevelType w:val="hybridMultilevel"/>
    <w:tmpl w:val="202233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3AE0CF2"/>
    <w:multiLevelType w:val="hybridMultilevel"/>
    <w:tmpl w:val="BC2EDB7E"/>
    <w:lvl w:ilvl="0" w:tplc="E41A65CC">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246B6153"/>
    <w:multiLevelType w:val="multilevel"/>
    <w:tmpl w:val="DB20E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6483ED6"/>
    <w:multiLevelType w:val="hybridMultilevel"/>
    <w:tmpl w:val="9B1AC088"/>
    <w:lvl w:ilvl="0" w:tplc="E41A65CC">
      <w:start w:val="2"/>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26F420F5"/>
    <w:multiLevelType w:val="hybridMultilevel"/>
    <w:tmpl w:val="0E9836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27300B42"/>
    <w:multiLevelType w:val="hybridMultilevel"/>
    <w:tmpl w:val="17D6D0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278B39C0"/>
    <w:multiLevelType w:val="hybridMultilevel"/>
    <w:tmpl w:val="7C6C9B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78E33B8"/>
    <w:multiLevelType w:val="hybridMultilevel"/>
    <w:tmpl w:val="CB9A50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286862E2"/>
    <w:multiLevelType w:val="hybridMultilevel"/>
    <w:tmpl w:val="7FA2C75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8B55007"/>
    <w:multiLevelType w:val="hybridMultilevel"/>
    <w:tmpl w:val="B54CD0F6"/>
    <w:lvl w:ilvl="0" w:tplc="A08ECDE8">
      <w:numFmt w:val="bullet"/>
      <w:lvlText w:val="-"/>
      <w:lvlJc w:val="left"/>
      <w:pPr>
        <w:ind w:left="720" w:hanging="360"/>
      </w:pPr>
      <w:rPr>
        <w:rFonts w:ascii="Arial Narrow" w:eastAsiaTheme="minorHAnsi" w:hAnsi="Arial Narrow"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297C37BB"/>
    <w:multiLevelType w:val="hybridMultilevel"/>
    <w:tmpl w:val="7F1836E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9B94683"/>
    <w:multiLevelType w:val="hybridMultilevel"/>
    <w:tmpl w:val="A908151A"/>
    <w:lvl w:ilvl="0" w:tplc="E41A65CC">
      <w:start w:val="2"/>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 w15:restartNumberingAfterBreak="0">
    <w:nsid w:val="29D6255C"/>
    <w:multiLevelType w:val="hybridMultilevel"/>
    <w:tmpl w:val="0CF45E0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ACD2CCE"/>
    <w:multiLevelType w:val="hybridMultilevel"/>
    <w:tmpl w:val="F5988002"/>
    <w:lvl w:ilvl="0" w:tplc="0409000D">
      <w:start w:val="1"/>
      <w:numFmt w:val="bullet"/>
      <w:lvlText w:val=""/>
      <w:lvlJc w:val="left"/>
      <w:pPr>
        <w:ind w:left="1080" w:hanging="360"/>
      </w:pPr>
      <w:rPr>
        <w:rFonts w:ascii="Wingdings" w:hAnsi="Wingdings"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4" w15:restartNumberingAfterBreak="0">
    <w:nsid w:val="2AFD7165"/>
    <w:multiLevelType w:val="hybridMultilevel"/>
    <w:tmpl w:val="F1D871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B923FEF"/>
    <w:multiLevelType w:val="multilevel"/>
    <w:tmpl w:val="44E091AC"/>
    <w:lvl w:ilvl="0">
      <w:start w:val="1"/>
      <w:numFmt w:val="bullet"/>
      <w:lvlText w:val=""/>
      <w:lvlJc w:val="left"/>
      <w:pPr>
        <w:ind w:left="720" w:hanging="360"/>
      </w:pPr>
      <w:rPr>
        <w:rFonts w:ascii="Wingdings" w:hAnsi="Wingdings" w:hint="default"/>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6" w15:restartNumberingAfterBreak="0">
    <w:nsid w:val="2C5E5F02"/>
    <w:multiLevelType w:val="multilevel"/>
    <w:tmpl w:val="2C5E5F0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7" w15:restartNumberingAfterBreak="0">
    <w:nsid w:val="2D303A74"/>
    <w:multiLevelType w:val="hybridMultilevel"/>
    <w:tmpl w:val="6AF23D1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DAF3B6B"/>
    <w:multiLevelType w:val="hybridMultilevel"/>
    <w:tmpl w:val="5C6E3C66"/>
    <w:lvl w:ilvl="0" w:tplc="81C614AC">
      <w:start w:val="2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E2E69B8"/>
    <w:multiLevelType w:val="hybridMultilevel"/>
    <w:tmpl w:val="F5D446C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E756A54"/>
    <w:multiLevelType w:val="hybridMultilevel"/>
    <w:tmpl w:val="D0943C20"/>
    <w:lvl w:ilvl="0" w:tplc="E41A65CC">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EB753B9"/>
    <w:multiLevelType w:val="hybridMultilevel"/>
    <w:tmpl w:val="5C604D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2EBE6361"/>
    <w:multiLevelType w:val="hybridMultilevel"/>
    <w:tmpl w:val="4CC466C2"/>
    <w:lvl w:ilvl="0" w:tplc="040C0005">
      <w:start w:val="1"/>
      <w:numFmt w:val="bullet"/>
      <w:lvlText w:val=""/>
      <w:lvlJc w:val="left"/>
      <w:pPr>
        <w:ind w:left="1440" w:hanging="360"/>
      </w:pPr>
      <w:rPr>
        <w:rFonts w:ascii="Wingdings" w:hAnsi="Wingdings" w:hint="default"/>
      </w:rPr>
    </w:lvl>
    <w:lvl w:ilvl="1" w:tplc="FFFFFFFF" w:tentative="1">
      <w:start w:val="1"/>
      <w:numFmt w:val="bullet"/>
      <w:lvlText w:val="o"/>
      <w:lvlJc w:val="left"/>
      <w:pPr>
        <w:ind w:left="2160" w:hanging="360"/>
      </w:pPr>
      <w:rPr>
        <w:rFonts w:ascii="Courier New" w:hAnsi="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73" w15:restartNumberingAfterBreak="0">
    <w:nsid w:val="2EDD03A3"/>
    <w:multiLevelType w:val="multilevel"/>
    <w:tmpl w:val="7C624F9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2F7424AD"/>
    <w:multiLevelType w:val="hybridMultilevel"/>
    <w:tmpl w:val="921E2F2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F755C17"/>
    <w:multiLevelType w:val="hybridMultilevel"/>
    <w:tmpl w:val="4EA2FFB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2FD41E23"/>
    <w:multiLevelType w:val="multilevel"/>
    <w:tmpl w:val="DD826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301F5795"/>
    <w:multiLevelType w:val="hybridMultilevel"/>
    <w:tmpl w:val="01F45218"/>
    <w:lvl w:ilvl="0" w:tplc="040C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8" w15:restartNumberingAfterBreak="0">
    <w:nsid w:val="316A6B2A"/>
    <w:multiLevelType w:val="hybridMultilevel"/>
    <w:tmpl w:val="16B6B02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1DC1153"/>
    <w:multiLevelType w:val="hybridMultilevel"/>
    <w:tmpl w:val="A48AD5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31E439F4"/>
    <w:multiLevelType w:val="hybridMultilevel"/>
    <w:tmpl w:val="0B5657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394005A"/>
    <w:multiLevelType w:val="hybridMultilevel"/>
    <w:tmpl w:val="6FE650FC"/>
    <w:lvl w:ilvl="0" w:tplc="81C614AC">
      <w:start w:val="2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5000DFB"/>
    <w:multiLevelType w:val="hybridMultilevel"/>
    <w:tmpl w:val="F9B4FE1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64A7504"/>
    <w:multiLevelType w:val="hybridMultilevel"/>
    <w:tmpl w:val="E9761B5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374051C3"/>
    <w:multiLevelType w:val="hybridMultilevel"/>
    <w:tmpl w:val="FFD89D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7AA3A60"/>
    <w:multiLevelType w:val="hybridMultilevel"/>
    <w:tmpl w:val="1BDC3C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80A1AE2"/>
    <w:multiLevelType w:val="hybridMultilevel"/>
    <w:tmpl w:val="1406872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8346213"/>
    <w:multiLevelType w:val="hybridMultilevel"/>
    <w:tmpl w:val="5BC27B9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9F40CA5"/>
    <w:multiLevelType w:val="hybridMultilevel"/>
    <w:tmpl w:val="ACC4905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D286E39"/>
    <w:multiLevelType w:val="hybridMultilevel"/>
    <w:tmpl w:val="A410672C"/>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3DB87790"/>
    <w:multiLevelType w:val="hybridMultilevel"/>
    <w:tmpl w:val="64B62686"/>
    <w:lvl w:ilvl="0" w:tplc="E41A65CC">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1" w15:restartNumberingAfterBreak="0">
    <w:nsid w:val="3E312C68"/>
    <w:multiLevelType w:val="hybridMultilevel"/>
    <w:tmpl w:val="7DF47B5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E3C5788"/>
    <w:multiLevelType w:val="hybridMultilevel"/>
    <w:tmpl w:val="97B0E1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F740D1E"/>
    <w:multiLevelType w:val="hybridMultilevel"/>
    <w:tmpl w:val="F710CA6A"/>
    <w:lvl w:ilvl="0" w:tplc="040C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408A20C2"/>
    <w:multiLevelType w:val="hybridMultilevel"/>
    <w:tmpl w:val="C94CFA1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284769E"/>
    <w:multiLevelType w:val="hybridMultilevel"/>
    <w:tmpl w:val="3D0C445A"/>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4320776A"/>
    <w:multiLevelType w:val="hybridMultilevel"/>
    <w:tmpl w:val="EF9AA97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5F920BD"/>
    <w:multiLevelType w:val="hybridMultilevel"/>
    <w:tmpl w:val="B3B0FBEC"/>
    <w:lvl w:ilvl="0" w:tplc="0409000D">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8" w15:restartNumberingAfterBreak="0">
    <w:nsid w:val="460B5D8E"/>
    <w:multiLevelType w:val="hybridMultilevel"/>
    <w:tmpl w:val="A798E9F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62C50E7"/>
    <w:multiLevelType w:val="hybridMultilevel"/>
    <w:tmpl w:val="E5C8C9A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464E5DCF"/>
    <w:multiLevelType w:val="hybridMultilevel"/>
    <w:tmpl w:val="19E27B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481221C3"/>
    <w:multiLevelType w:val="hybridMultilevel"/>
    <w:tmpl w:val="BAD03662"/>
    <w:lvl w:ilvl="0" w:tplc="7E1ED96E">
      <w:start w:val="1"/>
      <w:numFmt w:val="bullet"/>
      <w:lvlText w:val="-"/>
      <w:lvlJc w:val="left"/>
      <w:pPr>
        <w:ind w:left="730" w:hanging="360"/>
      </w:pPr>
      <w:rPr>
        <w:rFonts w:ascii="Calibri" w:eastAsia="Calibri" w:hAnsi="Calibri" w:cs="Calibri"/>
        <w:b w:val="0"/>
        <w:i w:val="0"/>
        <w:strike w:val="0"/>
        <w:dstrike w:val="0"/>
        <w:color w:val="000000"/>
        <w:sz w:val="32"/>
        <w:u w:val="none" w:color="000000"/>
        <w:effect w:val="none"/>
        <w:bdr w:val="none" w:sz="0" w:space="0" w:color="auto" w:frame="1"/>
        <w:vertAlign w:val="baseline"/>
      </w:rPr>
    </w:lvl>
    <w:lvl w:ilvl="1" w:tplc="040C0003">
      <w:start w:val="1"/>
      <w:numFmt w:val="bullet"/>
      <w:lvlText w:val="o"/>
      <w:lvlJc w:val="left"/>
      <w:pPr>
        <w:ind w:left="1450" w:hanging="360"/>
      </w:pPr>
      <w:rPr>
        <w:rFonts w:ascii="Courier New" w:hAnsi="Courier New" w:cs="Courier New" w:hint="default"/>
      </w:rPr>
    </w:lvl>
    <w:lvl w:ilvl="2" w:tplc="040C0005">
      <w:start w:val="1"/>
      <w:numFmt w:val="bullet"/>
      <w:lvlText w:val=""/>
      <w:lvlJc w:val="left"/>
      <w:pPr>
        <w:ind w:left="2170" w:hanging="360"/>
      </w:pPr>
      <w:rPr>
        <w:rFonts w:ascii="Wingdings" w:hAnsi="Wingdings" w:hint="default"/>
      </w:rPr>
    </w:lvl>
    <w:lvl w:ilvl="3" w:tplc="040C0001">
      <w:start w:val="1"/>
      <w:numFmt w:val="bullet"/>
      <w:lvlText w:val=""/>
      <w:lvlJc w:val="left"/>
      <w:pPr>
        <w:ind w:left="2890" w:hanging="360"/>
      </w:pPr>
      <w:rPr>
        <w:rFonts w:ascii="Symbol" w:hAnsi="Symbol" w:hint="default"/>
      </w:rPr>
    </w:lvl>
    <w:lvl w:ilvl="4" w:tplc="040C0003">
      <w:start w:val="1"/>
      <w:numFmt w:val="bullet"/>
      <w:lvlText w:val="o"/>
      <w:lvlJc w:val="left"/>
      <w:pPr>
        <w:ind w:left="3610" w:hanging="360"/>
      </w:pPr>
      <w:rPr>
        <w:rFonts w:ascii="Courier New" w:hAnsi="Courier New" w:cs="Courier New" w:hint="default"/>
      </w:rPr>
    </w:lvl>
    <w:lvl w:ilvl="5" w:tplc="040C0005">
      <w:start w:val="1"/>
      <w:numFmt w:val="bullet"/>
      <w:lvlText w:val=""/>
      <w:lvlJc w:val="left"/>
      <w:pPr>
        <w:ind w:left="4330" w:hanging="360"/>
      </w:pPr>
      <w:rPr>
        <w:rFonts w:ascii="Wingdings" w:hAnsi="Wingdings" w:hint="default"/>
      </w:rPr>
    </w:lvl>
    <w:lvl w:ilvl="6" w:tplc="040C0001">
      <w:start w:val="1"/>
      <w:numFmt w:val="bullet"/>
      <w:lvlText w:val=""/>
      <w:lvlJc w:val="left"/>
      <w:pPr>
        <w:ind w:left="5050" w:hanging="360"/>
      </w:pPr>
      <w:rPr>
        <w:rFonts w:ascii="Symbol" w:hAnsi="Symbol" w:hint="default"/>
      </w:rPr>
    </w:lvl>
    <w:lvl w:ilvl="7" w:tplc="040C0003">
      <w:start w:val="1"/>
      <w:numFmt w:val="bullet"/>
      <w:lvlText w:val="o"/>
      <w:lvlJc w:val="left"/>
      <w:pPr>
        <w:ind w:left="5770" w:hanging="360"/>
      </w:pPr>
      <w:rPr>
        <w:rFonts w:ascii="Courier New" w:hAnsi="Courier New" w:cs="Courier New" w:hint="default"/>
      </w:rPr>
    </w:lvl>
    <w:lvl w:ilvl="8" w:tplc="040C0005">
      <w:start w:val="1"/>
      <w:numFmt w:val="bullet"/>
      <w:lvlText w:val=""/>
      <w:lvlJc w:val="left"/>
      <w:pPr>
        <w:ind w:left="6490" w:hanging="360"/>
      </w:pPr>
      <w:rPr>
        <w:rFonts w:ascii="Wingdings" w:hAnsi="Wingdings" w:hint="default"/>
      </w:rPr>
    </w:lvl>
  </w:abstractNum>
  <w:abstractNum w:abstractNumId="102" w15:restartNumberingAfterBreak="0">
    <w:nsid w:val="4958025E"/>
    <w:multiLevelType w:val="hybridMultilevel"/>
    <w:tmpl w:val="AB3485A4"/>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3" w15:restartNumberingAfterBreak="0">
    <w:nsid w:val="499515AC"/>
    <w:multiLevelType w:val="hybridMultilevel"/>
    <w:tmpl w:val="1526D13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4A001C4C"/>
    <w:multiLevelType w:val="multilevel"/>
    <w:tmpl w:val="69681248"/>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5" w15:restartNumberingAfterBreak="0">
    <w:nsid w:val="4A584388"/>
    <w:multiLevelType w:val="hybridMultilevel"/>
    <w:tmpl w:val="6EB6AB28"/>
    <w:lvl w:ilvl="0" w:tplc="E41A65CC">
      <w:start w:val="2"/>
      <w:numFmt w:val="bullet"/>
      <w:lvlText w:val="-"/>
      <w:lvlJc w:val="left"/>
      <w:pPr>
        <w:ind w:left="720" w:hanging="360"/>
      </w:pPr>
      <w:rPr>
        <w:rFonts w:ascii="Times New Roman" w:eastAsiaTheme="minorHAnsi"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6" w15:restartNumberingAfterBreak="0">
    <w:nsid w:val="4AE0304D"/>
    <w:multiLevelType w:val="hybridMultilevel"/>
    <w:tmpl w:val="91387DF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4B1A78BF"/>
    <w:multiLevelType w:val="hybridMultilevel"/>
    <w:tmpl w:val="2EDE662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B3A336C"/>
    <w:multiLevelType w:val="hybridMultilevel"/>
    <w:tmpl w:val="399696AE"/>
    <w:lvl w:ilvl="0" w:tplc="04090009">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09" w15:restartNumberingAfterBreak="0">
    <w:nsid w:val="4D8B07A0"/>
    <w:multiLevelType w:val="hybridMultilevel"/>
    <w:tmpl w:val="4C24805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4D8C2DD4"/>
    <w:multiLevelType w:val="hybridMultilevel"/>
    <w:tmpl w:val="9A961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4E4B69DB"/>
    <w:multiLevelType w:val="hybridMultilevel"/>
    <w:tmpl w:val="76AAE30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4EC17A04"/>
    <w:multiLevelType w:val="hybridMultilevel"/>
    <w:tmpl w:val="76785F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4F813F1D"/>
    <w:multiLevelType w:val="hybridMultilevel"/>
    <w:tmpl w:val="DB70097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5000685F"/>
    <w:multiLevelType w:val="hybridMultilevel"/>
    <w:tmpl w:val="BBCE6E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502846A6"/>
    <w:multiLevelType w:val="hybridMultilevel"/>
    <w:tmpl w:val="46267258"/>
    <w:lvl w:ilvl="0" w:tplc="04090009">
      <w:start w:val="1"/>
      <w:numFmt w:val="bullet"/>
      <w:lvlText w:val=""/>
      <w:lvlJc w:val="left"/>
      <w:pPr>
        <w:ind w:left="720" w:hanging="360"/>
      </w:pPr>
      <w:rPr>
        <w:rFonts w:ascii="Wingdings" w:hAnsi="Wingdings" w:hint="default"/>
      </w:rPr>
    </w:lvl>
    <w:lvl w:ilvl="1" w:tplc="FFFFFFFF">
      <w:start w:val="1"/>
      <w:numFmt w:val="bullet"/>
      <w:lvlRestart w:val="0"/>
      <w:lvlText w:val="o"/>
      <w:lvlJc w:val="left"/>
      <w:pPr>
        <w:ind w:left="1440" w:hanging="360"/>
      </w:pPr>
      <w:rPr>
        <w:rFonts w:ascii="Courier New" w:hAnsi="Courier New" w:cs="Courier New" w:hint="default"/>
      </w:rPr>
    </w:lvl>
    <w:lvl w:ilvl="2" w:tplc="FFFFFFFF">
      <w:start w:val="1"/>
      <w:numFmt w:val="bullet"/>
      <w:lvlRestart w:val="0"/>
      <w:lvlText w:val=""/>
      <w:lvlJc w:val="left"/>
      <w:pPr>
        <w:ind w:left="2160" w:hanging="360"/>
      </w:pPr>
      <w:rPr>
        <w:rFonts w:ascii="Wingdings" w:hAnsi="Wingdings" w:hint="default"/>
      </w:rPr>
    </w:lvl>
    <w:lvl w:ilvl="3" w:tplc="FFFFFFFF">
      <w:start w:val="1"/>
      <w:numFmt w:val="bullet"/>
      <w:lvlRestart w:val="0"/>
      <w:lvlText w:val=""/>
      <w:lvlJc w:val="left"/>
      <w:pPr>
        <w:ind w:left="2880" w:hanging="360"/>
      </w:pPr>
      <w:rPr>
        <w:rFonts w:ascii="Symbol" w:hAnsi="Symbol" w:hint="default"/>
      </w:rPr>
    </w:lvl>
    <w:lvl w:ilvl="4" w:tplc="FFFFFFFF">
      <w:start w:val="1"/>
      <w:numFmt w:val="bullet"/>
      <w:lvlRestart w:val="0"/>
      <w:lvlText w:val="o"/>
      <w:lvlJc w:val="left"/>
      <w:pPr>
        <w:ind w:left="3600" w:hanging="360"/>
      </w:pPr>
      <w:rPr>
        <w:rFonts w:ascii="Courier New" w:hAnsi="Courier New" w:cs="Courier New" w:hint="default"/>
      </w:rPr>
    </w:lvl>
    <w:lvl w:ilvl="5" w:tplc="FFFFFFFF">
      <w:start w:val="1"/>
      <w:numFmt w:val="bullet"/>
      <w:lvlRestart w:val="0"/>
      <w:lvlText w:val=""/>
      <w:lvlJc w:val="left"/>
      <w:pPr>
        <w:ind w:left="4320" w:hanging="360"/>
      </w:pPr>
      <w:rPr>
        <w:rFonts w:ascii="Wingdings" w:hAnsi="Wingdings" w:hint="default"/>
      </w:rPr>
    </w:lvl>
    <w:lvl w:ilvl="6" w:tplc="FFFFFFFF">
      <w:start w:val="1"/>
      <w:numFmt w:val="bullet"/>
      <w:lvlRestart w:val="0"/>
      <w:lvlText w:val=""/>
      <w:lvlJc w:val="left"/>
      <w:pPr>
        <w:ind w:left="5040" w:hanging="360"/>
      </w:pPr>
      <w:rPr>
        <w:rFonts w:ascii="Symbol" w:hAnsi="Symbol" w:hint="default"/>
      </w:rPr>
    </w:lvl>
    <w:lvl w:ilvl="7" w:tplc="FFFFFFFF">
      <w:start w:val="1"/>
      <w:numFmt w:val="bullet"/>
      <w:lvlRestart w:val="0"/>
      <w:lvlText w:val="o"/>
      <w:lvlJc w:val="left"/>
      <w:pPr>
        <w:ind w:left="5760" w:hanging="360"/>
      </w:pPr>
      <w:rPr>
        <w:rFonts w:ascii="Courier New" w:hAnsi="Courier New" w:cs="Courier New" w:hint="default"/>
      </w:rPr>
    </w:lvl>
    <w:lvl w:ilvl="8" w:tplc="FFFFFFFF">
      <w:start w:val="1"/>
      <w:numFmt w:val="bullet"/>
      <w:lvlRestart w:val="0"/>
      <w:lvlText w:val=""/>
      <w:lvlJc w:val="left"/>
      <w:pPr>
        <w:ind w:left="6480" w:hanging="360"/>
      </w:pPr>
      <w:rPr>
        <w:rFonts w:ascii="Wingdings" w:hAnsi="Wingdings" w:hint="default"/>
      </w:rPr>
    </w:lvl>
  </w:abstractNum>
  <w:abstractNum w:abstractNumId="116" w15:restartNumberingAfterBreak="0">
    <w:nsid w:val="50EF1DAF"/>
    <w:multiLevelType w:val="multilevel"/>
    <w:tmpl w:val="A4ACC1F2"/>
    <w:lvl w:ilvl="0">
      <w:start w:val="1"/>
      <w:numFmt w:val="decimal"/>
      <w:pStyle w:val="head2"/>
      <w:lvlText w:val="%1."/>
      <w:lvlJc w:val="left"/>
      <w:pPr>
        <w:ind w:left="720" w:hanging="72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b/>
        <w:bCs/>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7" w15:restartNumberingAfterBreak="0">
    <w:nsid w:val="51BB4383"/>
    <w:multiLevelType w:val="hybridMultilevel"/>
    <w:tmpl w:val="8BBC3D64"/>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8" w15:restartNumberingAfterBreak="0">
    <w:nsid w:val="52664B06"/>
    <w:multiLevelType w:val="hybridMultilevel"/>
    <w:tmpl w:val="EAF8D8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5281540C"/>
    <w:multiLevelType w:val="hybridMultilevel"/>
    <w:tmpl w:val="50A679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0" w15:restartNumberingAfterBreak="0">
    <w:nsid w:val="52BB1776"/>
    <w:multiLevelType w:val="hybridMultilevel"/>
    <w:tmpl w:val="985CA3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52BE0FC8"/>
    <w:multiLevelType w:val="hybridMultilevel"/>
    <w:tmpl w:val="4128FA8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3576C29"/>
    <w:multiLevelType w:val="hybridMultilevel"/>
    <w:tmpl w:val="51F6D3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53B20ABA"/>
    <w:multiLevelType w:val="hybridMultilevel"/>
    <w:tmpl w:val="1C9A939E"/>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 w15:restartNumberingAfterBreak="0">
    <w:nsid w:val="53EA7077"/>
    <w:multiLevelType w:val="hybridMultilevel"/>
    <w:tmpl w:val="C6B22186"/>
    <w:lvl w:ilvl="0" w:tplc="81C614AC">
      <w:start w:val="2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54242FC4"/>
    <w:multiLevelType w:val="hybridMultilevel"/>
    <w:tmpl w:val="518606E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4366BD3"/>
    <w:multiLevelType w:val="hybridMultilevel"/>
    <w:tmpl w:val="EDDA6482"/>
    <w:lvl w:ilvl="0" w:tplc="040C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7" w15:restartNumberingAfterBreak="0">
    <w:nsid w:val="54384298"/>
    <w:multiLevelType w:val="hybridMultilevel"/>
    <w:tmpl w:val="1E0E61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5490681F"/>
    <w:multiLevelType w:val="hybridMultilevel"/>
    <w:tmpl w:val="86CCBD0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55333E6A"/>
    <w:multiLevelType w:val="multilevel"/>
    <w:tmpl w:val="5394EA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0" w15:restartNumberingAfterBreak="0">
    <w:nsid w:val="560C44BA"/>
    <w:multiLevelType w:val="hybridMultilevel"/>
    <w:tmpl w:val="9386EA30"/>
    <w:lvl w:ilvl="0" w:tplc="040C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1" w15:restartNumberingAfterBreak="0">
    <w:nsid w:val="561819E9"/>
    <w:multiLevelType w:val="multilevel"/>
    <w:tmpl w:val="852A01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577B5591"/>
    <w:multiLevelType w:val="hybridMultilevel"/>
    <w:tmpl w:val="E9FCF666"/>
    <w:lvl w:ilvl="0" w:tplc="81C614AC">
      <w:start w:val="2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58724567"/>
    <w:multiLevelType w:val="hybridMultilevel"/>
    <w:tmpl w:val="BB4CEA68"/>
    <w:lvl w:ilvl="0" w:tplc="040C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4" w15:restartNumberingAfterBreak="0">
    <w:nsid w:val="59096520"/>
    <w:multiLevelType w:val="hybridMultilevel"/>
    <w:tmpl w:val="A49441F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5A2457B5"/>
    <w:multiLevelType w:val="hybridMultilevel"/>
    <w:tmpl w:val="EC609E4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B632AB9"/>
    <w:multiLevelType w:val="hybridMultilevel"/>
    <w:tmpl w:val="440E2514"/>
    <w:lvl w:ilvl="0" w:tplc="04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7" w15:restartNumberingAfterBreak="0">
    <w:nsid w:val="5C7A067A"/>
    <w:multiLevelType w:val="hybridMultilevel"/>
    <w:tmpl w:val="3BA8F39C"/>
    <w:lvl w:ilvl="0" w:tplc="81C614AC">
      <w:start w:val="2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E0D6424"/>
    <w:multiLevelType w:val="hybridMultilevel"/>
    <w:tmpl w:val="2934F2D2"/>
    <w:lvl w:ilvl="0" w:tplc="040C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9" w15:restartNumberingAfterBreak="0">
    <w:nsid w:val="5E257196"/>
    <w:multiLevelType w:val="hybridMultilevel"/>
    <w:tmpl w:val="9AFE8EF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5E7C0A5B"/>
    <w:multiLevelType w:val="hybridMultilevel"/>
    <w:tmpl w:val="53147B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F9D5ACE"/>
    <w:multiLevelType w:val="hybridMultilevel"/>
    <w:tmpl w:val="A1D2864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FB568D8"/>
    <w:multiLevelType w:val="hybridMultilevel"/>
    <w:tmpl w:val="E92A8A0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23561EB"/>
    <w:multiLevelType w:val="hybridMultilevel"/>
    <w:tmpl w:val="678CE3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62AA5B27"/>
    <w:multiLevelType w:val="hybridMultilevel"/>
    <w:tmpl w:val="5772163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2B80159"/>
    <w:multiLevelType w:val="hybridMultilevel"/>
    <w:tmpl w:val="1A88520E"/>
    <w:lvl w:ilvl="0" w:tplc="040C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6" w15:restartNumberingAfterBreak="0">
    <w:nsid w:val="634B0F25"/>
    <w:multiLevelType w:val="hybridMultilevel"/>
    <w:tmpl w:val="740ED380"/>
    <w:lvl w:ilvl="0" w:tplc="81C614AC">
      <w:start w:val="2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34C20E0"/>
    <w:multiLevelType w:val="hybridMultilevel"/>
    <w:tmpl w:val="B69AA2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5274736"/>
    <w:multiLevelType w:val="hybridMultilevel"/>
    <w:tmpl w:val="37A41E1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5732BFE"/>
    <w:multiLevelType w:val="hybridMultilevel"/>
    <w:tmpl w:val="EC6A3E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666F6C72"/>
    <w:multiLevelType w:val="hybridMultilevel"/>
    <w:tmpl w:val="6338B5E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89B5FF9"/>
    <w:multiLevelType w:val="hybridMultilevel"/>
    <w:tmpl w:val="278695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8B06E3D"/>
    <w:multiLevelType w:val="hybridMultilevel"/>
    <w:tmpl w:val="F5463C4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6AC718DC"/>
    <w:multiLevelType w:val="hybridMultilevel"/>
    <w:tmpl w:val="D220A27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6AE92D00"/>
    <w:multiLevelType w:val="hybridMultilevel"/>
    <w:tmpl w:val="84C041AC"/>
    <w:lvl w:ilvl="0" w:tplc="04090009">
      <w:start w:val="1"/>
      <w:numFmt w:val="bullet"/>
      <w:lvlText w:val=""/>
      <w:lvlJc w:val="left"/>
      <w:pPr>
        <w:ind w:left="783" w:hanging="360"/>
      </w:pPr>
      <w:rPr>
        <w:rFonts w:ascii="Wingdings" w:hAnsi="Wingdings" w:hint="default"/>
      </w:rPr>
    </w:lvl>
    <w:lvl w:ilvl="1" w:tplc="04090003" w:tentative="1">
      <w:start w:val="1"/>
      <w:numFmt w:val="bullet"/>
      <w:lvlText w:val="o"/>
      <w:lvlJc w:val="left"/>
      <w:pPr>
        <w:ind w:left="1503" w:hanging="360"/>
      </w:pPr>
      <w:rPr>
        <w:rFonts w:ascii="Courier New" w:hAnsi="Courier New" w:cs="Courier New" w:hint="default"/>
      </w:rPr>
    </w:lvl>
    <w:lvl w:ilvl="2" w:tplc="04090005" w:tentative="1">
      <w:start w:val="1"/>
      <w:numFmt w:val="bullet"/>
      <w:lvlText w:val=""/>
      <w:lvlJc w:val="left"/>
      <w:pPr>
        <w:ind w:left="2223" w:hanging="360"/>
      </w:pPr>
      <w:rPr>
        <w:rFonts w:ascii="Wingdings" w:hAnsi="Wingdings" w:hint="default"/>
      </w:rPr>
    </w:lvl>
    <w:lvl w:ilvl="3" w:tplc="04090001" w:tentative="1">
      <w:start w:val="1"/>
      <w:numFmt w:val="bullet"/>
      <w:lvlText w:val=""/>
      <w:lvlJc w:val="left"/>
      <w:pPr>
        <w:ind w:left="2943" w:hanging="360"/>
      </w:pPr>
      <w:rPr>
        <w:rFonts w:ascii="Symbol" w:hAnsi="Symbol" w:hint="default"/>
      </w:rPr>
    </w:lvl>
    <w:lvl w:ilvl="4" w:tplc="04090003" w:tentative="1">
      <w:start w:val="1"/>
      <w:numFmt w:val="bullet"/>
      <w:lvlText w:val="o"/>
      <w:lvlJc w:val="left"/>
      <w:pPr>
        <w:ind w:left="3663" w:hanging="360"/>
      </w:pPr>
      <w:rPr>
        <w:rFonts w:ascii="Courier New" w:hAnsi="Courier New" w:cs="Courier New" w:hint="default"/>
      </w:rPr>
    </w:lvl>
    <w:lvl w:ilvl="5" w:tplc="04090005" w:tentative="1">
      <w:start w:val="1"/>
      <w:numFmt w:val="bullet"/>
      <w:lvlText w:val=""/>
      <w:lvlJc w:val="left"/>
      <w:pPr>
        <w:ind w:left="4383" w:hanging="360"/>
      </w:pPr>
      <w:rPr>
        <w:rFonts w:ascii="Wingdings" w:hAnsi="Wingdings" w:hint="default"/>
      </w:rPr>
    </w:lvl>
    <w:lvl w:ilvl="6" w:tplc="04090001" w:tentative="1">
      <w:start w:val="1"/>
      <w:numFmt w:val="bullet"/>
      <w:lvlText w:val=""/>
      <w:lvlJc w:val="left"/>
      <w:pPr>
        <w:ind w:left="5103" w:hanging="360"/>
      </w:pPr>
      <w:rPr>
        <w:rFonts w:ascii="Symbol" w:hAnsi="Symbol" w:hint="default"/>
      </w:rPr>
    </w:lvl>
    <w:lvl w:ilvl="7" w:tplc="04090003" w:tentative="1">
      <w:start w:val="1"/>
      <w:numFmt w:val="bullet"/>
      <w:lvlText w:val="o"/>
      <w:lvlJc w:val="left"/>
      <w:pPr>
        <w:ind w:left="5823" w:hanging="360"/>
      </w:pPr>
      <w:rPr>
        <w:rFonts w:ascii="Courier New" w:hAnsi="Courier New" w:cs="Courier New" w:hint="default"/>
      </w:rPr>
    </w:lvl>
    <w:lvl w:ilvl="8" w:tplc="04090005" w:tentative="1">
      <w:start w:val="1"/>
      <w:numFmt w:val="bullet"/>
      <w:lvlText w:val=""/>
      <w:lvlJc w:val="left"/>
      <w:pPr>
        <w:ind w:left="6543" w:hanging="360"/>
      </w:pPr>
      <w:rPr>
        <w:rFonts w:ascii="Wingdings" w:hAnsi="Wingdings" w:hint="default"/>
      </w:rPr>
    </w:lvl>
  </w:abstractNum>
  <w:abstractNum w:abstractNumId="155" w15:restartNumberingAfterBreak="0">
    <w:nsid w:val="6B710FBF"/>
    <w:multiLevelType w:val="hybridMultilevel"/>
    <w:tmpl w:val="8E6A09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CBC4843"/>
    <w:multiLevelType w:val="hybridMultilevel"/>
    <w:tmpl w:val="FCDE8EA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6EB430D9"/>
    <w:multiLevelType w:val="hybridMultilevel"/>
    <w:tmpl w:val="A1805186"/>
    <w:lvl w:ilvl="0" w:tplc="0409000D">
      <w:start w:val="1"/>
      <w:numFmt w:val="bullet"/>
      <w:lvlText w:val=""/>
      <w:lvlJc w:val="left"/>
      <w:pPr>
        <w:ind w:left="1080" w:hanging="360"/>
      </w:pPr>
      <w:rPr>
        <w:rFonts w:ascii="Wingdings" w:hAnsi="Wingdings" w:hint="default"/>
      </w:rPr>
    </w:lvl>
    <w:lvl w:ilvl="1" w:tplc="FFFFFFFF">
      <w:start w:val="1"/>
      <w:numFmt w:val="bullet"/>
      <w:lvlRestart w:val="0"/>
      <w:lvlText w:val="o"/>
      <w:lvlJc w:val="left"/>
      <w:pPr>
        <w:ind w:left="1800" w:hanging="360"/>
      </w:pPr>
      <w:rPr>
        <w:rFonts w:ascii="Courier New" w:hAnsi="Courier New" w:cs="Courier New" w:hint="default"/>
      </w:rPr>
    </w:lvl>
    <w:lvl w:ilvl="2" w:tplc="FFFFFFFF">
      <w:start w:val="1"/>
      <w:numFmt w:val="bullet"/>
      <w:lvlRestart w:val="0"/>
      <w:lvlText w:val=""/>
      <w:lvlJc w:val="left"/>
      <w:pPr>
        <w:ind w:left="2520" w:hanging="360"/>
      </w:pPr>
      <w:rPr>
        <w:rFonts w:ascii="Wingdings" w:hAnsi="Wingdings" w:hint="default"/>
      </w:rPr>
    </w:lvl>
    <w:lvl w:ilvl="3" w:tplc="FFFFFFFF">
      <w:start w:val="1"/>
      <w:numFmt w:val="bullet"/>
      <w:lvlRestart w:val="0"/>
      <w:lvlText w:val=""/>
      <w:lvlJc w:val="left"/>
      <w:pPr>
        <w:ind w:left="3240" w:hanging="360"/>
      </w:pPr>
      <w:rPr>
        <w:rFonts w:ascii="Symbol" w:hAnsi="Symbol" w:hint="default"/>
      </w:rPr>
    </w:lvl>
    <w:lvl w:ilvl="4" w:tplc="FFFFFFFF">
      <w:start w:val="1"/>
      <w:numFmt w:val="bullet"/>
      <w:lvlRestart w:val="0"/>
      <w:lvlText w:val="o"/>
      <w:lvlJc w:val="left"/>
      <w:pPr>
        <w:ind w:left="3960" w:hanging="360"/>
      </w:pPr>
      <w:rPr>
        <w:rFonts w:ascii="Courier New" w:hAnsi="Courier New" w:cs="Courier New" w:hint="default"/>
      </w:rPr>
    </w:lvl>
    <w:lvl w:ilvl="5" w:tplc="FFFFFFFF">
      <w:start w:val="1"/>
      <w:numFmt w:val="bullet"/>
      <w:lvlRestart w:val="0"/>
      <w:lvlText w:val=""/>
      <w:lvlJc w:val="left"/>
      <w:pPr>
        <w:ind w:left="4680" w:hanging="360"/>
      </w:pPr>
      <w:rPr>
        <w:rFonts w:ascii="Wingdings" w:hAnsi="Wingdings" w:hint="default"/>
      </w:rPr>
    </w:lvl>
    <w:lvl w:ilvl="6" w:tplc="FFFFFFFF">
      <w:start w:val="1"/>
      <w:numFmt w:val="bullet"/>
      <w:lvlRestart w:val="0"/>
      <w:lvlText w:val=""/>
      <w:lvlJc w:val="left"/>
      <w:pPr>
        <w:ind w:left="5400" w:hanging="360"/>
      </w:pPr>
      <w:rPr>
        <w:rFonts w:ascii="Symbol" w:hAnsi="Symbol" w:hint="default"/>
      </w:rPr>
    </w:lvl>
    <w:lvl w:ilvl="7" w:tplc="FFFFFFFF">
      <w:start w:val="1"/>
      <w:numFmt w:val="bullet"/>
      <w:lvlRestart w:val="0"/>
      <w:lvlText w:val="o"/>
      <w:lvlJc w:val="left"/>
      <w:pPr>
        <w:ind w:left="6120" w:hanging="360"/>
      </w:pPr>
      <w:rPr>
        <w:rFonts w:ascii="Courier New" w:hAnsi="Courier New" w:cs="Courier New" w:hint="default"/>
      </w:rPr>
    </w:lvl>
    <w:lvl w:ilvl="8" w:tplc="FFFFFFFF">
      <w:start w:val="1"/>
      <w:numFmt w:val="bullet"/>
      <w:lvlRestart w:val="0"/>
      <w:lvlText w:val=""/>
      <w:lvlJc w:val="left"/>
      <w:pPr>
        <w:ind w:left="6840" w:hanging="360"/>
      </w:pPr>
      <w:rPr>
        <w:rFonts w:ascii="Wingdings" w:hAnsi="Wingdings" w:hint="default"/>
      </w:rPr>
    </w:lvl>
  </w:abstractNum>
  <w:abstractNum w:abstractNumId="158" w15:restartNumberingAfterBreak="0">
    <w:nsid w:val="6F025C1D"/>
    <w:multiLevelType w:val="hybridMultilevel"/>
    <w:tmpl w:val="F19800D4"/>
    <w:lvl w:ilvl="0" w:tplc="040C0005">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9" w15:restartNumberingAfterBreak="0">
    <w:nsid w:val="73C224FE"/>
    <w:multiLevelType w:val="hybridMultilevel"/>
    <w:tmpl w:val="DED8C2C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15:restartNumberingAfterBreak="0">
    <w:nsid w:val="74192ABB"/>
    <w:multiLevelType w:val="hybridMultilevel"/>
    <w:tmpl w:val="B94E75C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76CE117E"/>
    <w:multiLevelType w:val="multilevel"/>
    <w:tmpl w:val="657A9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2" w15:restartNumberingAfterBreak="0">
    <w:nsid w:val="773170F8"/>
    <w:multiLevelType w:val="hybridMultilevel"/>
    <w:tmpl w:val="C9A2C3D0"/>
    <w:lvl w:ilvl="0" w:tplc="04090009">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3" w15:restartNumberingAfterBreak="0">
    <w:nsid w:val="779D1698"/>
    <w:multiLevelType w:val="hybridMultilevel"/>
    <w:tmpl w:val="04464CD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7869350D"/>
    <w:multiLevelType w:val="hybridMultilevel"/>
    <w:tmpl w:val="7EFAA96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91A3669"/>
    <w:multiLevelType w:val="hybridMultilevel"/>
    <w:tmpl w:val="37368F4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9EE7D02"/>
    <w:multiLevelType w:val="hybridMultilevel"/>
    <w:tmpl w:val="2780D282"/>
    <w:lvl w:ilvl="0" w:tplc="E41A65CC">
      <w:start w:val="2"/>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15:restartNumberingAfterBreak="0">
    <w:nsid w:val="7A817FE5"/>
    <w:multiLevelType w:val="hybridMultilevel"/>
    <w:tmpl w:val="9C0295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7AA31347"/>
    <w:multiLevelType w:val="hybridMultilevel"/>
    <w:tmpl w:val="A30CAC3E"/>
    <w:lvl w:ilvl="0" w:tplc="81C614AC">
      <w:start w:val="2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7B611275"/>
    <w:multiLevelType w:val="hybridMultilevel"/>
    <w:tmpl w:val="7A3233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15:restartNumberingAfterBreak="0">
    <w:nsid w:val="7C20381F"/>
    <w:multiLevelType w:val="hybridMultilevel"/>
    <w:tmpl w:val="A1C44B2A"/>
    <w:lvl w:ilvl="0" w:tplc="0409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1" w15:restartNumberingAfterBreak="0">
    <w:nsid w:val="7C214859"/>
    <w:multiLevelType w:val="multilevel"/>
    <w:tmpl w:val="A2F2CBB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2" w15:restartNumberingAfterBreak="0">
    <w:nsid w:val="7C883AFE"/>
    <w:multiLevelType w:val="hybridMultilevel"/>
    <w:tmpl w:val="96CA52FE"/>
    <w:lvl w:ilvl="0" w:tplc="04090009">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73" w15:restartNumberingAfterBreak="0">
    <w:nsid w:val="7D0A4515"/>
    <w:multiLevelType w:val="hybridMultilevel"/>
    <w:tmpl w:val="DA4056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D4F16FD"/>
    <w:multiLevelType w:val="hybridMultilevel"/>
    <w:tmpl w:val="1A4E6840"/>
    <w:lvl w:ilvl="0" w:tplc="E41A65CC">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DA320FC"/>
    <w:multiLevelType w:val="hybridMultilevel"/>
    <w:tmpl w:val="4EEE67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E350520"/>
    <w:multiLevelType w:val="hybridMultilevel"/>
    <w:tmpl w:val="749ABE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7F1B7A22"/>
    <w:multiLevelType w:val="hybridMultilevel"/>
    <w:tmpl w:val="569AD9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FBE6E9E"/>
    <w:multiLevelType w:val="hybridMultilevel"/>
    <w:tmpl w:val="E0B29E1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39950048">
    <w:abstractNumId w:val="116"/>
  </w:num>
  <w:num w:numId="2" w16cid:durableId="794062796">
    <w:abstractNumId w:val="79"/>
  </w:num>
  <w:num w:numId="3" w16cid:durableId="51731722">
    <w:abstractNumId w:val="52"/>
  </w:num>
  <w:num w:numId="4" w16cid:durableId="130101455">
    <w:abstractNumId w:val="44"/>
  </w:num>
  <w:num w:numId="5" w16cid:durableId="1593314734">
    <w:abstractNumId w:val="11"/>
  </w:num>
  <w:num w:numId="6" w16cid:durableId="2007782683">
    <w:abstractNumId w:val="129"/>
  </w:num>
  <w:num w:numId="7" w16cid:durableId="1040056806">
    <w:abstractNumId w:val="171"/>
  </w:num>
  <w:num w:numId="8" w16cid:durableId="187840320">
    <w:abstractNumId w:val="24"/>
  </w:num>
  <w:num w:numId="9" w16cid:durableId="619341506">
    <w:abstractNumId w:val="20"/>
  </w:num>
  <w:num w:numId="10" w16cid:durableId="683632155">
    <w:abstractNumId w:val="16"/>
  </w:num>
  <w:num w:numId="11" w16cid:durableId="1690791213">
    <w:abstractNumId w:val="32"/>
  </w:num>
  <w:num w:numId="12" w16cid:durableId="211428581">
    <w:abstractNumId w:val="42"/>
  </w:num>
  <w:num w:numId="13" w16cid:durableId="1861047886">
    <w:abstractNumId w:val="76"/>
  </w:num>
  <w:num w:numId="14" w16cid:durableId="574438646">
    <w:abstractNumId w:val="146"/>
  </w:num>
  <w:num w:numId="15" w16cid:durableId="1086340126">
    <w:abstractNumId w:val="43"/>
  </w:num>
  <w:num w:numId="16" w16cid:durableId="1101291911">
    <w:abstractNumId w:val="124"/>
  </w:num>
  <w:num w:numId="17" w16cid:durableId="657463268">
    <w:abstractNumId w:val="81"/>
  </w:num>
  <w:num w:numId="18" w16cid:durableId="1608197472">
    <w:abstractNumId w:val="168"/>
  </w:num>
  <w:num w:numId="19" w16cid:durableId="1979214870">
    <w:abstractNumId w:val="137"/>
  </w:num>
  <w:num w:numId="20" w16cid:durableId="1561095077">
    <w:abstractNumId w:val="132"/>
  </w:num>
  <w:num w:numId="21" w16cid:durableId="855851733">
    <w:abstractNumId w:val="68"/>
  </w:num>
  <w:num w:numId="22" w16cid:durableId="772211655">
    <w:abstractNumId w:val="18"/>
  </w:num>
  <w:num w:numId="23" w16cid:durableId="166556102">
    <w:abstractNumId w:val="25"/>
  </w:num>
  <w:num w:numId="24" w16cid:durableId="93718268">
    <w:abstractNumId w:val="45"/>
  </w:num>
  <w:num w:numId="25" w16cid:durableId="1753046629">
    <w:abstractNumId w:val="92"/>
  </w:num>
  <w:num w:numId="26" w16cid:durableId="2042705568">
    <w:abstractNumId w:val="110"/>
  </w:num>
  <w:num w:numId="27" w16cid:durableId="1891457365">
    <w:abstractNumId w:val="119"/>
  </w:num>
  <w:num w:numId="28" w16cid:durableId="540941575">
    <w:abstractNumId w:val="125"/>
  </w:num>
  <w:num w:numId="29" w16cid:durableId="299727201">
    <w:abstractNumId w:val="161"/>
  </w:num>
  <w:num w:numId="30" w16cid:durableId="1285698629">
    <w:abstractNumId w:val="8"/>
  </w:num>
  <w:num w:numId="31" w16cid:durableId="758989077">
    <w:abstractNumId w:val="164"/>
  </w:num>
  <w:num w:numId="32" w16cid:durableId="599681583">
    <w:abstractNumId w:val="155"/>
  </w:num>
  <w:num w:numId="33" w16cid:durableId="71709551">
    <w:abstractNumId w:val="156"/>
  </w:num>
  <w:num w:numId="34" w16cid:durableId="222176031">
    <w:abstractNumId w:val="48"/>
  </w:num>
  <w:num w:numId="35" w16cid:durableId="811410807">
    <w:abstractNumId w:val="27"/>
  </w:num>
  <w:num w:numId="36" w16cid:durableId="1930388171">
    <w:abstractNumId w:val="141"/>
  </w:num>
  <w:num w:numId="37" w16cid:durableId="1127704817">
    <w:abstractNumId w:val="85"/>
  </w:num>
  <w:num w:numId="38" w16cid:durableId="480929896">
    <w:abstractNumId w:val="66"/>
  </w:num>
  <w:num w:numId="39" w16cid:durableId="1585527267">
    <w:abstractNumId w:val="59"/>
  </w:num>
  <w:num w:numId="40" w16cid:durableId="1732732736">
    <w:abstractNumId w:val="73"/>
  </w:num>
  <w:num w:numId="41" w16cid:durableId="1131243747">
    <w:abstractNumId w:val="131"/>
  </w:num>
  <w:num w:numId="42" w16cid:durableId="1495028629">
    <w:abstractNumId w:val="172"/>
  </w:num>
  <w:num w:numId="43" w16cid:durableId="1608585306">
    <w:abstractNumId w:val="29"/>
  </w:num>
  <w:num w:numId="44" w16cid:durableId="1322852841">
    <w:abstractNumId w:val="46"/>
  </w:num>
  <w:num w:numId="45" w16cid:durableId="128281047">
    <w:abstractNumId w:val="63"/>
  </w:num>
  <w:num w:numId="46" w16cid:durableId="888146665">
    <w:abstractNumId w:val="104"/>
  </w:num>
  <w:num w:numId="47" w16cid:durableId="1216620408">
    <w:abstractNumId w:val="140"/>
  </w:num>
  <w:num w:numId="48" w16cid:durableId="137579138">
    <w:abstractNumId w:val="50"/>
  </w:num>
  <w:num w:numId="49" w16cid:durableId="873810500">
    <w:abstractNumId w:val="162"/>
  </w:num>
  <w:num w:numId="50" w16cid:durableId="1817869330">
    <w:abstractNumId w:val="108"/>
  </w:num>
  <w:num w:numId="51" w16cid:durableId="268120890">
    <w:abstractNumId w:val="1"/>
  </w:num>
  <w:num w:numId="52" w16cid:durableId="383412479">
    <w:abstractNumId w:val="4"/>
  </w:num>
  <w:num w:numId="53" w16cid:durableId="297079612">
    <w:abstractNumId w:val="2"/>
  </w:num>
  <w:num w:numId="54" w16cid:durableId="924992878">
    <w:abstractNumId w:val="0"/>
  </w:num>
  <w:num w:numId="55" w16cid:durableId="458112466">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649703201">
    <w:abstractNumId w:val="7"/>
  </w:num>
  <w:num w:numId="57" w16cid:durableId="1797749849">
    <w:abstractNumId w:val="3"/>
  </w:num>
  <w:num w:numId="58" w16cid:durableId="2134319745">
    <w:abstractNumId w:val="6"/>
  </w:num>
  <w:num w:numId="59" w16cid:durableId="516772463">
    <w:abstractNumId w:val="57"/>
  </w:num>
  <w:num w:numId="60" w16cid:durableId="753475403">
    <w:abstractNumId w:val="60"/>
  </w:num>
  <w:num w:numId="61" w16cid:durableId="435709036">
    <w:abstractNumId w:val="120"/>
  </w:num>
  <w:num w:numId="62" w16cid:durableId="890732214">
    <w:abstractNumId w:val="157"/>
  </w:num>
  <w:num w:numId="63" w16cid:durableId="2102984940">
    <w:abstractNumId w:val="167"/>
  </w:num>
  <w:num w:numId="64" w16cid:durableId="1490900848">
    <w:abstractNumId w:val="95"/>
  </w:num>
  <w:num w:numId="65" w16cid:durableId="1606645730">
    <w:abstractNumId w:val="139"/>
  </w:num>
  <w:num w:numId="66" w16cid:durableId="604583012">
    <w:abstractNumId w:val="101"/>
  </w:num>
  <w:num w:numId="67" w16cid:durableId="193292959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21514055">
    <w:abstractNumId w:val="65"/>
  </w:num>
  <w:num w:numId="69" w16cid:durableId="916326770">
    <w:abstractNumId w:val="173"/>
  </w:num>
  <w:num w:numId="70" w16cid:durableId="2089695175">
    <w:abstractNumId w:val="175"/>
  </w:num>
  <w:num w:numId="71" w16cid:durableId="1108432561">
    <w:abstractNumId w:val="39"/>
  </w:num>
  <w:num w:numId="72" w16cid:durableId="421292564">
    <w:abstractNumId w:val="135"/>
  </w:num>
  <w:num w:numId="73" w16cid:durableId="861013257">
    <w:abstractNumId w:val="127"/>
  </w:num>
  <w:num w:numId="74" w16cid:durableId="1038161709">
    <w:abstractNumId w:val="91"/>
  </w:num>
  <w:num w:numId="75" w16cid:durableId="755983150">
    <w:abstractNumId w:val="78"/>
  </w:num>
  <w:num w:numId="76" w16cid:durableId="1326856676">
    <w:abstractNumId w:val="56"/>
  </w:num>
  <w:num w:numId="77" w16cid:durableId="313491022">
    <w:abstractNumId w:val="114"/>
  </w:num>
  <w:num w:numId="78" w16cid:durableId="1250501402">
    <w:abstractNumId w:val="31"/>
  </w:num>
  <w:num w:numId="79" w16cid:durableId="1371370849">
    <w:abstractNumId w:val="112"/>
  </w:num>
  <w:num w:numId="80" w16cid:durableId="593318257">
    <w:abstractNumId w:val="49"/>
  </w:num>
  <w:num w:numId="81" w16cid:durableId="1278826719">
    <w:abstractNumId w:val="84"/>
  </w:num>
  <w:num w:numId="82" w16cid:durableId="156768775">
    <w:abstractNumId w:val="89"/>
  </w:num>
  <w:num w:numId="83" w16cid:durableId="1939211690">
    <w:abstractNumId w:val="165"/>
  </w:num>
  <w:num w:numId="84" w16cid:durableId="2033021862">
    <w:abstractNumId w:val="149"/>
  </w:num>
  <w:num w:numId="85" w16cid:durableId="1720086076">
    <w:abstractNumId w:val="122"/>
  </w:num>
  <w:num w:numId="86" w16cid:durableId="1852986398">
    <w:abstractNumId w:val="88"/>
  </w:num>
  <w:num w:numId="87" w16cid:durableId="1350136183">
    <w:abstractNumId w:val="54"/>
  </w:num>
  <w:num w:numId="88" w16cid:durableId="1097096013">
    <w:abstractNumId w:val="160"/>
  </w:num>
  <w:num w:numId="89" w16cid:durableId="481973124">
    <w:abstractNumId w:val="115"/>
  </w:num>
  <w:num w:numId="90" w16cid:durableId="496725400">
    <w:abstractNumId w:val="94"/>
  </w:num>
  <w:num w:numId="91" w16cid:durableId="1251815424">
    <w:abstractNumId w:val="87"/>
  </w:num>
  <w:num w:numId="92" w16cid:durableId="509947213">
    <w:abstractNumId w:val="80"/>
  </w:num>
  <w:num w:numId="93" w16cid:durableId="1042752979">
    <w:abstractNumId w:val="121"/>
  </w:num>
  <w:num w:numId="94" w16cid:durableId="421073624">
    <w:abstractNumId w:val="34"/>
  </w:num>
  <w:num w:numId="95" w16cid:durableId="1713924564">
    <w:abstractNumId w:val="82"/>
  </w:num>
  <w:num w:numId="96" w16cid:durableId="1256398587">
    <w:abstractNumId w:val="64"/>
  </w:num>
  <w:num w:numId="97" w16cid:durableId="1618640870">
    <w:abstractNumId w:val="177"/>
  </w:num>
  <w:num w:numId="98" w16cid:durableId="1806315811">
    <w:abstractNumId w:val="134"/>
  </w:num>
  <w:num w:numId="99" w16cid:durableId="1701661384">
    <w:abstractNumId w:val="74"/>
  </w:num>
  <w:num w:numId="100" w16cid:durableId="615870704">
    <w:abstractNumId w:val="150"/>
  </w:num>
  <w:num w:numId="101" w16cid:durableId="513960294">
    <w:abstractNumId w:val="100"/>
  </w:num>
  <w:num w:numId="102" w16cid:durableId="306667660">
    <w:abstractNumId w:val="86"/>
  </w:num>
  <w:num w:numId="103" w16cid:durableId="2007053282">
    <w:abstractNumId w:val="47"/>
  </w:num>
  <w:num w:numId="104" w16cid:durableId="1804496525">
    <w:abstractNumId w:val="163"/>
  </w:num>
  <w:num w:numId="105" w16cid:durableId="15082041">
    <w:abstractNumId w:val="35"/>
  </w:num>
  <w:num w:numId="106" w16cid:durableId="846333147">
    <w:abstractNumId w:val="19"/>
  </w:num>
  <w:num w:numId="107" w16cid:durableId="1266229150">
    <w:abstractNumId w:val="67"/>
  </w:num>
  <w:num w:numId="108" w16cid:durableId="1604990698">
    <w:abstractNumId w:val="147"/>
  </w:num>
  <w:num w:numId="109" w16cid:durableId="1058362879">
    <w:abstractNumId w:val="143"/>
  </w:num>
  <w:num w:numId="110" w16cid:durableId="1050036460">
    <w:abstractNumId w:val="111"/>
  </w:num>
  <w:num w:numId="111" w16cid:durableId="606735585">
    <w:abstractNumId w:val="118"/>
  </w:num>
  <w:num w:numId="112" w16cid:durableId="632633343">
    <w:abstractNumId w:val="9"/>
  </w:num>
  <w:num w:numId="113" w16cid:durableId="803429722">
    <w:abstractNumId w:val="28"/>
  </w:num>
  <w:num w:numId="114" w16cid:durableId="1089161587">
    <w:abstractNumId w:val="38"/>
  </w:num>
  <w:num w:numId="115" w16cid:durableId="2077851212">
    <w:abstractNumId w:val="12"/>
  </w:num>
  <w:num w:numId="116" w16cid:durableId="666326370">
    <w:abstractNumId w:val="107"/>
  </w:num>
  <w:num w:numId="117" w16cid:durableId="214436414">
    <w:abstractNumId w:val="62"/>
  </w:num>
  <w:num w:numId="118" w16cid:durableId="223758666">
    <w:abstractNumId w:val="109"/>
  </w:num>
  <w:num w:numId="119" w16cid:durableId="725026574">
    <w:abstractNumId w:val="96"/>
  </w:num>
  <w:num w:numId="120" w16cid:durableId="1425418172">
    <w:abstractNumId w:val="178"/>
  </w:num>
  <w:num w:numId="121" w16cid:durableId="684477264">
    <w:abstractNumId w:val="123"/>
  </w:num>
  <w:num w:numId="122" w16cid:durableId="1186091661">
    <w:abstractNumId w:val="136"/>
  </w:num>
  <w:num w:numId="123" w16cid:durableId="1718817656">
    <w:abstractNumId w:val="145"/>
  </w:num>
  <w:num w:numId="124" w16cid:durableId="433792194">
    <w:abstractNumId w:val="128"/>
  </w:num>
  <w:num w:numId="125" w16cid:durableId="499467153">
    <w:abstractNumId w:val="148"/>
  </w:num>
  <w:num w:numId="126" w16cid:durableId="1536236863">
    <w:abstractNumId w:val="90"/>
  </w:num>
  <w:num w:numId="127" w16cid:durableId="2014919704">
    <w:abstractNumId w:val="105"/>
  </w:num>
  <w:num w:numId="128" w16cid:durableId="1208763650">
    <w:abstractNumId w:val="40"/>
  </w:num>
  <w:num w:numId="129" w16cid:durableId="1962105850">
    <w:abstractNumId w:val="102"/>
  </w:num>
  <w:num w:numId="130" w16cid:durableId="636108205">
    <w:abstractNumId w:val="106"/>
  </w:num>
  <w:num w:numId="131" w16cid:durableId="956452597">
    <w:abstractNumId w:val="97"/>
  </w:num>
  <w:num w:numId="132" w16cid:durableId="1489130378">
    <w:abstractNumId w:val="26"/>
  </w:num>
  <w:num w:numId="133" w16cid:durableId="516162570">
    <w:abstractNumId w:val="71"/>
  </w:num>
  <w:num w:numId="134" w16cid:durableId="1229877794">
    <w:abstractNumId w:val="113"/>
  </w:num>
  <w:num w:numId="135" w16cid:durableId="501773132">
    <w:abstractNumId w:val="176"/>
  </w:num>
  <w:num w:numId="136" w16cid:durableId="746994903">
    <w:abstractNumId w:val="99"/>
  </w:num>
  <w:num w:numId="137" w16cid:durableId="280457096">
    <w:abstractNumId w:val="30"/>
  </w:num>
  <w:num w:numId="138" w16cid:durableId="1476676955">
    <w:abstractNumId w:val="159"/>
  </w:num>
  <w:num w:numId="139" w16cid:durableId="1832792790">
    <w:abstractNumId w:val="23"/>
  </w:num>
  <w:num w:numId="140" w16cid:durableId="837690282">
    <w:abstractNumId w:val="142"/>
  </w:num>
  <w:num w:numId="141" w16cid:durableId="2051205">
    <w:abstractNumId w:val="103"/>
  </w:num>
  <w:num w:numId="142" w16cid:durableId="300967956">
    <w:abstractNumId w:val="13"/>
  </w:num>
  <w:num w:numId="143" w16cid:durableId="1424689318">
    <w:abstractNumId w:val="126"/>
  </w:num>
  <w:num w:numId="144" w16cid:durableId="1065377397">
    <w:abstractNumId w:val="10"/>
  </w:num>
  <w:num w:numId="145" w16cid:durableId="335770404">
    <w:abstractNumId w:val="158"/>
  </w:num>
  <w:num w:numId="146" w16cid:durableId="998926753">
    <w:abstractNumId w:val="72"/>
  </w:num>
  <w:num w:numId="147" w16cid:durableId="533539016">
    <w:abstractNumId w:val="69"/>
  </w:num>
  <w:num w:numId="148" w16cid:durableId="1112243978">
    <w:abstractNumId w:val="152"/>
  </w:num>
  <w:num w:numId="149" w16cid:durableId="627588624">
    <w:abstractNumId w:val="55"/>
  </w:num>
  <w:num w:numId="150" w16cid:durableId="1708140467">
    <w:abstractNumId w:val="75"/>
  </w:num>
  <w:num w:numId="151" w16cid:durableId="1640301250">
    <w:abstractNumId w:val="14"/>
  </w:num>
  <w:num w:numId="152" w16cid:durableId="1282347621">
    <w:abstractNumId w:val="133"/>
  </w:num>
  <w:num w:numId="153" w16cid:durableId="746341526">
    <w:abstractNumId w:val="77"/>
  </w:num>
  <w:num w:numId="154" w16cid:durableId="1650011960">
    <w:abstractNumId w:val="83"/>
  </w:num>
  <w:num w:numId="155" w16cid:durableId="1145200051">
    <w:abstractNumId w:val="151"/>
  </w:num>
  <w:num w:numId="156" w16cid:durableId="1570454987">
    <w:abstractNumId w:val="130"/>
  </w:num>
  <w:num w:numId="157" w16cid:durableId="1495145583">
    <w:abstractNumId w:val="36"/>
  </w:num>
  <w:num w:numId="158" w16cid:durableId="1922836814">
    <w:abstractNumId w:val="144"/>
  </w:num>
  <w:num w:numId="159" w16cid:durableId="1397896303">
    <w:abstractNumId w:val="37"/>
  </w:num>
  <w:num w:numId="160" w16cid:durableId="103039786">
    <w:abstractNumId w:val="153"/>
  </w:num>
  <w:num w:numId="161" w16cid:durableId="1462460679">
    <w:abstractNumId w:val="17"/>
  </w:num>
  <w:num w:numId="162" w16cid:durableId="1090467189">
    <w:abstractNumId w:val="169"/>
  </w:num>
  <w:num w:numId="163" w16cid:durableId="1598951225">
    <w:abstractNumId w:val="33"/>
  </w:num>
  <w:num w:numId="164" w16cid:durableId="1004361055">
    <w:abstractNumId w:val="154"/>
  </w:num>
  <w:num w:numId="165" w16cid:durableId="1918709132">
    <w:abstractNumId w:val="138"/>
  </w:num>
  <w:num w:numId="166" w16cid:durableId="96023383">
    <w:abstractNumId w:val="98"/>
  </w:num>
  <w:num w:numId="167" w16cid:durableId="1930894367">
    <w:abstractNumId w:val="93"/>
  </w:num>
  <w:num w:numId="168" w16cid:durableId="2009820805">
    <w:abstractNumId w:val="58"/>
  </w:num>
  <w:num w:numId="169" w16cid:durableId="140661773">
    <w:abstractNumId w:val="70"/>
  </w:num>
  <w:num w:numId="170" w16cid:durableId="1919165498">
    <w:abstractNumId w:val="174"/>
  </w:num>
  <w:num w:numId="171" w16cid:durableId="137654623">
    <w:abstractNumId w:val="21"/>
  </w:num>
  <w:num w:numId="172" w16cid:durableId="1821539720">
    <w:abstractNumId w:val="53"/>
  </w:num>
  <w:num w:numId="173" w16cid:durableId="55707133">
    <w:abstractNumId w:val="166"/>
  </w:num>
  <w:num w:numId="174" w16cid:durableId="1846050421">
    <w:abstractNumId w:val="61"/>
  </w:num>
  <w:num w:numId="175" w16cid:durableId="1516773051">
    <w:abstractNumId w:val="51"/>
  </w:num>
  <w:num w:numId="176" w16cid:durableId="1088423444">
    <w:abstractNumId w:val="170"/>
  </w:num>
  <w:num w:numId="177" w16cid:durableId="1255361535">
    <w:abstractNumId w:val="22"/>
  </w:num>
  <w:num w:numId="178" w16cid:durableId="919169539">
    <w:abstractNumId w:val="117"/>
  </w:num>
  <w:num w:numId="179" w16cid:durableId="1799686447">
    <w:abstractNumId w:val="41"/>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EC3"/>
    <w:rsid w:val="0000020B"/>
    <w:rsid w:val="00000872"/>
    <w:rsid w:val="00000B37"/>
    <w:rsid w:val="00001055"/>
    <w:rsid w:val="0000156B"/>
    <w:rsid w:val="00001AA6"/>
    <w:rsid w:val="00001C24"/>
    <w:rsid w:val="00001E09"/>
    <w:rsid w:val="00002326"/>
    <w:rsid w:val="000029B2"/>
    <w:rsid w:val="00002C04"/>
    <w:rsid w:val="00002C4F"/>
    <w:rsid w:val="00002D64"/>
    <w:rsid w:val="00002E27"/>
    <w:rsid w:val="00002F02"/>
    <w:rsid w:val="0000302F"/>
    <w:rsid w:val="0000310C"/>
    <w:rsid w:val="00003BED"/>
    <w:rsid w:val="00003C40"/>
    <w:rsid w:val="000042B7"/>
    <w:rsid w:val="0000467E"/>
    <w:rsid w:val="00004ABA"/>
    <w:rsid w:val="00004AD6"/>
    <w:rsid w:val="00004B04"/>
    <w:rsid w:val="00004E82"/>
    <w:rsid w:val="0000532C"/>
    <w:rsid w:val="000058D4"/>
    <w:rsid w:val="00005945"/>
    <w:rsid w:val="0000656E"/>
    <w:rsid w:val="0000695A"/>
    <w:rsid w:val="00007440"/>
    <w:rsid w:val="0000754E"/>
    <w:rsid w:val="00007809"/>
    <w:rsid w:val="0000781B"/>
    <w:rsid w:val="000079D8"/>
    <w:rsid w:val="00007AAF"/>
    <w:rsid w:val="000101B7"/>
    <w:rsid w:val="0001038B"/>
    <w:rsid w:val="00010618"/>
    <w:rsid w:val="00010672"/>
    <w:rsid w:val="00010794"/>
    <w:rsid w:val="0001087E"/>
    <w:rsid w:val="00011706"/>
    <w:rsid w:val="00011CA5"/>
    <w:rsid w:val="00012440"/>
    <w:rsid w:val="000131C4"/>
    <w:rsid w:val="000131F3"/>
    <w:rsid w:val="0001327E"/>
    <w:rsid w:val="000132F9"/>
    <w:rsid w:val="0001337B"/>
    <w:rsid w:val="0001393A"/>
    <w:rsid w:val="00014060"/>
    <w:rsid w:val="00014276"/>
    <w:rsid w:val="000142C5"/>
    <w:rsid w:val="00014318"/>
    <w:rsid w:val="0001441D"/>
    <w:rsid w:val="00014790"/>
    <w:rsid w:val="0001480B"/>
    <w:rsid w:val="00014CA7"/>
    <w:rsid w:val="00014D2A"/>
    <w:rsid w:val="00015247"/>
    <w:rsid w:val="0001568A"/>
    <w:rsid w:val="00015DE0"/>
    <w:rsid w:val="000161F6"/>
    <w:rsid w:val="00016535"/>
    <w:rsid w:val="00016AAC"/>
    <w:rsid w:val="00016FCD"/>
    <w:rsid w:val="000175BB"/>
    <w:rsid w:val="000177D3"/>
    <w:rsid w:val="00017A85"/>
    <w:rsid w:val="00017B2D"/>
    <w:rsid w:val="00017B6B"/>
    <w:rsid w:val="00017F00"/>
    <w:rsid w:val="0002059F"/>
    <w:rsid w:val="0002184B"/>
    <w:rsid w:val="000219D2"/>
    <w:rsid w:val="00021EBE"/>
    <w:rsid w:val="000222D3"/>
    <w:rsid w:val="00022E68"/>
    <w:rsid w:val="00023156"/>
    <w:rsid w:val="0002317B"/>
    <w:rsid w:val="0002331E"/>
    <w:rsid w:val="000245DB"/>
    <w:rsid w:val="00024CAF"/>
    <w:rsid w:val="00024E88"/>
    <w:rsid w:val="00024EFD"/>
    <w:rsid w:val="00025EA0"/>
    <w:rsid w:val="00026076"/>
    <w:rsid w:val="00026078"/>
    <w:rsid w:val="0002674D"/>
    <w:rsid w:val="00026AD2"/>
    <w:rsid w:val="00027C09"/>
    <w:rsid w:val="00027DDA"/>
    <w:rsid w:val="00027E41"/>
    <w:rsid w:val="00027FB9"/>
    <w:rsid w:val="00030330"/>
    <w:rsid w:val="00030843"/>
    <w:rsid w:val="000308CC"/>
    <w:rsid w:val="00030A9E"/>
    <w:rsid w:val="00030AF8"/>
    <w:rsid w:val="00030B67"/>
    <w:rsid w:val="00030D16"/>
    <w:rsid w:val="00030D25"/>
    <w:rsid w:val="000311D1"/>
    <w:rsid w:val="00031924"/>
    <w:rsid w:val="00031F0D"/>
    <w:rsid w:val="000321D6"/>
    <w:rsid w:val="00032847"/>
    <w:rsid w:val="00032967"/>
    <w:rsid w:val="00032A87"/>
    <w:rsid w:val="00032C0B"/>
    <w:rsid w:val="00032F2A"/>
    <w:rsid w:val="000336DA"/>
    <w:rsid w:val="00033D07"/>
    <w:rsid w:val="0003415E"/>
    <w:rsid w:val="00035029"/>
    <w:rsid w:val="00035A73"/>
    <w:rsid w:val="00035B5F"/>
    <w:rsid w:val="00036D98"/>
    <w:rsid w:val="00036F1C"/>
    <w:rsid w:val="00037292"/>
    <w:rsid w:val="0003762F"/>
    <w:rsid w:val="00037A9F"/>
    <w:rsid w:val="00037E5B"/>
    <w:rsid w:val="0004005E"/>
    <w:rsid w:val="000404F7"/>
    <w:rsid w:val="00040ED4"/>
    <w:rsid w:val="000410CC"/>
    <w:rsid w:val="00042082"/>
    <w:rsid w:val="00042AB7"/>
    <w:rsid w:val="00042BCC"/>
    <w:rsid w:val="000430E0"/>
    <w:rsid w:val="00043D2D"/>
    <w:rsid w:val="00043F48"/>
    <w:rsid w:val="000445B0"/>
    <w:rsid w:val="0004471C"/>
    <w:rsid w:val="0004507F"/>
    <w:rsid w:val="00045760"/>
    <w:rsid w:val="00045C21"/>
    <w:rsid w:val="00045CD6"/>
    <w:rsid w:val="00045E2D"/>
    <w:rsid w:val="00045F76"/>
    <w:rsid w:val="0004603E"/>
    <w:rsid w:val="000460B0"/>
    <w:rsid w:val="000463F6"/>
    <w:rsid w:val="00046494"/>
    <w:rsid w:val="00046495"/>
    <w:rsid w:val="00046537"/>
    <w:rsid w:val="0004687D"/>
    <w:rsid w:val="0004728D"/>
    <w:rsid w:val="00047714"/>
    <w:rsid w:val="00047B76"/>
    <w:rsid w:val="000507C5"/>
    <w:rsid w:val="00050FE2"/>
    <w:rsid w:val="00051002"/>
    <w:rsid w:val="000512B1"/>
    <w:rsid w:val="00051366"/>
    <w:rsid w:val="000517CC"/>
    <w:rsid w:val="000525C2"/>
    <w:rsid w:val="00053144"/>
    <w:rsid w:val="0005369E"/>
    <w:rsid w:val="00053C7F"/>
    <w:rsid w:val="00053CC7"/>
    <w:rsid w:val="000540B2"/>
    <w:rsid w:val="00054185"/>
    <w:rsid w:val="00054421"/>
    <w:rsid w:val="00054737"/>
    <w:rsid w:val="00054761"/>
    <w:rsid w:val="00054E6C"/>
    <w:rsid w:val="0005514D"/>
    <w:rsid w:val="00055841"/>
    <w:rsid w:val="000558D7"/>
    <w:rsid w:val="00055F71"/>
    <w:rsid w:val="00056379"/>
    <w:rsid w:val="0005668C"/>
    <w:rsid w:val="00056A52"/>
    <w:rsid w:val="00056AAA"/>
    <w:rsid w:val="00056B52"/>
    <w:rsid w:val="0005725C"/>
    <w:rsid w:val="00057879"/>
    <w:rsid w:val="0005794F"/>
    <w:rsid w:val="00057EE7"/>
    <w:rsid w:val="00057FEE"/>
    <w:rsid w:val="00060134"/>
    <w:rsid w:val="00060CE3"/>
    <w:rsid w:val="00060DC6"/>
    <w:rsid w:val="0006129D"/>
    <w:rsid w:val="00061A6E"/>
    <w:rsid w:val="00061D8A"/>
    <w:rsid w:val="00061FDD"/>
    <w:rsid w:val="00062012"/>
    <w:rsid w:val="0006236E"/>
    <w:rsid w:val="0006267E"/>
    <w:rsid w:val="0006276B"/>
    <w:rsid w:val="0006339F"/>
    <w:rsid w:val="000638B2"/>
    <w:rsid w:val="00063A9A"/>
    <w:rsid w:val="00063C15"/>
    <w:rsid w:val="00063C24"/>
    <w:rsid w:val="000647C1"/>
    <w:rsid w:val="00064992"/>
    <w:rsid w:val="00064B54"/>
    <w:rsid w:val="00065602"/>
    <w:rsid w:val="0006598C"/>
    <w:rsid w:val="00065D4F"/>
    <w:rsid w:val="00065EBA"/>
    <w:rsid w:val="00066016"/>
    <w:rsid w:val="00067086"/>
    <w:rsid w:val="000674EF"/>
    <w:rsid w:val="000677EF"/>
    <w:rsid w:val="00067922"/>
    <w:rsid w:val="00067A7D"/>
    <w:rsid w:val="00067AED"/>
    <w:rsid w:val="00067B50"/>
    <w:rsid w:val="000700E7"/>
    <w:rsid w:val="000706E2"/>
    <w:rsid w:val="00070773"/>
    <w:rsid w:val="00070860"/>
    <w:rsid w:val="000709B0"/>
    <w:rsid w:val="00070AE4"/>
    <w:rsid w:val="00070CA9"/>
    <w:rsid w:val="00070D02"/>
    <w:rsid w:val="00070E50"/>
    <w:rsid w:val="0007112E"/>
    <w:rsid w:val="000712BA"/>
    <w:rsid w:val="00071364"/>
    <w:rsid w:val="0007262C"/>
    <w:rsid w:val="000732CB"/>
    <w:rsid w:val="0007353A"/>
    <w:rsid w:val="000736AF"/>
    <w:rsid w:val="000739CE"/>
    <w:rsid w:val="00073A12"/>
    <w:rsid w:val="00073B27"/>
    <w:rsid w:val="00074136"/>
    <w:rsid w:val="00074E1A"/>
    <w:rsid w:val="00074F12"/>
    <w:rsid w:val="000750BE"/>
    <w:rsid w:val="0007560A"/>
    <w:rsid w:val="0007569B"/>
    <w:rsid w:val="00075E29"/>
    <w:rsid w:val="00075FA1"/>
    <w:rsid w:val="0007613B"/>
    <w:rsid w:val="000766B7"/>
    <w:rsid w:val="00076A71"/>
    <w:rsid w:val="00076CA5"/>
    <w:rsid w:val="00077412"/>
    <w:rsid w:val="000776A3"/>
    <w:rsid w:val="0007791B"/>
    <w:rsid w:val="00077940"/>
    <w:rsid w:val="00077D34"/>
    <w:rsid w:val="00080438"/>
    <w:rsid w:val="00080C31"/>
    <w:rsid w:val="00080C64"/>
    <w:rsid w:val="0008102B"/>
    <w:rsid w:val="00081344"/>
    <w:rsid w:val="0008149E"/>
    <w:rsid w:val="0008171B"/>
    <w:rsid w:val="0008211B"/>
    <w:rsid w:val="0008232C"/>
    <w:rsid w:val="00082345"/>
    <w:rsid w:val="000827F3"/>
    <w:rsid w:val="00082B33"/>
    <w:rsid w:val="00082FD1"/>
    <w:rsid w:val="00083181"/>
    <w:rsid w:val="00083572"/>
    <w:rsid w:val="00083AF5"/>
    <w:rsid w:val="000849BB"/>
    <w:rsid w:val="00084DFE"/>
    <w:rsid w:val="00085F81"/>
    <w:rsid w:val="0008630B"/>
    <w:rsid w:val="0008655F"/>
    <w:rsid w:val="00086587"/>
    <w:rsid w:val="00086AEF"/>
    <w:rsid w:val="00086D87"/>
    <w:rsid w:val="0008727B"/>
    <w:rsid w:val="000872A1"/>
    <w:rsid w:val="00087680"/>
    <w:rsid w:val="000876FE"/>
    <w:rsid w:val="00087833"/>
    <w:rsid w:val="00087AF9"/>
    <w:rsid w:val="00087DF5"/>
    <w:rsid w:val="00087E37"/>
    <w:rsid w:val="00090D60"/>
    <w:rsid w:val="00090F54"/>
    <w:rsid w:val="00090FED"/>
    <w:rsid w:val="0009119C"/>
    <w:rsid w:val="00091450"/>
    <w:rsid w:val="000916A0"/>
    <w:rsid w:val="00091BDF"/>
    <w:rsid w:val="00091F6E"/>
    <w:rsid w:val="00092330"/>
    <w:rsid w:val="000924E5"/>
    <w:rsid w:val="000924EE"/>
    <w:rsid w:val="00092A49"/>
    <w:rsid w:val="00092BF6"/>
    <w:rsid w:val="00093C08"/>
    <w:rsid w:val="000941A9"/>
    <w:rsid w:val="000941C7"/>
    <w:rsid w:val="0009431B"/>
    <w:rsid w:val="000945E6"/>
    <w:rsid w:val="000948E2"/>
    <w:rsid w:val="00094B92"/>
    <w:rsid w:val="00094FF1"/>
    <w:rsid w:val="0009509A"/>
    <w:rsid w:val="000956CA"/>
    <w:rsid w:val="00095A19"/>
    <w:rsid w:val="00095B94"/>
    <w:rsid w:val="00095F25"/>
    <w:rsid w:val="00096264"/>
    <w:rsid w:val="0009650B"/>
    <w:rsid w:val="00096705"/>
    <w:rsid w:val="0009687D"/>
    <w:rsid w:val="00096A59"/>
    <w:rsid w:val="00096AE6"/>
    <w:rsid w:val="00096B9B"/>
    <w:rsid w:val="00096F89"/>
    <w:rsid w:val="00097166"/>
    <w:rsid w:val="000972E8"/>
    <w:rsid w:val="0009745F"/>
    <w:rsid w:val="00097515"/>
    <w:rsid w:val="000976DE"/>
    <w:rsid w:val="00097AAA"/>
    <w:rsid w:val="00097DEE"/>
    <w:rsid w:val="000A03F5"/>
    <w:rsid w:val="000A0419"/>
    <w:rsid w:val="000A0D09"/>
    <w:rsid w:val="000A0D5D"/>
    <w:rsid w:val="000A1204"/>
    <w:rsid w:val="000A18B9"/>
    <w:rsid w:val="000A18BE"/>
    <w:rsid w:val="000A1AA2"/>
    <w:rsid w:val="000A232E"/>
    <w:rsid w:val="000A257D"/>
    <w:rsid w:val="000A26C3"/>
    <w:rsid w:val="000A2A83"/>
    <w:rsid w:val="000A2DC3"/>
    <w:rsid w:val="000A2E20"/>
    <w:rsid w:val="000A2EF4"/>
    <w:rsid w:val="000A3117"/>
    <w:rsid w:val="000A38C8"/>
    <w:rsid w:val="000A3CB4"/>
    <w:rsid w:val="000A3DCF"/>
    <w:rsid w:val="000A403D"/>
    <w:rsid w:val="000A4982"/>
    <w:rsid w:val="000A5328"/>
    <w:rsid w:val="000A53AC"/>
    <w:rsid w:val="000A546D"/>
    <w:rsid w:val="000A57FB"/>
    <w:rsid w:val="000A5890"/>
    <w:rsid w:val="000A626A"/>
    <w:rsid w:val="000A6517"/>
    <w:rsid w:val="000A68C5"/>
    <w:rsid w:val="000A6935"/>
    <w:rsid w:val="000A6A96"/>
    <w:rsid w:val="000A77B5"/>
    <w:rsid w:val="000A7DBD"/>
    <w:rsid w:val="000A7DDB"/>
    <w:rsid w:val="000A7EBA"/>
    <w:rsid w:val="000B0064"/>
    <w:rsid w:val="000B15E9"/>
    <w:rsid w:val="000B1AB3"/>
    <w:rsid w:val="000B1CC2"/>
    <w:rsid w:val="000B2089"/>
    <w:rsid w:val="000B2275"/>
    <w:rsid w:val="000B239F"/>
    <w:rsid w:val="000B24B0"/>
    <w:rsid w:val="000B30F5"/>
    <w:rsid w:val="000B31E3"/>
    <w:rsid w:val="000B38CE"/>
    <w:rsid w:val="000B3A96"/>
    <w:rsid w:val="000B3B22"/>
    <w:rsid w:val="000B3E03"/>
    <w:rsid w:val="000B5321"/>
    <w:rsid w:val="000B5D19"/>
    <w:rsid w:val="000B5D80"/>
    <w:rsid w:val="000B5E87"/>
    <w:rsid w:val="000B5FE4"/>
    <w:rsid w:val="000B5FFA"/>
    <w:rsid w:val="000B6060"/>
    <w:rsid w:val="000B6343"/>
    <w:rsid w:val="000B6A2F"/>
    <w:rsid w:val="000B709E"/>
    <w:rsid w:val="000B7ABF"/>
    <w:rsid w:val="000B7BEF"/>
    <w:rsid w:val="000C0580"/>
    <w:rsid w:val="000C06FB"/>
    <w:rsid w:val="000C1106"/>
    <w:rsid w:val="000C11BA"/>
    <w:rsid w:val="000C1295"/>
    <w:rsid w:val="000C163E"/>
    <w:rsid w:val="000C1A73"/>
    <w:rsid w:val="000C1E03"/>
    <w:rsid w:val="000C23A5"/>
    <w:rsid w:val="000C293E"/>
    <w:rsid w:val="000C2C72"/>
    <w:rsid w:val="000C335F"/>
    <w:rsid w:val="000C3BAB"/>
    <w:rsid w:val="000C3C42"/>
    <w:rsid w:val="000C3C96"/>
    <w:rsid w:val="000C451A"/>
    <w:rsid w:val="000C4A07"/>
    <w:rsid w:val="000C4B10"/>
    <w:rsid w:val="000C5547"/>
    <w:rsid w:val="000C56B1"/>
    <w:rsid w:val="000C5790"/>
    <w:rsid w:val="000C5B01"/>
    <w:rsid w:val="000C5CEE"/>
    <w:rsid w:val="000C5E2E"/>
    <w:rsid w:val="000C6A7D"/>
    <w:rsid w:val="000C75F1"/>
    <w:rsid w:val="000C7B09"/>
    <w:rsid w:val="000C7B74"/>
    <w:rsid w:val="000C7BFE"/>
    <w:rsid w:val="000C7F37"/>
    <w:rsid w:val="000D03C7"/>
    <w:rsid w:val="000D08F5"/>
    <w:rsid w:val="000D1159"/>
    <w:rsid w:val="000D1180"/>
    <w:rsid w:val="000D11A8"/>
    <w:rsid w:val="000D121C"/>
    <w:rsid w:val="000D1D12"/>
    <w:rsid w:val="000D22DD"/>
    <w:rsid w:val="000D2AD8"/>
    <w:rsid w:val="000D31B5"/>
    <w:rsid w:val="000D3E71"/>
    <w:rsid w:val="000D3F03"/>
    <w:rsid w:val="000D4255"/>
    <w:rsid w:val="000D445B"/>
    <w:rsid w:val="000D4720"/>
    <w:rsid w:val="000D5452"/>
    <w:rsid w:val="000D5650"/>
    <w:rsid w:val="000D5EF9"/>
    <w:rsid w:val="000D62E3"/>
    <w:rsid w:val="000D7147"/>
    <w:rsid w:val="000D7506"/>
    <w:rsid w:val="000D7518"/>
    <w:rsid w:val="000D79D5"/>
    <w:rsid w:val="000D7E36"/>
    <w:rsid w:val="000E0240"/>
    <w:rsid w:val="000E058D"/>
    <w:rsid w:val="000E05C0"/>
    <w:rsid w:val="000E09FD"/>
    <w:rsid w:val="000E18BA"/>
    <w:rsid w:val="000E18D9"/>
    <w:rsid w:val="000E1CBC"/>
    <w:rsid w:val="000E2161"/>
    <w:rsid w:val="000E2929"/>
    <w:rsid w:val="000E2B27"/>
    <w:rsid w:val="000E3403"/>
    <w:rsid w:val="000E3510"/>
    <w:rsid w:val="000E3A32"/>
    <w:rsid w:val="000E3D23"/>
    <w:rsid w:val="000E3FF9"/>
    <w:rsid w:val="000E404E"/>
    <w:rsid w:val="000E40BD"/>
    <w:rsid w:val="000E41A1"/>
    <w:rsid w:val="000E4334"/>
    <w:rsid w:val="000E44B1"/>
    <w:rsid w:val="000E47FF"/>
    <w:rsid w:val="000E4949"/>
    <w:rsid w:val="000E4BCF"/>
    <w:rsid w:val="000E54B8"/>
    <w:rsid w:val="000E54D2"/>
    <w:rsid w:val="000E57FC"/>
    <w:rsid w:val="000E5997"/>
    <w:rsid w:val="000E5DFC"/>
    <w:rsid w:val="000E5FC3"/>
    <w:rsid w:val="000E6DD0"/>
    <w:rsid w:val="000E7501"/>
    <w:rsid w:val="000E7AE5"/>
    <w:rsid w:val="000E7BAE"/>
    <w:rsid w:val="000E7E97"/>
    <w:rsid w:val="000F0228"/>
    <w:rsid w:val="000F0231"/>
    <w:rsid w:val="000F077F"/>
    <w:rsid w:val="000F0B9D"/>
    <w:rsid w:val="000F144A"/>
    <w:rsid w:val="000F1924"/>
    <w:rsid w:val="000F1B59"/>
    <w:rsid w:val="000F1DE6"/>
    <w:rsid w:val="000F2475"/>
    <w:rsid w:val="000F29F3"/>
    <w:rsid w:val="000F2B46"/>
    <w:rsid w:val="000F2E90"/>
    <w:rsid w:val="000F3014"/>
    <w:rsid w:val="000F3A0F"/>
    <w:rsid w:val="000F3AF0"/>
    <w:rsid w:val="000F4709"/>
    <w:rsid w:val="000F526B"/>
    <w:rsid w:val="000F54D0"/>
    <w:rsid w:val="000F55C0"/>
    <w:rsid w:val="000F59A0"/>
    <w:rsid w:val="000F5A5A"/>
    <w:rsid w:val="000F5B53"/>
    <w:rsid w:val="000F62BE"/>
    <w:rsid w:val="000F653E"/>
    <w:rsid w:val="000F6F66"/>
    <w:rsid w:val="000F70E1"/>
    <w:rsid w:val="000F7139"/>
    <w:rsid w:val="000F7327"/>
    <w:rsid w:val="000F7345"/>
    <w:rsid w:val="000F7906"/>
    <w:rsid w:val="000F7E88"/>
    <w:rsid w:val="001009B6"/>
    <w:rsid w:val="001011F5"/>
    <w:rsid w:val="00101EAF"/>
    <w:rsid w:val="00101EC1"/>
    <w:rsid w:val="00101F1B"/>
    <w:rsid w:val="00101FB3"/>
    <w:rsid w:val="0010203B"/>
    <w:rsid w:val="00102834"/>
    <w:rsid w:val="00102A14"/>
    <w:rsid w:val="00102B69"/>
    <w:rsid w:val="001031F6"/>
    <w:rsid w:val="00103697"/>
    <w:rsid w:val="00103715"/>
    <w:rsid w:val="0010373A"/>
    <w:rsid w:val="00103F1B"/>
    <w:rsid w:val="001048CB"/>
    <w:rsid w:val="00104D8C"/>
    <w:rsid w:val="00104DC7"/>
    <w:rsid w:val="00104FF1"/>
    <w:rsid w:val="00105513"/>
    <w:rsid w:val="00105820"/>
    <w:rsid w:val="001060A2"/>
    <w:rsid w:val="00106206"/>
    <w:rsid w:val="001064C8"/>
    <w:rsid w:val="00106B48"/>
    <w:rsid w:val="00106E38"/>
    <w:rsid w:val="00106F55"/>
    <w:rsid w:val="00106FC9"/>
    <w:rsid w:val="001074D3"/>
    <w:rsid w:val="00107D45"/>
    <w:rsid w:val="0011062B"/>
    <w:rsid w:val="0011067D"/>
    <w:rsid w:val="00110763"/>
    <w:rsid w:val="00110914"/>
    <w:rsid w:val="00110B84"/>
    <w:rsid w:val="00110BE8"/>
    <w:rsid w:val="0011102F"/>
    <w:rsid w:val="0011104F"/>
    <w:rsid w:val="00111801"/>
    <w:rsid w:val="00111AC5"/>
    <w:rsid w:val="00111C18"/>
    <w:rsid w:val="00111E11"/>
    <w:rsid w:val="001122B5"/>
    <w:rsid w:val="00112B14"/>
    <w:rsid w:val="00112EF7"/>
    <w:rsid w:val="001135A6"/>
    <w:rsid w:val="00113844"/>
    <w:rsid w:val="00113A22"/>
    <w:rsid w:val="00113ADD"/>
    <w:rsid w:val="00114764"/>
    <w:rsid w:val="00114895"/>
    <w:rsid w:val="0011527C"/>
    <w:rsid w:val="001153AB"/>
    <w:rsid w:val="00116086"/>
    <w:rsid w:val="001161F8"/>
    <w:rsid w:val="00116277"/>
    <w:rsid w:val="001163AA"/>
    <w:rsid w:val="0011711D"/>
    <w:rsid w:val="00117DE8"/>
    <w:rsid w:val="00117E14"/>
    <w:rsid w:val="00117F07"/>
    <w:rsid w:val="00120004"/>
    <w:rsid w:val="00120677"/>
    <w:rsid w:val="00120E1F"/>
    <w:rsid w:val="00120E2E"/>
    <w:rsid w:val="00121619"/>
    <w:rsid w:val="00121AA9"/>
    <w:rsid w:val="00121BC2"/>
    <w:rsid w:val="0012231E"/>
    <w:rsid w:val="001225A4"/>
    <w:rsid w:val="00122D25"/>
    <w:rsid w:val="001236A5"/>
    <w:rsid w:val="00123794"/>
    <w:rsid w:val="001237BC"/>
    <w:rsid w:val="0012393A"/>
    <w:rsid w:val="00123FFD"/>
    <w:rsid w:val="001242AF"/>
    <w:rsid w:val="00124419"/>
    <w:rsid w:val="00124488"/>
    <w:rsid w:val="00125178"/>
    <w:rsid w:val="0012527E"/>
    <w:rsid w:val="00125773"/>
    <w:rsid w:val="0012579B"/>
    <w:rsid w:val="001257EA"/>
    <w:rsid w:val="00125FA7"/>
    <w:rsid w:val="0012602B"/>
    <w:rsid w:val="00126379"/>
    <w:rsid w:val="001266D6"/>
    <w:rsid w:val="00126978"/>
    <w:rsid w:val="0012700A"/>
    <w:rsid w:val="001272CD"/>
    <w:rsid w:val="0013006E"/>
    <w:rsid w:val="00130C5C"/>
    <w:rsid w:val="00130F40"/>
    <w:rsid w:val="00131230"/>
    <w:rsid w:val="0013167D"/>
    <w:rsid w:val="00131A6C"/>
    <w:rsid w:val="00131AAE"/>
    <w:rsid w:val="00131C9D"/>
    <w:rsid w:val="00131F29"/>
    <w:rsid w:val="00131FB4"/>
    <w:rsid w:val="0013210A"/>
    <w:rsid w:val="001321F7"/>
    <w:rsid w:val="00132EFA"/>
    <w:rsid w:val="00133054"/>
    <w:rsid w:val="00133713"/>
    <w:rsid w:val="001338DC"/>
    <w:rsid w:val="00133C5C"/>
    <w:rsid w:val="00133ECB"/>
    <w:rsid w:val="001341A6"/>
    <w:rsid w:val="00134256"/>
    <w:rsid w:val="0013428E"/>
    <w:rsid w:val="00134798"/>
    <w:rsid w:val="001351F6"/>
    <w:rsid w:val="00135277"/>
    <w:rsid w:val="0013571E"/>
    <w:rsid w:val="001358D9"/>
    <w:rsid w:val="001365BD"/>
    <w:rsid w:val="001369AE"/>
    <w:rsid w:val="00136B43"/>
    <w:rsid w:val="001374DA"/>
    <w:rsid w:val="001375A8"/>
    <w:rsid w:val="0013766B"/>
    <w:rsid w:val="0013799B"/>
    <w:rsid w:val="00140283"/>
    <w:rsid w:val="0014052B"/>
    <w:rsid w:val="001409AA"/>
    <w:rsid w:val="00140BF1"/>
    <w:rsid w:val="0014124C"/>
    <w:rsid w:val="001412F1"/>
    <w:rsid w:val="001415C5"/>
    <w:rsid w:val="00141693"/>
    <w:rsid w:val="001417B6"/>
    <w:rsid w:val="0014184B"/>
    <w:rsid w:val="00141C89"/>
    <w:rsid w:val="00141D18"/>
    <w:rsid w:val="00141D5C"/>
    <w:rsid w:val="001427A8"/>
    <w:rsid w:val="001428A1"/>
    <w:rsid w:val="00143104"/>
    <w:rsid w:val="00143156"/>
    <w:rsid w:val="00143499"/>
    <w:rsid w:val="0014353D"/>
    <w:rsid w:val="001437B9"/>
    <w:rsid w:val="0014418D"/>
    <w:rsid w:val="00144398"/>
    <w:rsid w:val="001443A2"/>
    <w:rsid w:val="001449BA"/>
    <w:rsid w:val="00144ECE"/>
    <w:rsid w:val="0014560E"/>
    <w:rsid w:val="00145943"/>
    <w:rsid w:val="0014632E"/>
    <w:rsid w:val="00146431"/>
    <w:rsid w:val="00146736"/>
    <w:rsid w:val="001469E4"/>
    <w:rsid w:val="00146A57"/>
    <w:rsid w:val="00146D7A"/>
    <w:rsid w:val="00147468"/>
    <w:rsid w:val="00147637"/>
    <w:rsid w:val="0014783D"/>
    <w:rsid w:val="00147F45"/>
    <w:rsid w:val="00150061"/>
    <w:rsid w:val="0015023F"/>
    <w:rsid w:val="00150299"/>
    <w:rsid w:val="0015055B"/>
    <w:rsid w:val="00150668"/>
    <w:rsid w:val="00150769"/>
    <w:rsid w:val="0015182E"/>
    <w:rsid w:val="00151C50"/>
    <w:rsid w:val="00151F7B"/>
    <w:rsid w:val="001523CB"/>
    <w:rsid w:val="0015272A"/>
    <w:rsid w:val="00152766"/>
    <w:rsid w:val="001528F6"/>
    <w:rsid w:val="00152BC5"/>
    <w:rsid w:val="00152EC7"/>
    <w:rsid w:val="00152F10"/>
    <w:rsid w:val="00153D68"/>
    <w:rsid w:val="0015477A"/>
    <w:rsid w:val="00155948"/>
    <w:rsid w:val="00155AEE"/>
    <w:rsid w:val="00155B88"/>
    <w:rsid w:val="00155C0B"/>
    <w:rsid w:val="00155C6E"/>
    <w:rsid w:val="00155C75"/>
    <w:rsid w:val="00155DD9"/>
    <w:rsid w:val="001563FA"/>
    <w:rsid w:val="001564C3"/>
    <w:rsid w:val="001569E0"/>
    <w:rsid w:val="00157274"/>
    <w:rsid w:val="00157C0E"/>
    <w:rsid w:val="00157CA5"/>
    <w:rsid w:val="001603F9"/>
    <w:rsid w:val="001604CB"/>
    <w:rsid w:val="001606B5"/>
    <w:rsid w:val="00160DF9"/>
    <w:rsid w:val="00160DFB"/>
    <w:rsid w:val="0016110C"/>
    <w:rsid w:val="001612D9"/>
    <w:rsid w:val="00162521"/>
    <w:rsid w:val="00163173"/>
    <w:rsid w:val="001631F8"/>
    <w:rsid w:val="00163A07"/>
    <w:rsid w:val="00163C3D"/>
    <w:rsid w:val="00163EF7"/>
    <w:rsid w:val="00163F02"/>
    <w:rsid w:val="001640F5"/>
    <w:rsid w:val="001641CA"/>
    <w:rsid w:val="001642E1"/>
    <w:rsid w:val="00164993"/>
    <w:rsid w:val="001656F6"/>
    <w:rsid w:val="00165B6F"/>
    <w:rsid w:val="00165F66"/>
    <w:rsid w:val="00166119"/>
    <w:rsid w:val="0016643F"/>
    <w:rsid w:val="00167003"/>
    <w:rsid w:val="001671DB"/>
    <w:rsid w:val="00167450"/>
    <w:rsid w:val="0016751B"/>
    <w:rsid w:val="0016783E"/>
    <w:rsid w:val="00167C12"/>
    <w:rsid w:val="00167D9C"/>
    <w:rsid w:val="001704AE"/>
    <w:rsid w:val="001705D0"/>
    <w:rsid w:val="00170794"/>
    <w:rsid w:val="001707BA"/>
    <w:rsid w:val="00170C49"/>
    <w:rsid w:val="00170EDF"/>
    <w:rsid w:val="00170FC1"/>
    <w:rsid w:val="001711DD"/>
    <w:rsid w:val="00171701"/>
    <w:rsid w:val="0017188B"/>
    <w:rsid w:val="00171C9B"/>
    <w:rsid w:val="00171E0E"/>
    <w:rsid w:val="001721CE"/>
    <w:rsid w:val="001723DB"/>
    <w:rsid w:val="0017250B"/>
    <w:rsid w:val="0017269A"/>
    <w:rsid w:val="00172C8C"/>
    <w:rsid w:val="00173009"/>
    <w:rsid w:val="001730D0"/>
    <w:rsid w:val="0017385F"/>
    <w:rsid w:val="00173D7E"/>
    <w:rsid w:val="00173F21"/>
    <w:rsid w:val="00174F2E"/>
    <w:rsid w:val="0017512B"/>
    <w:rsid w:val="001751C7"/>
    <w:rsid w:val="00175613"/>
    <w:rsid w:val="00175639"/>
    <w:rsid w:val="0017596A"/>
    <w:rsid w:val="00175D80"/>
    <w:rsid w:val="0017603D"/>
    <w:rsid w:val="00176511"/>
    <w:rsid w:val="0017665A"/>
    <w:rsid w:val="00176A7E"/>
    <w:rsid w:val="00176C30"/>
    <w:rsid w:val="00176EDC"/>
    <w:rsid w:val="001773EF"/>
    <w:rsid w:val="001779E5"/>
    <w:rsid w:val="00177BFA"/>
    <w:rsid w:val="00180166"/>
    <w:rsid w:val="00180319"/>
    <w:rsid w:val="00180420"/>
    <w:rsid w:val="0018044C"/>
    <w:rsid w:val="001809D0"/>
    <w:rsid w:val="00180B40"/>
    <w:rsid w:val="001818A7"/>
    <w:rsid w:val="00181BC2"/>
    <w:rsid w:val="00181D4D"/>
    <w:rsid w:val="00182A4C"/>
    <w:rsid w:val="00182FB5"/>
    <w:rsid w:val="00183168"/>
    <w:rsid w:val="0018386C"/>
    <w:rsid w:val="00183953"/>
    <w:rsid w:val="00183A78"/>
    <w:rsid w:val="00183E70"/>
    <w:rsid w:val="001843C7"/>
    <w:rsid w:val="001844B5"/>
    <w:rsid w:val="00184F12"/>
    <w:rsid w:val="001850D7"/>
    <w:rsid w:val="001853A6"/>
    <w:rsid w:val="001855E5"/>
    <w:rsid w:val="001857F6"/>
    <w:rsid w:val="00185850"/>
    <w:rsid w:val="00185982"/>
    <w:rsid w:val="00185E1A"/>
    <w:rsid w:val="001861C1"/>
    <w:rsid w:val="0018620D"/>
    <w:rsid w:val="001862B0"/>
    <w:rsid w:val="001862E8"/>
    <w:rsid w:val="00186382"/>
    <w:rsid w:val="001864C5"/>
    <w:rsid w:val="00186A20"/>
    <w:rsid w:val="00186C97"/>
    <w:rsid w:val="00186E9C"/>
    <w:rsid w:val="00187067"/>
    <w:rsid w:val="00187AD8"/>
    <w:rsid w:val="00187B2B"/>
    <w:rsid w:val="00187BB5"/>
    <w:rsid w:val="0018C30D"/>
    <w:rsid w:val="0019008C"/>
    <w:rsid w:val="001907C0"/>
    <w:rsid w:val="00190A57"/>
    <w:rsid w:val="00190B02"/>
    <w:rsid w:val="00190C37"/>
    <w:rsid w:val="00191397"/>
    <w:rsid w:val="0019181C"/>
    <w:rsid w:val="001919EF"/>
    <w:rsid w:val="00191A66"/>
    <w:rsid w:val="00191A8E"/>
    <w:rsid w:val="00191A9A"/>
    <w:rsid w:val="00191E1E"/>
    <w:rsid w:val="00191F56"/>
    <w:rsid w:val="00191F7E"/>
    <w:rsid w:val="00192184"/>
    <w:rsid w:val="0019289B"/>
    <w:rsid w:val="00192A5B"/>
    <w:rsid w:val="001930E4"/>
    <w:rsid w:val="001935BF"/>
    <w:rsid w:val="001936F0"/>
    <w:rsid w:val="0019394E"/>
    <w:rsid w:val="00193E01"/>
    <w:rsid w:val="00193E36"/>
    <w:rsid w:val="001941CE"/>
    <w:rsid w:val="00194A8D"/>
    <w:rsid w:val="00194C65"/>
    <w:rsid w:val="00194E10"/>
    <w:rsid w:val="00195354"/>
    <w:rsid w:val="00195355"/>
    <w:rsid w:val="00195651"/>
    <w:rsid w:val="00195CB2"/>
    <w:rsid w:val="001960EC"/>
    <w:rsid w:val="00196144"/>
    <w:rsid w:val="00196A25"/>
    <w:rsid w:val="00196E57"/>
    <w:rsid w:val="00197200"/>
    <w:rsid w:val="001978B2"/>
    <w:rsid w:val="00197F5B"/>
    <w:rsid w:val="00197F64"/>
    <w:rsid w:val="00197F94"/>
    <w:rsid w:val="001A00CC"/>
    <w:rsid w:val="001A025C"/>
    <w:rsid w:val="001A08AA"/>
    <w:rsid w:val="001A0A44"/>
    <w:rsid w:val="001A0D1C"/>
    <w:rsid w:val="001A10C8"/>
    <w:rsid w:val="001A1A30"/>
    <w:rsid w:val="001A1ACA"/>
    <w:rsid w:val="001A20C4"/>
    <w:rsid w:val="001A217C"/>
    <w:rsid w:val="001A25EE"/>
    <w:rsid w:val="001A277D"/>
    <w:rsid w:val="001A2D29"/>
    <w:rsid w:val="001A30E3"/>
    <w:rsid w:val="001A30F2"/>
    <w:rsid w:val="001A32A4"/>
    <w:rsid w:val="001A382D"/>
    <w:rsid w:val="001A3E30"/>
    <w:rsid w:val="001A3E6F"/>
    <w:rsid w:val="001A40D1"/>
    <w:rsid w:val="001A40DD"/>
    <w:rsid w:val="001A4140"/>
    <w:rsid w:val="001A4477"/>
    <w:rsid w:val="001A4539"/>
    <w:rsid w:val="001A5082"/>
    <w:rsid w:val="001A5D1E"/>
    <w:rsid w:val="001A6117"/>
    <w:rsid w:val="001A613D"/>
    <w:rsid w:val="001A670E"/>
    <w:rsid w:val="001A74C1"/>
    <w:rsid w:val="001A7523"/>
    <w:rsid w:val="001A7ACF"/>
    <w:rsid w:val="001A7EE4"/>
    <w:rsid w:val="001B037A"/>
    <w:rsid w:val="001B0BAA"/>
    <w:rsid w:val="001B0FD0"/>
    <w:rsid w:val="001B1054"/>
    <w:rsid w:val="001B1269"/>
    <w:rsid w:val="001B1281"/>
    <w:rsid w:val="001B1514"/>
    <w:rsid w:val="001B1CE0"/>
    <w:rsid w:val="001B1D3B"/>
    <w:rsid w:val="001B2503"/>
    <w:rsid w:val="001B3395"/>
    <w:rsid w:val="001B33E8"/>
    <w:rsid w:val="001B35C9"/>
    <w:rsid w:val="001B35E1"/>
    <w:rsid w:val="001B3EB3"/>
    <w:rsid w:val="001B418D"/>
    <w:rsid w:val="001B42DD"/>
    <w:rsid w:val="001B45E6"/>
    <w:rsid w:val="001B4658"/>
    <w:rsid w:val="001B476A"/>
    <w:rsid w:val="001B4AE7"/>
    <w:rsid w:val="001B4B5B"/>
    <w:rsid w:val="001B51BD"/>
    <w:rsid w:val="001B51D3"/>
    <w:rsid w:val="001B5350"/>
    <w:rsid w:val="001B57DA"/>
    <w:rsid w:val="001B58C0"/>
    <w:rsid w:val="001B5CFA"/>
    <w:rsid w:val="001B5DE7"/>
    <w:rsid w:val="001B5EBA"/>
    <w:rsid w:val="001B6093"/>
    <w:rsid w:val="001B60F2"/>
    <w:rsid w:val="001B61B3"/>
    <w:rsid w:val="001B66BB"/>
    <w:rsid w:val="001B6A6D"/>
    <w:rsid w:val="001B6D1E"/>
    <w:rsid w:val="001B6E1E"/>
    <w:rsid w:val="001B6EF2"/>
    <w:rsid w:val="001B70F3"/>
    <w:rsid w:val="001B776D"/>
    <w:rsid w:val="001B7C25"/>
    <w:rsid w:val="001B7E5C"/>
    <w:rsid w:val="001C034D"/>
    <w:rsid w:val="001C03A7"/>
    <w:rsid w:val="001C049A"/>
    <w:rsid w:val="001C065F"/>
    <w:rsid w:val="001C11A0"/>
    <w:rsid w:val="001C11A8"/>
    <w:rsid w:val="001C14AD"/>
    <w:rsid w:val="001C1585"/>
    <w:rsid w:val="001C1C25"/>
    <w:rsid w:val="001C224F"/>
    <w:rsid w:val="001C2365"/>
    <w:rsid w:val="001C2427"/>
    <w:rsid w:val="001C30C3"/>
    <w:rsid w:val="001C3820"/>
    <w:rsid w:val="001C3DA7"/>
    <w:rsid w:val="001C4132"/>
    <w:rsid w:val="001C423A"/>
    <w:rsid w:val="001C4604"/>
    <w:rsid w:val="001C47AE"/>
    <w:rsid w:val="001C4B71"/>
    <w:rsid w:val="001C4E0D"/>
    <w:rsid w:val="001C4E3D"/>
    <w:rsid w:val="001C653F"/>
    <w:rsid w:val="001C661C"/>
    <w:rsid w:val="001C680D"/>
    <w:rsid w:val="001C69F5"/>
    <w:rsid w:val="001C71A3"/>
    <w:rsid w:val="001C725B"/>
    <w:rsid w:val="001C73DD"/>
    <w:rsid w:val="001C74D9"/>
    <w:rsid w:val="001C7EF0"/>
    <w:rsid w:val="001D0CA1"/>
    <w:rsid w:val="001D0D0A"/>
    <w:rsid w:val="001D14EE"/>
    <w:rsid w:val="001D1585"/>
    <w:rsid w:val="001D1E50"/>
    <w:rsid w:val="001D3CA1"/>
    <w:rsid w:val="001D4B8A"/>
    <w:rsid w:val="001D4B9F"/>
    <w:rsid w:val="001D522B"/>
    <w:rsid w:val="001D52D1"/>
    <w:rsid w:val="001D55AD"/>
    <w:rsid w:val="001D5686"/>
    <w:rsid w:val="001D574B"/>
    <w:rsid w:val="001D592F"/>
    <w:rsid w:val="001D5D42"/>
    <w:rsid w:val="001D5E40"/>
    <w:rsid w:val="001D657C"/>
    <w:rsid w:val="001D79C1"/>
    <w:rsid w:val="001D7CDF"/>
    <w:rsid w:val="001E070F"/>
    <w:rsid w:val="001E0771"/>
    <w:rsid w:val="001E07A7"/>
    <w:rsid w:val="001E0929"/>
    <w:rsid w:val="001E0D03"/>
    <w:rsid w:val="001E1825"/>
    <w:rsid w:val="001E1993"/>
    <w:rsid w:val="001E20A0"/>
    <w:rsid w:val="001E2251"/>
    <w:rsid w:val="001E323B"/>
    <w:rsid w:val="001E354A"/>
    <w:rsid w:val="001E3C82"/>
    <w:rsid w:val="001E4008"/>
    <w:rsid w:val="001E41DC"/>
    <w:rsid w:val="001E4E9C"/>
    <w:rsid w:val="001E54E4"/>
    <w:rsid w:val="001E65A3"/>
    <w:rsid w:val="001E66A7"/>
    <w:rsid w:val="001E6AFE"/>
    <w:rsid w:val="001E6FDC"/>
    <w:rsid w:val="001E7586"/>
    <w:rsid w:val="001E75D8"/>
    <w:rsid w:val="001E76C5"/>
    <w:rsid w:val="001E76CE"/>
    <w:rsid w:val="001E7833"/>
    <w:rsid w:val="001E7996"/>
    <w:rsid w:val="001E7C04"/>
    <w:rsid w:val="001F0080"/>
    <w:rsid w:val="001F00E8"/>
    <w:rsid w:val="001F028C"/>
    <w:rsid w:val="001F0683"/>
    <w:rsid w:val="001F0F3C"/>
    <w:rsid w:val="001F123B"/>
    <w:rsid w:val="001F168E"/>
    <w:rsid w:val="001F182C"/>
    <w:rsid w:val="001F1A93"/>
    <w:rsid w:val="001F1E9A"/>
    <w:rsid w:val="001F230B"/>
    <w:rsid w:val="001F23C1"/>
    <w:rsid w:val="001F28BA"/>
    <w:rsid w:val="001F2BA0"/>
    <w:rsid w:val="001F36AC"/>
    <w:rsid w:val="001F36D3"/>
    <w:rsid w:val="001F44BF"/>
    <w:rsid w:val="001F4626"/>
    <w:rsid w:val="001F49F5"/>
    <w:rsid w:val="001F4FA6"/>
    <w:rsid w:val="001F503E"/>
    <w:rsid w:val="001F51EC"/>
    <w:rsid w:val="001F6965"/>
    <w:rsid w:val="001F6C7F"/>
    <w:rsid w:val="001F6CFD"/>
    <w:rsid w:val="001F6EB7"/>
    <w:rsid w:val="001F71C4"/>
    <w:rsid w:val="001F72B5"/>
    <w:rsid w:val="00200215"/>
    <w:rsid w:val="00200508"/>
    <w:rsid w:val="00200C7B"/>
    <w:rsid w:val="00200EE9"/>
    <w:rsid w:val="00201036"/>
    <w:rsid w:val="00201056"/>
    <w:rsid w:val="00201257"/>
    <w:rsid w:val="00201860"/>
    <w:rsid w:val="00201ADD"/>
    <w:rsid w:val="00201EE9"/>
    <w:rsid w:val="00202A4A"/>
    <w:rsid w:val="00202B04"/>
    <w:rsid w:val="00202BBF"/>
    <w:rsid w:val="002032B3"/>
    <w:rsid w:val="00203349"/>
    <w:rsid w:val="002037E7"/>
    <w:rsid w:val="0020389E"/>
    <w:rsid w:val="00203A96"/>
    <w:rsid w:val="00203FF1"/>
    <w:rsid w:val="00204276"/>
    <w:rsid w:val="00204686"/>
    <w:rsid w:val="00204DDC"/>
    <w:rsid w:val="00205068"/>
    <w:rsid w:val="0020514F"/>
    <w:rsid w:val="002058FB"/>
    <w:rsid w:val="00205C7C"/>
    <w:rsid w:val="00205CC2"/>
    <w:rsid w:val="00205E05"/>
    <w:rsid w:val="00205F40"/>
    <w:rsid w:val="002062F3"/>
    <w:rsid w:val="00206528"/>
    <w:rsid w:val="0020660B"/>
    <w:rsid w:val="00206775"/>
    <w:rsid w:val="0020679C"/>
    <w:rsid w:val="00206B08"/>
    <w:rsid w:val="00206B30"/>
    <w:rsid w:val="00206C15"/>
    <w:rsid w:val="00206FC6"/>
    <w:rsid w:val="0020747F"/>
    <w:rsid w:val="00207638"/>
    <w:rsid w:val="002079D5"/>
    <w:rsid w:val="00207AB5"/>
    <w:rsid w:val="00207C89"/>
    <w:rsid w:val="00207DF7"/>
    <w:rsid w:val="00210160"/>
    <w:rsid w:val="002103F1"/>
    <w:rsid w:val="00210B1C"/>
    <w:rsid w:val="00210C8B"/>
    <w:rsid w:val="00211167"/>
    <w:rsid w:val="0021154B"/>
    <w:rsid w:val="002115A3"/>
    <w:rsid w:val="00211780"/>
    <w:rsid w:val="00211AF3"/>
    <w:rsid w:val="00211E35"/>
    <w:rsid w:val="00211FAF"/>
    <w:rsid w:val="0021259C"/>
    <w:rsid w:val="00213C63"/>
    <w:rsid w:val="00213F5D"/>
    <w:rsid w:val="00214294"/>
    <w:rsid w:val="002145F0"/>
    <w:rsid w:val="00214DCC"/>
    <w:rsid w:val="00214E80"/>
    <w:rsid w:val="00214EF7"/>
    <w:rsid w:val="00215744"/>
    <w:rsid w:val="00216DCE"/>
    <w:rsid w:val="00216E85"/>
    <w:rsid w:val="00217B49"/>
    <w:rsid w:val="00220CE6"/>
    <w:rsid w:val="00220FDB"/>
    <w:rsid w:val="0022103A"/>
    <w:rsid w:val="002210AD"/>
    <w:rsid w:val="00221190"/>
    <w:rsid w:val="0022124E"/>
    <w:rsid w:val="00221C5C"/>
    <w:rsid w:val="00221D71"/>
    <w:rsid w:val="00222C87"/>
    <w:rsid w:val="00222D3E"/>
    <w:rsid w:val="00222EA4"/>
    <w:rsid w:val="002231BD"/>
    <w:rsid w:val="002234A5"/>
    <w:rsid w:val="00223D3D"/>
    <w:rsid w:val="002241A7"/>
    <w:rsid w:val="00224235"/>
    <w:rsid w:val="002246E3"/>
    <w:rsid w:val="0022476D"/>
    <w:rsid w:val="002247DC"/>
    <w:rsid w:val="00224856"/>
    <w:rsid w:val="00224860"/>
    <w:rsid w:val="002249C2"/>
    <w:rsid w:val="00224EF7"/>
    <w:rsid w:val="00224F73"/>
    <w:rsid w:val="002250C4"/>
    <w:rsid w:val="002253A6"/>
    <w:rsid w:val="0022545D"/>
    <w:rsid w:val="00225B58"/>
    <w:rsid w:val="00225D1A"/>
    <w:rsid w:val="002260C8"/>
    <w:rsid w:val="002266E2"/>
    <w:rsid w:val="00226E5C"/>
    <w:rsid w:val="002277B0"/>
    <w:rsid w:val="00227922"/>
    <w:rsid w:val="00230070"/>
    <w:rsid w:val="00230A8D"/>
    <w:rsid w:val="00230E19"/>
    <w:rsid w:val="00231916"/>
    <w:rsid w:val="00231A86"/>
    <w:rsid w:val="00231E28"/>
    <w:rsid w:val="00231F15"/>
    <w:rsid w:val="00232571"/>
    <w:rsid w:val="0023324A"/>
    <w:rsid w:val="00233A73"/>
    <w:rsid w:val="00233BE2"/>
    <w:rsid w:val="00233C9C"/>
    <w:rsid w:val="00233CDB"/>
    <w:rsid w:val="00233EC2"/>
    <w:rsid w:val="00234046"/>
    <w:rsid w:val="002342EB"/>
    <w:rsid w:val="00234987"/>
    <w:rsid w:val="00234C78"/>
    <w:rsid w:val="00234FA0"/>
    <w:rsid w:val="002358C3"/>
    <w:rsid w:val="0023631D"/>
    <w:rsid w:val="0023647A"/>
    <w:rsid w:val="002365DD"/>
    <w:rsid w:val="00237506"/>
    <w:rsid w:val="00237779"/>
    <w:rsid w:val="002378A9"/>
    <w:rsid w:val="00237C11"/>
    <w:rsid w:val="00237C94"/>
    <w:rsid w:val="00240472"/>
    <w:rsid w:val="002409D2"/>
    <w:rsid w:val="0024144D"/>
    <w:rsid w:val="00241520"/>
    <w:rsid w:val="00241E51"/>
    <w:rsid w:val="00241F8E"/>
    <w:rsid w:val="00242685"/>
    <w:rsid w:val="00242ED2"/>
    <w:rsid w:val="002436F9"/>
    <w:rsid w:val="0024394C"/>
    <w:rsid w:val="00243F17"/>
    <w:rsid w:val="00244261"/>
    <w:rsid w:val="002442E9"/>
    <w:rsid w:val="0024570A"/>
    <w:rsid w:val="00245719"/>
    <w:rsid w:val="002460D4"/>
    <w:rsid w:val="002462B8"/>
    <w:rsid w:val="00246BC7"/>
    <w:rsid w:val="00246C46"/>
    <w:rsid w:val="002479F4"/>
    <w:rsid w:val="00247BFE"/>
    <w:rsid w:val="00247FAF"/>
    <w:rsid w:val="0025007A"/>
    <w:rsid w:val="00250095"/>
    <w:rsid w:val="002503D8"/>
    <w:rsid w:val="00250541"/>
    <w:rsid w:val="00250C04"/>
    <w:rsid w:val="002518C1"/>
    <w:rsid w:val="002518FE"/>
    <w:rsid w:val="00251B74"/>
    <w:rsid w:val="00251E3E"/>
    <w:rsid w:val="00252119"/>
    <w:rsid w:val="00252A12"/>
    <w:rsid w:val="00252CFD"/>
    <w:rsid w:val="00252E12"/>
    <w:rsid w:val="00252F68"/>
    <w:rsid w:val="00254B37"/>
    <w:rsid w:val="00254BD9"/>
    <w:rsid w:val="00255104"/>
    <w:rsid w:val="002555FB"/>
    <w:rsid w:val="00255848"/>
    <w:rsid w:val="002559FE"/>
    <w:rsid w:val="00255C06"/>
    <w:rsid w:val="00255C1C"/>
    <w:rsid w:val="00255C87"/>
    <w:rsid w:val="00255DC9"/>
    <w:rsid w:val="00255E68"/>
    <w:rsid w:val="00255FF7"/>
    <w:rsid w:val="00256262"/>
    <w:rsid w:val="00256F64"/>
    <w:rsid w:val="0025701C"/>
    <w:rsid w:val="00257377"/>
    <w:rsid w:val="00257B8E"/>
    <w:rsid w:val="00260ABF"/>
    <w:rsid w:val="00260E49"/>
    <w:rsid w:val="002610EE"/>
    <w:rsid w:val="002611B6"/>
    <w:rsid w:val="00261778"/>
    <w:rsid w:val="002618BB"/>
    <w:rsid w:val="00261DAA"/>
    <w:rsid w:val="0026280A"/>
    <w:rsid w:val="00262B91"/>
    <w:rsid w:val="00262B97"/>
    <w:rsid w:val="00262E9F"/>
    <w:rsid w:val="00263466"/>
    <w:rsid w:val="00263798"/>
    <w:rsid w:val="002637E1"/>
    <w:rsid w:val="00263881"/>
    <w:rsid w:val="00264494"/>
    <w:rsid w:val="0026452A"/>
    <w:rsid w:val="00264A4F"/>
    <w:rsid w:val="00264B01"/>
    <w:rsid w:val="00264F11"/>
    <w:rsid w:val="0026514D"/>
    <w:rsid w:val="00265BCC"/>
    <w:rsid w:val="00265DC1"/>
    <w:rsid w:val="00265FAB"/>
    <w:rsid w:val="002660A4"/>
    <w:rsid w:val="00266168"/>
    <w:rsid w:val="002661C9"/>
    <w:rsid w:val="00266CE3"/>
    <w:rsid w:val="00266E13"/>
    <w:rsid w:val="002677E1"/>
    <w:rsid w:val="00267B9A"/>
    <w:rsid w:val="00267E69"/>
    <w:rsid w:val="00267E79"/>
    <w:rsid w:val="002700AD"/>
    <w:rsid w:val="0027013A"/>
    <w:rsid w:val="00270609"/>
    <w:rsid w:val="00270696"/>
    <w:rsid w:val="00270C9C"/>
    <w:rsid w:val="00270D62"/>
    <w:rsid w:val="00271569"/>
    <w:rsid w:val="002719C0"/>
    <w:rsid w:val="00271BC9"/>
    <w:rsid w:val="00271BD2"/>
    <w:rsid w:val="00271D22"/>
    <w:rsid w:val="0027234C"/>
    <w:rsid w:val="00272615"/>
    <w:rsid w:val="00272BAB"/>
    <w:rsid w:val="002731DA"/>
    <w:rsid w:val="00273BB7"/>
    <w:rsid w:val="002742AB"/>
    <w:rsid w:val="002744D4"/>
    <w:rsid w:val="0027472B"/>
    <w:rsid w:val="002749BC"/>
    <w:rsid w:val="00274B19"/>
    <w:rsid w:val="00274CD5"/>
    <w:rsid w:val="00274DDB"/>
    <w:rsid w:val="002756F0"/>
    <w:rsid w:val="00275A9B"/>
    <w:rsid w:val="00275F9E"/>
    <w:rsid w:val="0027625A"/>
    <w:rsid w:val="0027628D"/>
    <w:rsid w:val="0027634B"/>
    <w:rsid w:val="002769F0"/>
    <w:rsid w:val="00276BCE"/>
    <w:rsid w:val="00277075"/>
    <w:rsid w:val="00277C2C"/>
    <w:rsid w:val="00280A53"/>
    <w:rsid w:val="00280B98"/>
    <w:rsid w:val="00280D5D"/>
    <w:rsid w:val="00280E1A"/>
    <w:rsid w:val="00281320"/>
    <w:rsid w:val="0028175A"/>
    <w:rsid w:val="00281AED"/>
    <w:rsid w:val="00281D98"/>
    <w:rsid w:val="00281F1D"/>
    <w:rsid w:val="00282288"/>
    <w:rsid w:val="002826E2"/>
    <w:rsid w:val="00282B77"/>
    <w:rsid w:val="00282C87"/>
    <w:rsid w:val="0028333E"/>
    <w:rsid w:val="002834E3"/>
    <w:rsid w:val="0028371D"/>
    <w:rsid w:val="00284013"/>
    <w:rsid w:val="00284175"/>
    <w:rsid w:val="00284444"/>
    <w:rsid w:val="00284881"/>
    <w:rsid w:val="00284C12"/>
    <w:rsid w:val="00285178"/>
    <w:rsid w:val="0028530E"/>
    <w:rsid w:val="0028556B"/>
    <w:rsid w:val="00285A23"/>
    <w:rsid w:val="00285EC3"/>
    <w:rsid w:val="002861A1"/>
    <w:rsid w:val="00286419"/>
    <w:rsid w:val="00286C36"/>
    <w:rsid w:val="00286D9F"/>
    <w:rsid w:val="00286FFC"/>
    <w:rsid w:val="00287660"/>
    <w:rsid w:val="00287C5A"/>
    <w:rsid w:val="00290293"/>
    <w:rsid w:val="00290395"/>
    <w:rsid w:val="00290876"/>
    <w:rsid w:val="00290C92"/>
    <w:rsid w:val="00290D45"/>
    <w:rsid w:val="002914C3"/>
    <w:rsid w:val="002914D0"/>
    <w:rsid w:val="00291577"/>
    <w:rsid w:val="00291841"/>
    <w:rsid w:val="0029192F"/>
    <w:rsid w:val="00291D77"/>
    <w:rsid w:val="00291D86"/>
    <w:rsid w:val="00292405"/>
    <w:rsid w:val="002925BC"/>
    <w:rsid w:val="00292851"/>
    <w:rsid w:val="00292AF6"/>
    <w:rsid w:val="00292D57"/>
    <w:rsid w:val="00292EAC"/>
    <w:rsid w:val="002930E5"/>
    <w:rsid w:val="0029378E"/>
    <w:rsid w:val="0029413B"/>
    <w:rsid w:val="00294513"/>
    <w:rsid w:val="0029489D"/>
    <w:rsid w:val="00294C01"/>
    <w:rsid w:val="00294EAD"/>
    <w:rsid w:val="002953D1"/>
    <w:rsid w:val="00295CAF"/>
    <w:rsid w:val="00295D55"/>
    <w:rsid w:val="00296310"/>
    <w:rsid w:val="00296844"/>
    <w:rsid w:val="00296EFE"/>
    <w:rsid w:val="002971D0"/>
    <w:rsid w:val="00297F4B"/>
    <w:rsid w:val="002A08F2"/>
    <w:rsid w:val="002A0BE3"/>
    <w:rsid w:val="002A0DA9"/>
    <w:rsid w:val="002A1164"/>
    <w:rsid w:val="002A18B1"/>
    <w:rsid w:val="002A1D7D"/>
    <w:rsid w:val="002A1DC6"/>
    <w:rsid w:val="002A23D8"/>
    <w:rsid w:val="002A26C1"/>
    <w:rsid w:val="002A2A6A"/>
    <w:rsid w:val="002A2D4E"/>
    <w:rsid w:val="002A2F95"/>
    <w:rsid w:val="002A3743"/>
    <w:rsid w:val="002A3DE5"/>
    <w:rsid w:val="002A4691"/>
    <w:rsid w:val="002A480F"/>
    <w:rsid w:val="002A4C5F"/>
    <w:rsid w:val="002A558A"/>
    <w:rsid w:val="002A564F"/>
    <w:rsid w:val="002A5C8A"/>
    <w:rsid w:val="002A640B"/>
    <w:rsid w:val="002A6DC2"/>
    <w:rsid w:val="002A716D"/>
    <w:rsid w:val="002A7382"/>
    <w:rsid w:val="002A7A1E"/>
    <w:rsid w:val="002A7EE5"/>
    <w:rsid w:val="002A7FDA"/>
    <w:rsid w:val="002A7FF8"/>
    <w:rsid w:val="002B01E8"/>
    <w:rsid w:val="002B051B"/>
    <w:rsid w:val="002B203F"/>
    <w:rsid w:val="002B207D"/>
    <w:rsid w:val="002B2291"/>
    <w:rsid w:val="002B276A"/>
    <w:rsid w:val="002B2AB7"/>
    <w:rsid w:val="002B2AB9"/>
    <w:rsid w:val="002B3162"/>
    <w:rsid w:val="002B39E2"/>
    <w:rsid w:val="002B3A36"/>
    <w:rsid w:val="002B3B01"/>
    <w:rsid w:val="002B3C6C"/>
    <w:rsid w:val="002B3E81"/>
    <w:rsid w:val="002B3FA6"/>
    <w:rsid w:val="002B40CD"/>
    <w:rsid w:val="002B415B"/>
    <w:rsid w:val="002B44D1"/>
    <w:rsid w:val="002B4E1C"/>
    <w:rsid w:val="002B504A"/>
    <w:rsid w:val="002B5438"/>
    <w:rsid w:val="002B643E"/>
    <w:rsid w:val="002B66D8"/>
    <w:rsid w:val="002B69E1"/>
    <w:rsid w:val="002B6F9D"/>
    <w:rsid w:val="002B7720"/>
    <w:rsid w:val="002B7DA2"/>
    <w:rsid w:val="002B7FFC"/>
    <w:rsid w:val="002C0028"/>
    <w:rsid w:val="002C0377"/>
    <w:rsid w:val="002C0818"/>
    <w:rsid w:val="002C0999"/>
    <w:rsid w:val="002C100F"/>
    <w:rsid w:val="002C11A6"/>
    <w:rsid w:val="002C122F"/>
    <w:rsid w:val="002C16FB"/>
    <w:rsid w:val="002C18DF"/>
    <w:rsid w:val="002C1963"/>
    <w:rsid w:val="002C2A75"/>
    <w:rsid w:val="002C2D2D"/>
    <w:rsid w:val="002C2F13"/>
    <w:rsid w:val="002C391F"/>
    <w:rsid w:val="002C3CB3"/>
    <w:rsid w:val="002C3F12"/>
    <w:rsid w:val="002C402B"/>
    <w:rsid w:val="002C40A1"/>
    <w:rsid w:val="002C45A9"/>
    <w:rsid w:val="002C4689"/>
    <w:rsid w:val="002C485A"/>
    <w:rsid w:val="002C4DA9"/>
    <w:rsid w:val="002C4E50"/>
    <w:rsid w:val="002C5A04"/>
    <w:rsid w:val="002C5EE3"/>
    <w:rsid w:val="002C611A"/>
    <w:rsid w:val="002C6510"/>
    <w:rsid w:val="002C69D9"/>
    <w:rsid w:val="002C6CD8"/>
    <w:rsid w:val="002C7014"/>
    <w:rsid w:val="002C785C"/>
    <w:rsid w:val="002C788C"/>
    <w:rsid w:val="002C7C57"/>
    <w:rsid w:val="002D01D2"/>
    <w:rsid w:val="002D02E6"/>
    <w:rsid w:val="002D0331"/>
    <w:rsid w:val="002D07FC"/>
    <w:rsid w:val="002D08BE"/>
    <w:rsid w:val="002D08E9"/>
    <w:rsid w:val="002D0EEC"/>
    <w:rsid w:val="002D178B"/>
    <w:rsid w:val="002D1876"/>
    <w:rsid w:val="002D1A34"/>
    <w:rsid w:val="002D2B1B"/>
    <w:rsid w:val="002D2CEF"/>
    <w:rsid w:val="002D41D8"/>
    <w:rsid w:val="002D444A"/>
    <w:rsid w:val="002D460B"/>
    <w:rsid w:val="002D4720"/>
    <w:rsid w:val="002D48F2"/>
    <w:rsid w:val="002D5256"/>
    <w:rsid w:val="002D59F2"/>
    <w:rsid w:val="002D5C07"/>
    <w:rsid w:val="002D5E91"/>
    <w:rsid w:val="002D6653"/>
    <w:rsid w:val="002D68E3"/>
    <w:rsid w:val="002D691B"/>
    <w:rsid w:val="002D6EF4"/>
    <w:rsid w:val="002D7631"/>
    <w:rsid w:val="002E0DD1"/>
    <w:rsid w:val="002E0FB5"/>
    <w:rsid w:val="002E1378"/>
    <w:rsid w:val="002E147B"/>
    <w:rsid w:val="002E19B4"/>
    <w:rsid w:val="002E1D3B"/>
    <w:rsid w:val="002E201C"/>
    <w:rsid w:val="002E2C86"/>
    <w:rsid w:val="002E3286"/>
    <w:rsid w:val="002E347F"/>
    <w:rsid w:val="002E366C"/>
    <w:rsid w:val="002E3A45"/>
    <w:rsid w:val="002E3CEA"/>
    <w:rsid w:val="002E4280"/>
    <w:rsid w:val="002E44D1"/>
    <w:rsid w:val="002E490B"/>
    <w:rsid w:val="002E4D11"/>
    <w:rsid w:val="002E5499"/>
    <w:rsid w:val="002E5710"/>
    <w:rsid w:val="002E57E3"/>
    <w:rsid w:val="002E5A73"/>
    <w:rsid w:val="002E67EC"/>
    <w:rsid w:val="002E699D"/>
    <w:rsid w:val="002E6AB3"/>
    <w:rsid w:val="002E7152"/>
    <w:rsid w:val="002E7544"/>
    <w:rsid w:val="002F07EB"/>
    <w:rsid w:val="002F083B"/>
    <w:rsid w:val="002F0F60"/>
    <w:rsid w:val="002F1C33"/>
    <w:rsid w:val="002F242C"/>
    <w:rsid w:val="002F25D6"/>
    <w:rsid w:val="002F284C"/>
    <w:rsid w:val="002F2928"/>
    <w:rsid w:val="002F2A4A"/>
    <w:rsid w:val="002F2E51"/>
    <w:rsid w:val="002F38D0"/>
    <w:rsid w:val="002F3909"/>
    <w:rsid w:val="002F4709"/>
    <w:rsid w:val="002F471D"/>
    <w:rsid w:val="002F4A9E"/>
    <w:rsid w:val="002F5D35"/>
    <w:rsid w:val="002F66C4"/>
    <w:rsid w:val="002F691E"/>
    <w:rsid w:val="002F6ABB"/>
    <w:rsid w:val="002F6CB1"/>
    <w:rsid w:val="002F6E4A"/>
    <w:rsid w:val="002F7685"/>
    <w:rsid w:val="002F796E"/>
    <w:rsid w:val="002F7A43"/>
    <w:rsid w:val="002F7C40"/>
    <w:rsid w:val="0030031E"/>
    <w:rsid w:val="003006DA"/>
    <w:rsid w:val="00300896"/>
    <w:rsid w:val="003014A1"/>
    <w:rsid w:val="003018E8"/>
    <w:rsid w:val="00301C72"/>
    <w:rsid w:val="0030245A"/>
    <w:rsid w:val="0030278D"/>
    <w:rsid w:val="00302B40"/>
    <w:rsid w:val="00302C2F"/>
    <w:rsid w:val="00302F1C"/>
    <w:rsid w:val="00303221"/>
    <w:rsid w:val="00303A57"/>
    <w:rsid w:val="003040AB"/>
    <w:rsid w:val="0030445E"/>
    <w:rsid w:val="00304F72"/>
    <w:rsid w:val="003053CE"/>
    <w:rsid w:val="0030557E"/>
    <w:rsid w:val="003058B2"/>
    <w:rsid w:val="003063D1"/>
    <w:rsid w:val="00306701"/>
    <w:rsid w:val="003068DA"/>
    <w:rsid w:val="0030699B"/>
    <w:rsid w:val="003076CA"/>
    <w:rsid w:val="0030779C"/>
    <w:rsid w:val="0030779E"/>
    <w:rsid w:val="00307B1C"/>
    <w:rsid w:val="00307F68"/>
    <w:rsid w:val="00310591"/>
    <w:rsid w:val="00310666"/>
    <w:rsid w:val="00310E56"/>
    <w:rsid w:val="00311A7F"/>
    <w:rsid w:val="00312193"/>
    <w:rsid w:val="00312219"/>
    <w:rsid w:val="00312351"/>
    <w:rsid w:val="003124F6"/>
    <w:rsid w:val="003126E5"/>
    <w:rsid w:val="003128C3"/>
    <w:rsid w:val="0031314A"/>
    <w:rsid w:val="003143C6"/>
    <w:rsid w:val="0031464B"/>
    <w:rsid w:val="00314B1F"/>
    <w:rsid w:val="00314E81"/>
    <w:rsid w:val="003150A2"/>
    <w:rsid w:val="00315294"/>
    <w:rsid w:val="00315661"/>
    <w:rsid w:val="003162F6"/>
    <w:rsid w:val="003167C1"/>
    <w:rsid w:val="003169E4"/>
    <w:rsid w:val="00316B47"/>
    <w:rsid w:val="00316CF0"/>
    <w:rsid w:val="0031765C"/>
    <w:rsid w:val="00320051"/>
    <w:rsid w:val="003205AE"/>
    <w:rsid w:val="00320D89"/>
    <w:rsid w:val="00320FE2"/>
    <w:rsid w:val="00321761"/>
    <w:rsid w:val="00321D4F"/>
    <w:rsid w:val="003220D1"/>
    <w:rsid w:val="003221AA"/>
    <w:rsid w:val="00322689"/>
    <w:rsid w:val="0032278C"/>
    <w:rsid w:val="003227CA"/>
    <w:rsid w:val="00322B7F"/>
    <w:rsid w:val="00322F17"/>
    <w:rsid w:val="003233A1"/>
    <w:rsid w:val="003233C4"/>
    <w:rsid w:val="003235AD"/>
    <w:rsid w:val="003237CD"/>
    <w:rsid w:val="00323A76"/>
    <w:rsid w:val="00323CB0"/>
    <w:rsid w:val="00323D94"/>
    <w:rsid w:val="00324423"/>
    <w:rsid w:val="003249FD"/>
    <w:rsid w:val="00324C59"/>
    <w:rsid w:val="00325215"/>
    <w:rsid w:val="00325650"/>
    <w:rsid w:val="00325BD0"/>
    <w:rsid w:val="00325EB3"/>
    <w:rsid w:val="003264CD"/>
    <w:rsid w:val="00326640"/>
    <w:rsid w:val="00326801"/>
    <w:rsid w:val="0032753D"/>
    <w:rsid w:val="00327A5F"/>
    <w:rsid w:val="00327FA7"/>
    <w:rsid w:val="00330A96"/>
    <w:rsid w:val="003311B7"/>
    <w:rsid w:val="00331230"/>
    <w:rsid w:val="00331628"/>
    <w:rsid w:val="00331774"/>
    <w:rsid w:val="0033178C"/>
    <w:rsid w:val="00331AEC"/>
    <w:rsid w:val="00331BC1"/>
    <w:rsid w:val="00331CD4"/>
    <w:rsid w:val="00332227"/>
    <w:rsid w:val="00332269"/>
    <w:rsid w:val="0033228F"/>
    <w:rsid w:val="00332E14"/>
    <w:rsid w:val="003330F3"/>
    <w:rsid w:val="003341A1"/>
    <w:rsid w:val="0033426D"/>
    <w:rsid w:val="003343BC"/>
    <w:rsid w:val="00334464"/>
    <w:rsid w:val="003346E7"/>
    <w:rsid w:val="00336167"/>
    <w:rsid w:val="0033624D"/>
    <w:rsid w:val="00336A18"/>
    <w:rsid w:val="00336AFF"/>
    <w:rsid w:val="00336E8E"/>
    <w:rsid w:val="00336ECC"/>
    <w:rsid w:val="0033770B"/>
    <w:rsid w:val="00337B60"/>
    <w:rsid w:val="00340012"/>
    <w:rsid w:val="0034046A"/>
    <w:rsid w:val="00340B30"/>
    <w:rsid w:val="003415FA"/>
    <w:rsid w:val="0034289A"/>
    <w:rsid w:val="003429C6"/>
    <w:rsid w:val="00342A7C"/>
    <w:rsid w:val="00342DC0"/>
    <w:rsid w:val="0034366C"/>
    <w:rsid w:val="00343D23"/>
    <w:rsid w:val="00343D4D"/>
    <w:rsid w:val="0034431F"/>
    <w:rsid w:val="00344602"/>
    <w:rsid w:val="00344A9A"/>
    <w:rsid w:val="00344C23"/>
    <w:rsid w:val="003457C6"/>
    <w:rsid w:val="0034595F"/>
    <w:rsid w:val="00345C91"/>
    <w:rsid w:val="00346A99"/>
    <w:rsid w:val="00346AA8"/>
    <w:rsid w:val="00346C53"/>
    <w:rsid w:val="00346DAE"/>
    <w:rsid w:val="0034702C"/>
    <w:rsid w:val="00347046"/>
    <w:rsid w:val="0034773F"/>
    <w:rsid w:val="00347BEF"/>
    <w:rsid w:val="00347C09"/>
    <w:rsid w:val="00347DBC"/>
    <w:rsid w:val="00347DED"/>
    <w:rsid w:val="003500E0"/>
    <w:rsid w:val="00350324"/>
    <w:rsid w:val="003505AE"/>
    <w:rsid w:val="003509E1"/>
    <w:rsid w:val="00350BE6"/>
    <w:rsid w:val="00350C71"/>
    <w:rsid w:val="003511B4"/>
    <w:rsid w:val="0035150E"/>
    <w:rsid w:val="00351A6E"/>
    <w:rsid w:val="0035247D"/>
    <w:rsid w:val="0035299F"/>
    <w:rsid w:val="003529F6"/>
    <w:rsid w:val="00352D53"/>
    <w:rsid w:val="00353010"/>
    <w:rsid w:val="003530B2"/>
    <w:rsid w:val="00353225"/>
    <w:rsid w:val="0035338F"/>
    <w:rsid w:val="003533DD"/>
    <w:rsid w:val="003534D1"/>
    <w:rsid w:val="00353B51"/>
    <w:rsid w:val="00353D39"/>
    <w:rsid w:val="00354061"/>
    <w:rsid w:val="00354083"/>
    <w:rsid w:val="00354685"/>
    <w:rsid w:val="003547C5"/>
    <w:rsid w:val="00354B24"/>
    <w:rsid w:val="00354C69"/>
    <w:rsid w:val="00354FB4"/>
    <w:rsid w:val="003556AF"/>
    <w:rsid w:val="0035574C"/>
    <w:rsid w:val="0035629E"/>
    <w:rsid w:val="0035656E"/>
    <w:rsid w:val="003568FA"/>
    <w:rsid w:val="00356C1C"/>
    <w:rsid w:val="00356ED2"/>
    <w:rsid w:val="00357056"/>
    <w:rsid w:val="00357457"/>
    <w:rsid w:val="00357688"/>
    <w:rsid w:val="00357737"/>
    <w:rsid w:val="003577D6"/>
    <w:rsid w:val="00357867"/>
    <w:rsid w:val="00357920"/>
    <w:rsid w:val="00357E88"/>
    <w:rsid w:val="00360157"/>
    <w:rsid w:val="00360576"/>
    <w:rsid w:val="00361028"/>
    <w:rsid w:val="00361264"/>
    <w:rsid w:val="00361450"/>
    <w:rsid w:val="00361A73"/>
    <w:rsid w:val="00361C2C"/>
    <w:rsid w:val="00361CC2"/>
    <w:rsid w:val="00361E62"/>
    <w:rsid w:val="0036255D"/>
    <w:rsid w:val="0036276F"/>
    <w:rsid w:val="0036290F"/>
    <w:rsid w:val="00362C48"/>
    <w:rsid w:val="00362D8E"/>
    <w:rsid w:val="00362E0B"/>
    <w:rsid w:val="00363860"/>
    <w:rsid w:val="00363976"/>
    <w:rsid w:val="00363EC3"/>
    <w:rsid w:val="00364240"/>
    <w:rsid w:val="00364741"/>
    <w:rsid w:val="003648C7"/>
    <w:rsid w:val="003652EF"/>
    <w:rsid w:val="003657EE"/>
    <w:rsid w:val="00365949"/>
    <w:rsid w:val="003659D9"/>
    <w:rsid w:val="00365ED7"/>
    <w:rsid w:val="00366056"/>
    <w:rsid w:val="00366152"/>
    <w:rsid w:val="0036644C"/>
    <w:rsid w:val="00366E8E"/>
    <w:rsid w:val="00367449"/>
    <w:rsid w:val="00367946"/>
    <w:rsid w:val="003703FE"/>
    <w:rsid w:val="00370A5D"/>
    <w:rsid w:val="00370D44"/>
    <w:rsid w:val="003710AC"/>
    <w:rsid w:val="00371156"/>
    <w:rsid w:val="00371831"/>
    <w:rsid w:val="0037191E"/>
    <w:rsid w:val="00371D56"/>
    <w:rsid w:val="00372757"/>
    <w:rsid w:val="0037290B"/>
    <w:rsid w:val="00372E57"/>
    <w:rsid w:val="0037356B"/>
    <w:rsid w:val="00373841"/>
    <w:rsid w:val="0037424E"/>
    <w:rsid w:val="0037431C"/>
    <w:rsid w:val="0037478E"/>
    <w:rsid w:val="00374909"/>
    <w:rsid w:val="0037490A"/>
    <w:rsid w:val="00374AA6"/>
    <w:rsid w:val="00374FC5"/>
    <w:rsid w:val="00375734"/>
    <w:rsid w:val="003759BA"/>
    <w:rsid w:val="00375FC6"/>
    <w:rsid w:val="00376190"/>
    <w:rsid w:val="00376342"/>
    <w:rsid w:val="00376811"/>
    <w:rsid w:val="003768FF"/>
    <w:rsid w:val="00376AD8"/>
    <w:rsid w:val="00376ECC"/>
    <w:rsid w:val="003774B0"/>
    <w:rsid w:val="0037776D"/>
    <w:rsid w:val="00377ACC"/>
    <w:rsid w:val="00380298"/>
    <w:rsid w:val="00380A7F"/>
    <w:rsid w:val="00380AC1"/>
    <w:rsid w:val="00380D8F"/>
    <w:rsid w:val="00381A85"/>
    <w:rsid w:val="00381F7E"/>
    <w:rsid w:val="00382214"/>
    <w:rsid w:val="003824DD"/>
    <w:rsid w:val="00382796"/>
    <w:rsid w:val="0038286C"/>
    <w:rsid w:val="00382C96"/>
    <w:rsid w:val="0038302F"/>
    <w:rsid w:val="0038316B"/>
    <w:rsid w:val="00383246"/>
    <w:rsid w:val="00383325"/>
    <w:rsid w:val="0038389B"/>
    <w:rsid w:val="00383AE2"/>
    <w:rsid w:val="00383C01"/>
    <w:rsid w:val="00383EF0"/>
    <w:rsid w:val="00384A89"/>
    <w:rsid w:val="00384F4D"/>
    <w:rsid w:val="00385D92"/>
    <w:rsid w:val="00385F97"/>
    <w:rsid w:val="00385FC9"/>
    <w:rsid w:val="00386BED"/>
    <w:rsid w:val="00387069"/>
    <w:rsid w:val="00387411"/>
    <w:rsid w:val="00387A6A"/>
    <w:rsid w:val="00387A8A"/>
    <w:rsid w:val="00390624"/>
    <w:rsid w:val="003906B1"/>
    <w:rsid w:val="00391452"/>
    <w:rsid w:val="0039148A"/>
    <w:rsid w:val="0039156C"/>
    <w:rsid w:val="003921AF"/>
    <w:rsid w:val="003922AF"/>
    <w:rsid w:val="003927C8"/>
    <w:rsid w:val="003927F4"/>
    <w:rsid w:val="00392916"/>
    <w:rsid w:val="003929B7"/>
    <w:rsid w:val="00392BD7"/>
    <w:rsid w:val="003930ED"/>
    <w:rsid w:val="0039330E"/>
    <w:rsid w:val="0039376D"/>
    <w:rsid w:val="00393789"/>
    <w:rsid w:val="003938B9"/>
    <w:rsid w:val="003938ED"/>
    <w:rsid w:val="00393972"/>
    <w:rsid w:val="00393C9A"/>
    <w:rsid w:val="00393CA9"/>
    <w:rsid w:val="00393D40"/>
    <w:rsid w:val="00393D5E"/>
    <w:rsid w:val="00393D9B"/>
    <w:rsid w:val="00394203"/>
    <w:rsid w:val="00394862"/>
    <w:rsid w:val="003949EC"/>
    <w:rsid w:val="00394F2A"/>
    <w:rsid w:val="003952C0"/>
    <w:rsid w:val="00395BBB"/>
    <w:rsid w:val="00395C35"/>
    <w:rsid w:val="00395D04"/>
    <w:rsid w:val="003961C1"/>
    <w:rsid w:val="003967AF"/>
    <w:rsid w:val="00396808"/>
    <w:rsid w:val="00396C9E"/>
    <w:rsid w:val="003972C2"/>
    <w:rsid w:val="00397382"/>
    <w:rsid w:val="003A0A59"/>
    <w:rsid w:val="003A0C92"/>
    <w:rsid w:val="003A1366"/>
    <w:rsid w:val="003A20C8"/>
    <w:rsid w:val="003A20DE"/>
    <w:rsid w:val="003A2311"/>
    <w:rsid w:val="003A24AA"/>
    <w:rsid w:val="003A30C2"/>
    <w:rsid w:val="003A3153"/>
    <w:rsid w:val="003A3693"/>
    <w:rsid w:val="003A3A9F"/>
    <w:rsid w:val="003A4606"/>
    <w:rsid w:val="003A481F"/>
    <w:rsid w:val="003A53E4"/>
    <w:rsid w:val="003A546C"/>
    <w:rsid w:val="003A6161"/>
    <w:rsid w:val="003A61DE"/>
    <w:rsid w:val="003A6436"/>
    <w:rsid w:val="003A6E6C"/>
    <w:rsid w:val="003A716E"/>
    <w:rsid w:val="003A7657"/>
    <w:rsid w:val="003A7CB5"/>
    <w:rsid w:val="003B0AF6"/>
    <w:rsid w:val="003B1638"/>
    <w:rsid w:val="003B1754"/>
    <w:rsid w:val="003B177A"/>
    <w:rsid w:val="003B177B"/>
    <w:rsid w:val="003B1A79"/>
    <w:rsid w:val="003B1AC4"/>
    <w:rsid w:val="003B1C6F"/>
    <w:rsid w:val="003B1CD1"/>
    <w:rsid w:val="003B1F48"/>
    <w:rsid w:val="003B22D8"/>
    <w:rsid w:val="003B239C"/>
    <w:rsid w:val="003B2634"/>
    <w:rsid w:val="003B298E"/>
    <w:rsid w:val="003B29A4"/>
    <w:rsid w:val="003B2DAE"/>
    <w:rsid w:val="003B35CD"/>
    <w:rsid w:val="003B3675"/>
    <w:rsid w:val="003B3697"/>
    <w:rsid w:val="003B3CB9"/>
    <w:rsid w:val="003B3E59"/>
    <w:rsid w:val="003B3FA5"/>
    <w:rsid w:val="003B473B"/>
    <w:rsid w:val="003B4E82"/>
    <w:rsid w:val="003B527D"/>
    <w:rsid w:val="003B5298"/>
    <w:rsid w:val="003B5B0E"/>
    <w:rsid w:val="003B5D9E"/>
    <w:rsid w:val="003B5E97"/>
    <w:rsid w:val="003B660F"/>
    <w:rsid w:val="003B6721"/>
    <w:rsid w:val="003B6724"/>
    <w:rsid w:val="003B6B73"/>
    <w:rsid w:val="003B6FB9"/>
    <w:rsid w:val="003B7082"/>
    <w:rsid w:val="003B7579"/>
    <w:rsid w:val="003C01D2"/>
    <w:rsid w:val="003C021E"/>
    <w:rsid w:val="003C04F1"/>
    <w:rsid w:val="003C080F"/>
    <w:rsid w:val="003C15B5"/>
    <w:rsid w:val="003C197A"/>
    <w:rsid w:val="003C1AAB"/>
    <w:rsid w:val="003C1DEC"/>
    <w:rsid w:val="003C2138"/>
    <w:rsid w:val="003C2358"/>
    <w:rsid w:val="003C29C4"/>
    <w:rsid w:val="003C2BFE"/>
    <w:rsid w:val="003C31E3"/>
    <w:rsid w:val="003C36B6"/>
    <w:rsid w:val="003C43A8"/>
    <w:rsid w:val="003C4499"/>
    <w:rsid w:val="003C4AC4"/>
    <w:rsid w:val="003C4E85"/>
    <w:rsid w:val="003C4E87"/>
    <w:rsid w:val="003C51EF"/>
    <w:rsid w:val="003C55E4"/>
    <w:rsid w:val="003C5687"/>
    <w:rsid w:val="003C5962"/>
    <w:rsid w:val="003C5EAE"/>
    <w:rsid w:val="003C65DB"/>
    <w:rsid w:val="003C6673"/>
    <w:rsid w:val="003C6B16"/>
    <w:rsid w:val="003C76C5"/>
    <w:rsid w:val="003C7964"/>
    <w:rsid w:val="003D0072"/>
    <w:rsid w:val="003D02A4"/>
    <w:rsid w:val="003D0720"/>
    <w:rsid w:val="003D0C26"/>
    <w:rsid w:val="003D0EBE"/>
    <w:rsid w:val="003D1323"/>
    <w:rsid w:val="003D179C"/>
    <w:rsid w:val="003D1911"/>
    <w:rsid w:val="003D1941"/>
    <w:rsid w:val="003D2618"/>
    <w:rsid w:val="003D2B2A"/>
    <w:rsid w:val="003D2BF7"/>
    <w:rsid w:val="003D3296"/>
    <w:rsid w:val="003D39FC"/>
    <w:rsid w:val="003D3ACC"/>
    <w:rsid w:val="003D3BF7"/>
    <w:rsid w:val="003D3E4D"/>
    <w:rsid w:val="003D4202"/>
    <w:rsid w:val="003D454B"/>
    <w:rsid w:val="003D4654"/>
    <w:rsid w:val="003D46BE"/>
    <w:rsid w:val="003D4B9A"/>
    <w:rsid w:val="003D4D83"/>
    <w:rsid w:val="003D5105"/>
    <w:rsid w:val="003D55CE"/>
    <w:rsid w:val="003D5747"/>
    <w:rsid w:val="003D58D1"/>
    <w:rsid w:val="003D5A52"/>
    <w:rsid w:val="003D5DBC"/>
    <w:rsid w:val="003D5E49"/>
    <w:rsid w:val="003D68EB"/>
    <w:rsid w:val="003D6DBC"/>
    <w:rsid w:val="003D7085"/>
    <w:rsid w:val="003D76AA"/>
    <w:rsid w:val="003D7A0B"/>
    <w:rsid w:val="003D7BD3"/>
    <w:rsid w:val="003E047B"/>
    <w:rsid w:val="003E04B4"/>
    <w:rsid w:val="003E07DE"/>
    <w:rsid w:val="003E0D41"/>
    <w:rsid w:val="003E0E77"/>
    <w:rsid w:val="003E121F"/>
    <w:rsid w:val="003E1269"/>
    <w:rsid w:val="003E154A"/>
    <w:rsid w:val="003E16F2"/>
    <w:rsid w:val="003E1968"/>
    <w:rsid w:val="003E1A97"/>
    <w:rsid w:val="003E1E97"/>
    <w:rsid w:val="003E226E"/>
    <w:rsid w:val="003E3473"/>
    <w:rsid w:val="003E373D"/>
    <w:rsid w:val="003E3AA7"/>
    <w:rsid w:val="003E3CCD"/>
    <w:rsid w:val="003E3F79"/>
    <w:rsid w:val="003E4B0C"/>
    <w:rsid w:val="003E4EF6"/>
    <w:rsid w:val="003E4FAC"/>
    <w:rsid w:val="003E508F"/>
    <w:rsid w:val="003E52A4"/>
    <w:rsid w:val="003E56D6"/>
    <w:rsid w:val="003E59D6"/>
    <w:rsid w:val="003E5A47"/>
    <w:rsid w:val="003E600F"/>
    <w:rsid w:val="003E62EE"/>
    <w:rsid w:val="003E63EA"/>
    <w:rsid w:val="003E6434"/>
    <w:rsid w:val="003E693B"/>
    <w:rsid w:val="003E76EE"/>
    <w:rsid w:val="003E7AD5"/>
    <w:rsid w:val="003E7C8E"/>
    <w:rsid w:val="003E7DA5"/>
    <w:rsid w:val="003E7FD7"/>
    <w:rsid w:val="003F0AAE"/>
    <w:rsid w:val="003F0D90"/>
    <w:rsid w:val="003F1059"/>
    <w:rsid w:val="003F1309"/>
    <w:rsid w:val="003F1446"/>
    <w:rsid w:val="003F19CC"/>
    <w:rsid w:val="003F21E7"/>
    <w:rsid w:val="003F2344"/>
    <w:rsid w:val="003F270A"/>
    <w:rsid w:val="003F2D3B"/>
    <w:rsid w:val="003F35E4"/>
    <w:rsid w:val="003F377B"/>
    <w:rsid w:val="003F43B8"/>
    <w:rsid w:val="003F4586"/>
    <w:rsid w:val="003F512A"/>
    <w:rsid w:val="003F5BB3"/>
    <w:rsid w:val="003F6070"/>
    <w:rsid w:val="003F61DE"/>
    <w:rsid w:val="003F62A0"/>
    <w:rsid w:val="003F6768"/>
    <w:rsid w:val="003F6B3D"/>
    <w:rsid w:val="003F7382"/>
    <w:rsid w:val="003F73F1"/>
    <w:rsid w:val="003F775E"/>
    <w:rsid w:val="003F7827"/>
    <w:rsid w:val="003F7992"/>
    <w:rsid w:val="004007DF"/>
    <w:rsid w:val="00400A55"/>
    <w:rsid w:val="00400A69"/>
    <w:rsid w:val="00400E99"/>
    <w:rsid w:val="00400F39"/>
    <w:rsid w:val="00401217"/>
    <w:rsid w:val="004014A3"/>
    <w:rsid w:val="00401710"/>
    <w:rsid w:val="00401EF0"/>
    <w:rsid w:val="00402345"/>
    <w:rsid w:val="004025EB"/>
    <w:rsid w:val="0040283A"/>
    <w:rsid w:val="00402866"/>
    <w:rsid w:val="00402931"/>
    <w:rsid w:val="0040306F"/>
    <w:rsid w:val="00403096"/>
    <w:rsid w:val="004034BB"/>
    <w:rsid w:val="004037A9"/>
    <w:rsid w:val="00403C20"/>
    <w:rsid w:val="00403DE9"/>
    <w:rsid w:val="00404EFC"/>
    <w:rsid w:val="00405891"/>
    <w:rsid w:val="00405B48"/>
    <w:rsid w:val="00405D55"/>
    <w:rsid w:val="0040603E"/>
    <w:rsid w:val="004064BC"/>
    <w:rsid w:val="00406AD3"/>
    <w:rsid w:val="00406D59"/>
    <w:rsid w:val="004078B2"/>
    <w:rsid w:val="00407ED5"/>
    <w:rsid w:val="0041003C"/>
    <w:rsid w:val="0041061A"/>
    <w:rsid w:val="00410691"/>
    <w:rsid w:val="00410827"/>
    <w:rsid w:val="00410A90"/>
    <w:rsid w:val="00410E28"/>
    <w:rsid w:val="00411110"/>
    <w:rsid w:val="0041163E"/>
    <w:rsid w:val="004118C5"/>
    <w:rsid w:val="00411B26"/>
    <w:rsid w:val="00411EA4"/>
    <w:rsid w:val="004121D0"/>
    <w:rsid w:val="00412238"/>
    <w:rsid w:val="0041234A"/>
    <w:rsid w:val="00412FA4"/>
    <w:rsid w:val="004133EC"/>
    <w:rsid w:val="0041356C"/>
    <w:rsid w:val="004136E1"/>
    <w:rsid w:val="00413C6D"/>
    <w:rsid w:val="004145F1"/>
    <w:rsid w:val="00414675"/>
    <w:rsid w:val="0041483F"/>
    <w:rsid w:val="00414860"/>
    <w:rsid w:val="00414C5F"/>
    <w:rsid w:val="00414EA0"/>
    <w:rsid w:val="00415345"/>
    <w:rsid w:val="00415730"/>
    <w:rsid w:val="0041663F"/>
    <w:rsid w:val="004167AC"/>
    <w:rsid w:val="00416CFB"/>
    <w:rsid w:val="00416F2D"/>
    <w:rsid w:val="004173CC"/>
    <w:rsid w:val="0041751D"/>
    <w:rsid w:val="00417DBD"/>
    <w:rsid w:val="0042015C"/>
    <w:rsid w:val="004204DB"/>
    <w:rsid w:val="00420B06"/>
    <w:rsid w:val="00421390"/>
    <w:rsid w:val="0042141A"/>
    <w:rsid w:val="0042226B"/>
    <w:rsid w:val="004234E5"/>
    <w:rsid w:val="00423920"/>
    <w:rsid w:val="0042397E"/>
    <w:rsid w:val="004239E5"/>
    <w:rsid w:val="00423F89"/>
    <w:rsid w:val="004245DF"/>
    <w:rsid w:val="00424782"/>
    <w:rsid w:val="00424AB1"/>
    <w:rsid w:val="004252F6"/>
    <w:rsid w:val="00425703"/>
    <w:rsid w:val="00425901"/>
    <w:rsid w:val="00425C61"/>
    <w:rsid w:val="00425DA3"/>
    <w:rsid w:val="00425EC9"/>
    <w:rsid w:val="004261FF"/>
    <w:rsid w:val="004268EA"/>
    <w:rsid w:val="00426A72"/>
    <w:rsid w:val="00426D89"/>
    <w:rsid w:val="0042768D"/>
    <w:rsid w:val="004276CB"/>
    <w:rsid w:val="00427C67"/>
    <w:rsid w:val="004302A5"/>
    <w:rsid w:val="004302AC"/>
    <w:rsid w:val="004308F0"/>
    <w:rsid w:val="00430958"/>
    <w:rsid w:val="004310D4"/>
    <w:rsid w:val="0043259F"/>
    <w:rsid w:val="00433207"/>
    <w:rsid w:val="004333B5"/>
    <w:rsid w:val="0043356E"/>
    <w:rsid w:val="00433861"/>
    <w:rsid w:val="00433A76"/>
    <w:rsid w:val="00433AF5"/>
    <w:rsid w:val="00433B61"/>
    <w:rsid w:val="00433DBE"/>
    <w:rsid w:val="004345DC"/>
    <w:rsid w:val="0043467B"/>
    <w:rsid w:val="00434727"/>
    <w:rsid w:val="004347A7"/>
    <w:rsid w:val="00434B4E"/>
    <w:rsid w:val="00434BEA"/>
    <w:rsid w:val="00434C15"/>
    <w:rsid w:val="00434EF4"/>
    <w:rsid w:val="00435CDD"/>
    <w:rsid w:val="00436084"/>
    <w:rsid w:val="00436339"/>
    <w:rsid w:val="0043636D"/>
    <w:rsid w:val="004363E3"/>
    <w:rsid w:val="00436E1E"/>
    <w:rsid w:val="00436F51"/>
    <w:rsid w:val="00440212"/>
    <w:rsid w:val="004403AA"/>
    <w:rsid w:val="004403CE"/>
    <w:rsid w:val="0044085A"/>
    <w:rsid w:val="00441352"/>
    <w:rsid w:val="0044195C"/>
    <w:rsid w:val="00441EC5"/>
    <w:rsid w:val="004427C2"/>
    <w:rsid w:val="004431D4"/>
    <w:rsid w:val="004434B8"/>
    <w:rsid w:val="004434EF"/>
    <w:rsid w:val="00443E8A"/>
    <w:rsid w:val="00444052"/>
    <w:rsid w:val="00444523"/>
    <w:rsid w:val="00444B4A"/>
    <w:rsid w:val="00444C8F"/>
    <w:rsid w:val="00445491"/>
    <w:rsid w:val="004454F9"/>
    <w:rsid w:val="004456AD"/>
    <w:rsid w:val="00445DD5"/>
    <w:rsid w:val="004460FD"/>
    <w:rsid w:val="00446367"/>
    <w:rsid w:val="0044723B"/>
    <w:rsid w:val="0045055B"/>
    <w:rsid w:val="00450A27"/>
    <w:rsid w:val="00450B0B"/>
    <w:rsid w:val="00450B4D"/>
    <w:rsid w:val="00450D56"/>
    <w:rsid w:val="0045101F"/>
    <w:rsid w:val="00451319"/>
    <w:rsid w:val="00451462"/>
    <w:rsid w:val="00451EE1"/>
    <w:rsid w:val="00452484"/>
    <w:rsid w:val="00452708"/>
    <w:rsid w:val="0045287B"/>
    <w:rsid w:val="00452997"/>
    <w:rsid w:val="00452C64"/>
    <w:rsid w:val="004530A5"/>
    <w:rsid w:val="004536AA"/>
    <w:rsid w:val="0045385F"/>
    <w:rsid w:val="00453A4C"/>
    <w:rsid w:val="00453E6A"/>
    <w:rsid w:val="00453EDD"/>
    <w:rsid w:val="004541BA"/>
    <w:rsid w:val="004543DB"/>
    <w:rsid w:val="00454486"/>
    <w:rsid w:val="00454535"/>
    <w:rsid w:val="00454553"/>
    <w:rsid w:val="00454A43"/>
    <w:rsid w:val="00454D1C"/>
    <w:rsid w:val="00455272"/>
    <w:rsid w:val="00455317"/>
    <w:rsid w:val="004553F3"/>
    <w:rsid w:val="00455545"/>
    <w:rsid w:val="00455609"/>
    <w:rsid w:val="00455738"/>
    <w:rsid w:val="00455D3E"/>
    <w:rsid w:val="00455FD7"/>
    <w:rsid w:val="00456023"/>
    <w:rsid w:val="004564AB"/>
    <w:rsid w:val="0045668A"/>
    <w:rsid w:val="004578F6"/>
    <w:rsid w:val="00457A0D"/>
    <w:rsid w:val="00457D01"/>
    <w:rsid w:val="00460070"/>
    <w:rsid w:val="0046022B"/>
    <w:rsid w:val="0046028B"/>
    <w:rsid w:val="00460571"/>
    <w:rsid w:val="004608FA"/>
    <w:rsid w:val="00461C06"/>
    <w:rsid w:val="00461C4E"/>
    <w:rsid w:val="00461DEF"/>
    <w:rsid w:val="00461EE3"/>
    <w:rsid w:val="00462740"/>
    <w:rsid w:val="004627EC"/>
    <w:rsid w:val="00462898"/>
    <w:rsid w:val="004628A8"/>
    <w:rsid w:val="00462A38"/>
    <w:rsid w:val="00462B32"/>
    <w:rsid w:val="00462D01"/>
    <w:rsid w:val="00462E1D"/>
    <w:rsid w:val="004634F1"/>
    <w:rsid w:val="0046360D"/>
    <w:rsid w:val="00465296"/>
    <w:rsid w:val="00465584"/>
    <w:rsid w:val="00465CC5"/>
    <w:rsid w:val="00466011"/>
    <w:rsid w:val="00466D75"/>
    <w:rsid w:val="004670EC"/>
    <w:rsid w:val="00467BF8"/>
    <w:rsid w:val="004707FC"/>
    <w:rsid w:val="00470ACD"/>
    <w:rsid w:val="004712EC"/>
    <w:rsid w:val="00471502"/>
    <w:rsid w:val="00471C92"/>
    <w:rsid w:val="00472262"/>
    <w:rsid w:val="0047248E"/>
    <w:rsid w:val="004724DE"/>
    <w:rsid w:val="00472659"/>
    <w:rsid w:val="0047291E"/>
    <w:rsid w:val="00473D64"/>
    <w:rsid w:val="00473DC2"/>
    <w:rsid w:val="00473F0D"/>
    <w:rsid w:val="004742A0"/>
    <w:rsid w:val="00474361"/>
    <w:rsid w:val="00474DCF"/>
    <w:rsid w:val="0047575B"/>
    <w:rsid w:val="00475AD5"/>
    <w:rsid w:val="00475D62"/>
    <w:rsid w:val="00476024"/>
    <w:rsid w:val="0047603A"/>
    <w:rsid w:val="004763EA"/>
    <w:rsid w:val="00476871"/>
    <w:rsid w:val="0047687A"/>
    <w:rsid w:val="004768E6"/>
    <w:rsid w:val="00476F10"/>
    <w:rsid w:val="00476FF6"/>
    <w:rsid w:val="00477211"/>
    <w:rsid w:val="004772E5"/>
    <w:rsid w:val="0047756F"/>
    <w:rsid w:val="00477C42"/>
    <w:rsid w:val="00477DB1"/>
    <w:rsid w:val="00477DE4"/>
    <w:rsid w:val="00477DEF"/>
    <w:rsid w:val="0048013E"/>
    <w:rsid w:val="00480B08"/>
    <w:rsid w:val="00480FDD"/>
    <w:rsid w:val="0048140B"/>
    <w:rsid w:val="00482868"/>
    <w:rsid w:val="00482C37"/>
    <w:rsid w:val="00482E60"/>
    <w:rsid w:val="00482EB4"/>
    <w:rsid w:val="004835E7"/>
    <w:rsid w:val="004839BD"/>
    <w:rsid w:val="00483DE2"/>
    <w:rsid w:val="004846A9"/>
    <w:rsid w:val="0048472E"/>
    <w:rsid w:val="00484B1F"/>
    <w:rsid w:val="00484D89"/>
    <w:rsid w:val="00484DFA"/>
    <w:rsid w:val="00484E83"/>
    <w:rsid w:val="00485226"/>
    <w:rsid w:val="004854E5"/>
    <w:rsid w:val="004856E7"/>
    <w:rsid w:val="00485D94"/>
    <w:rsid w:val="0048605B"/>
    <w:rsid w:val="004861D0"/>
    <w:rsid w:val="004864A1"/>
    <w:rsid w:val="00486A61"/>
    <w:rsid w:val="004873DB"/>
    <w:rsid w:val="00487440"/>
    <w:rsid w:val="00487B4A"/>
    <w:rsid w:val="00487C32"/>
    <w:rsid w:val="00490238"/>
    <w:rsid w:val="00490571"/>
    <w:rsid w:val="004909D8"/>
    <w:rsid w:val="00490A9C"/>
    <w:rsid w:val="00490D88"/>
    <w:rsid w:val="00491F84"/>
    <w:rsid w:val="00492112"/>
    <w:rsid w:val="00492A81"/>
    <w:rsid w:val="00492EAD"/>
    <w:rsid w:val="00492F1E"/>
    <w:rsid w:val="00493CCC"/>
    <w:rsid w:val="00494DC5"/>
    <w:rsid w:val="004951BF"/>
    <w:rsid w:val="00495271"/>
    <w:rsid w:val="00495443"/>
    <w:rsid w:val="004954F5"/>
    <w:rsid w:val="00495CE6"/>
    <w:rsid w:val="00497429"/>
    <w:rsid w:val="004975CC"/>
    <w:rsid w:val="0049796D"/>
    <w:rsid w:val="00497C17"/>
    <w:rsid w:val="00497F75"/>
    <w:rsid w:val="004A0471"/>
    <w:rsid w:val="004A056B"/>
    <w:rsid w:val="004A07B6"/>
    <w:rsid w:val="004A07F1"/>
    <w:rsid w:val="004A0BBB"/>
    <w:rsid w:val="004A0E51"/>
    <w:rsid w:val="004A0F52"/>
    <w:rsid w:val="004A1579"/>
    <w:rsid w:val="004A178F"/>
    <w:rsid w:val="004A1C1D"/>
    <w:rsid w:val="004A1D8E"/>
    <w:rsid w:val="004A21D8"/>
    <w:rsid w:val="004A24DE"/>
    <w:rsid w:val="004A26E4"/>
    <w:rsid w:val="004A2A65"/>
    <w:rsid w:val="004A2A8C"/>
    <w:rsid w:val="004A2CD4"/>
    <w:rsid w:val="004A3047"/>
    <w:rsid w:val="004A37CC"/>
    <w:rsid w:val="004A3987"/>
    <w:rsid w:val="004A3A2E"/>
    <w:rsid w:val="004A4427"/>
    <w:rsid w:val="004A4754"/>
    <w:rsid w:val="004A5119"/>
    <w:rsid w:val="004A540D"/>
    <w:rsid w:val="004A57D9"/>
    <w:rsid w:val="004A60D0"/>
    <w:rsid w:val="004A6262"/>
    <w:rsid w:val="004A6575"/>
    <w:rsid w:val="004A65C4"/>
    <w:rsid w:val="004A6B30"/>
    <w:rsid w:val="004A6B76"/>
    <w:rsid w:val="004A799C"/>
    <w:rsid w:val="004A7DC6"/>
    <w:rsid w:val="004A7E46"/>
    <w:rsid w:val="004B1538"/>
    <w:rsid w:val="004B1EB8"/>
    <w:rsid w:val="004B1FBE"/>
    <w:rsid w:val="004B2169"/>
    <w:rsid w:val="004B2385"/>
    <w:rsid w:val="004B2843"/>
    <w:rsid w:val="004B2B2E"/>
    <w:rsid w:val="004B2BED"/>
    <w:rsid w:val="004B4340"/>
    <w:rsid w:val="004B456F"/>
    <w:rsid w:val="004B48D4"/>
    <w:rsid w:val="004B4A09"/>
    <w:rsid w:val="004B4BD3"/>
    <w:rsid w:val="004B59B8"/>
    <w:rsid w:val="004B6084"/>
    <w:rsid w:val="004B623E"/>
    <w:rsid w:val="004B7059"/>
    <w:rsid w:val="004B7653"/>
    <w:rsid w:val="004B77B4"/>
    <w:rsid w:val="004B77C2"/>
    <w:rsid w:val="004B7D8A"/>
    <w:rsid w:val="004C0391"/>
    <w:rsid w:val="004C03D5"/>
    <w:rsid w:val="004C0759"/>
    <w:rsid w:val="004C0941"/>
    <w:rsid w:val="004C14D5"/>
    <w:rsid w:val="004C17FE"/>
    <w:rsid w:val="004C1C16"/>
    <w:rsid w:val="004C24D4"/>
    <w:rsid w:val="004C28D8"/>
    <w:rsid w:val="004C2CE7"/>
    <w:rsid w:val="004C305E"/>
    <w:rsid w:val="004C30AC"/>
    <w:rsid w:val="004C310C"/>
    <w:rsid w:val="004C3ACB"/>
    <w:rsid w:val="004C3EF7"/>
    <w:rsid w:val="004C4272"/>
    <w:rsid w:val="004C430E"/>
    <w:rsid w:val="004C46CF"/>
    <w:rsid w:val="004C4E85"/>
    <w:rsid w:val="004C59DC"/>
    <w:rsid w:val="004C5CC1"/>
    <w:rsid w:val="004C5F1F"/>
    <w:rsid w:val="004C6525"/>
    <w:rsid w:val="004C68E8"/>
    <w:rsid w:val="004C7158"/>
    <w:rsid w:val="004C7518"/>
    <w:rsid w:val="004C7576"/>
    <w:rsid w:val="004C7631"/>
    <w:rsid w:val="004D0113"/>
    <w:rsid w:val="004D0343"/>
    <w:rsid w:val="004D0495"/>
    <w:rsid w:val="004D063E"/>
    <w:rsid w:val="004D0F03"/>
    <w:rsid w:val="004D1167"/>
    <w:rsid w:val="004D18F8"/>
    <w:rsid w:val="004D19BE"/>
    <w:rsid w:val="004D1C0B"/>
    <w:rsid w:val="004D1E62"/>
    <w:rsid w:val="004D1E9B"/>
    <w:rsid w:val="004D21B0"/>
    <w:rsid w:val="004D27B3"/>
    <w:rsid w:val="004D2FCC"/>
    <w:rsid w:val="004D34A8"/>
    <w:rsid w:val="004D37A2"/>
    <w:rsid w:val="004D3AD2"/>
    <w:rsid w:val="004D40C9"/>
    <w:rsid w:val="004D427D"/>
    <w:rsid w:val="004D46F4"/>
    <w:rsid w:val="004D4FB8"/>
    <w:rsid w:val="004D57FD"/>
    <w:rsid w:val="004D5AD8"/>
    <w:rsid w:val="004D62F4"/>
    <w:rsid w:val="004D6663"/>
    <w:rsid w:val="004D69B1"/>
    <w:rsid w:val="004D6C4C"/>
    <w:rsid w:val="004D6D2E"/>
    <w:rsid w:val="004D7225"/>
    <w:rsid w:val="004D72AC"/>
    <w:rsid w:val="004D76ED"/>
    <w:rsid w:val="004D7CCC"/>
    <w:rsid w:val="004D7D9B"/>
    <w:rsid w:val="004E032B"/>
    <w:rsid w:val="004E0354"/>
    <w:rsid w:val="004E06A6"/>
    <w:rsid w:val="004E09A9"/>
    <w:rsid w:val="004E0AF3"/>
    <w:rsid w:val="004E0B49"/>
    <w:rsid w:val="004E0CB7"/>
    <w:rsid w:val="004E0CE3"/>
    <w:rsid w:val="004E0D32"/>
    <w:rsid w:val="004E1027"/>
    <w:rsid w:val="004E11EC"/>
    <w:rsid w:val="004E13C6"/>
    <w:rsid w:val="004E1658"/>
    <w:rsid w:val="004E21AD"/>
    <w:rsid w:val="004E25DC"/>
    <w:rsid w:val="004E267D"/>
    <w:rsid w:val="004E2B1A"/>
    <w:rsid w:val="004E321B"/>
    <w:rsid w:val="004E363A"/>
    <w:rsid w:val="004E3F39"/>
    <w:rsid w:val="004E4871"/>
    <w:rsid w:val="004E4B16"/>
    <w:rsid w:val="004E5362"/>
    <w:rsid w:val="004E5766"/>
    <w:rsid w:val="004E61F6"/>
    <w:rsid w:val="004E6357"/>
    <w:rsid w:val="004E65BA"/>
    <w:rsid w:val="004E662F"/>
    <w:rsid w:val="004E694D"/>
    <w:rsid w:val="004E6BC0"/>
    <w:rsid w:val="004E70B2"/>
    <w:rsid w:val="004E7114"/>
    <w:rsid w:val="004E7362"/>
    <w:rsid w:val="004E7E7D"/>
    <w:rsid w:val="004F00C8"/>
    <w:rsid w:val="004F0765"/>
    <w:rsid w:val="004F0DAC"/>
    <w:rsid w:val="004F0EAE"/>
    <w:rsid w:val="004F0FFD"/>
    <w:rsid w:val="004F1230"/>
    <w:rsid w:val="004F1580"/>
    <w:rsid w:val="004F1890"/>
    <w:rsid w:val="004F1D8F"/>
    <w:rsid w:val="004F254D"/>
    <w:rsid w:val="004F25B3"/>
    <w:rsid w:val="004F25F5"/>
    <w:rsid w:val="004F2632"/>
    <w:rsid w:val="004F2A1A"/>
    <w:rsid w:val="004F2CE0"/>
    <w:rsid w:val="004F3340"/>
    <w:rsid w:val="004F33C5"/>
    <w:rsid w:val="004F35B4"/>
    <w:rsid w:val="004F36FF"/>
    <w:rsid w:val="004F3875"/>
    <w:rsid w:val="004F3DC5"/>
    <w:rsid w:val="004F3F09"/>
    <w:rsid w:val="004F3F96"/>
    <w:rsid w:val="004F45C1"/>
    <w:rsid w:val="004F496C"/>
    <w:rsid w:val="004F4AFE"/>
    <w:rsid w:val="004F5847"/>
    <w:rsid w:val="004F5920"/>
    <w:rsid w:val="004F5E75"/>
    <w:rsid w:val="004F5FA8"/>
    <w:rsid w:val="004F624E"/>
    <w:rsid w:val="004F6762"/>
    <w:rsid w:val="004F6B3E"/>
    <w:rsid w:val="004F6D9D"/>
    <w:rsid w:val="004F733B"/>
    <w:rsid w:val="004F75D3"/>
    <w:rsid w:val="004F77B2"/>
    <w:rsid w:val="004F799D"/>
    <w:rsid w:val="004F7C15"/>
    <w:rsid w:val="004F7D9B"/>
    <w:rsid w:val="004F7ED4"/>
    <w:rsid w:val="00500158"/>
    <w:rsid w:val="005005DE"/>
    <w:rsid w:val="00500D31"/>
    <w:rsid w:val="00500FBD"/>
    <w:rsid w:val="005011FE"/>
    <w:rsid w:val="00501254"/>
    <w:rsid w:val="00501272"/>
    <w:rsid w:val="005018FE"/>
    <w:rsid w:val="00501931"/>
    <w:rsid w:val="00501AE8"/>
    <w:rsid w:val="00501D91"/>
    <w:rsid w:val="00501EAC"/>
    <w:rsid w:val="00501FB1"/>
    <w:rsid w:val="00501FDE"/>
    <w:rsid w:val="0050203D"/>
    <w:rsid w:val="0050268B"/>
    <w:rsid w:val="005028A5"/>
    <w:rsid w:val="00502A90"/>
    <w:rsid w:val="00502C4F"/>
    <w:rsid w:val="005030CE"/>
    <w:rsid w:val="0050310A"/>
    <w:rsid w:val="0050385B"/>
    <w:rsid w:val="00504742"/>
    <w:rsid w:val="00505BBF"/>
    <w:rsid w:val="00505CA9"/>
    <w:rsid w:val="00505EE9"/>
    <w:rsid w:val="0050637F"/>
    <w:rsid w:val="00506856"/>
    <w:rsid w:val="00506A5A"/>
    <w:rsid w:val="00506EA6"/>
    <w:rsid w:val="00506FFC"/>
    <w:rsid w:val="0050757C"/>
    <w:rsid w:val="00507618"/>
    <w:rsid w:val="0050766F"/>
    <w:rsid w:val="00507D33"/>
    <w:rsid w:val="00507EAB"/>
    <w:rsid w:val="005105CF"/>
    <w:rsid w:val="00510737"/>
    <w:rsid w:val="005109F5"/>
    <w:rsid w:val="00510D06"/>
    <w:rsid w:val="00511F39"/>
    <w:rsid w:val="005123F5"/>
    <w:rsid w:val="005124D4"/>
    <w:rsid w:val="005126BD"/>
    <w:rsid w:val="005129CB"/>
    <w:rsid w:val="005145AA"/>
    <w:rsid w:val="005148D9"/>
    <w:rsid w:val="00514A1C"/>
    <w:rsid w:val="00514AFA"/>
    <w:rsid w:val="00514CF8"/>
    <w:rsid w:val="00515138"/>
    <w:rsid w:val="00515AAC"/>
    <w:rsid w:val="00516561"/>
    <w:rsid w:val="00516657"/>
    <w:rsid w:val="005166A1"/>
    <w:rsid w:val="00516962"/>
    <w:rsid w:val="00516A09"/>
    <w:rsid w:val="00516DF1"/>
    <w:rsid w:val="00516EA0"/>
    <w:rsid w:val="0051730E"/>
    <w:rsid w:val="005175F7"/>
    <w:rsid w:val="005210BD"/>
    <w:rsid w:val="005219DE"/>
    <w:rsid w:val="00521FE1"/>
    <w:rsid w:val="005221DE"/>
    <w:rsid w:val="00522282"/>
    <w:rsid w:val="005225E8"/>
    <w:rsid w:val="005228AB"/>
    <w:rsid w:val="0052357D"/>
    <w:rsid w:val="00523617"/>
    <w:rsid w:val="00523713"/>
    <w:rsid w:val="0052377D"/>
    <w:rsid w:val="00523781"/>
    <w:rsid w:val="00523965"/>
    <w:rsid w:val="00523B31"/>
    <w:rsid w:val="00523EB0"/>
    <w:rsid w:val="00523F2F"/>
    <w:rsid w:val="00523F8D"/>
    <w:rsid w:val="005247A1"/>
    <w:rsid w:val="005247B2"/>
    <w:rsid w:val="00524E37"/>
    <w:rsid w:val="00524E6E"/>
    <w:rsid w:val="00525306"/>
    <w:rsid w:val="0052551E"/>
    <w:rsid w:val="00525A33"/>
    <w:rsid w:val="00525C19"/>
    <w:rsid w:val="005264A4"/>
    <w:rsid w:val="00526539"/>
    <w:rsid w:val="005267AD"/>
    <w:rsid w:val="005268C4"/>
    <w:rsid w:val="005269E2"/>
    <w:rsid w:val="00526AB2"/>
    <w:rsid w:val="00526B44"/>
    <w:rsid w:val="00526B7B"/>
    <w:rsid w:val="005272EB"/>
    <w:rsid w:val="005277D4"/>
    <w:rsid w:val="00527B75"/>
    <w:rsid w:val="00527D06"/>
    <w:rsid w:val="00527F70"/>
    <w:rsid w:val="00530804"/>
    <w:rsid w:val="00531F73"/>
    <w:rsid w:val="0053254F"/>
    <w:rsid w:val="005325FE"/>
    <w:rsid w:val="00532637"/>
    <w:rsid w:val="0053277D"/>
    <w:rsid w:val="00532B16"/>
    <w:rsid w:val="00532D98"/>
    <w:rsid w:val="005337B3"/>
    <w:rsid w:val="00533A54"/>
    <w:rsid w:val="00533BEC"/>
    <w:rsid w:val="00533E96"/>
    <w:rsid w:val="00533F58"/>
    <w:rsid w:val="005342FF"/>
    <w:rsid w:val="00534555"/>
    <w:rsid w:val="0053475F"/>
    <w:rsid w:val="005348C4"/>
    <w:rsid w:val="00534DA0"/>
    <w:rsid w:val="0053555D"/>
    <w:rsid w:val="00535594"/>
    <w:rsid w:val="005355B6"/>
    <w:rsid w:val="0053597C"/>
    <w:rsid w:val="00535F22"/>
    <w:rsid w:val="0053679A"/>
    <w:rsid w:val="005367F6"/>
    <w:rsid w:val="00537447"/>
    <w:rsid w:val="00537892"/>
    <w:rsid w:val="00537954"/>
    <w:rsid w:val="00537A99"/>
    <w:rsid w:val="005403CC"/>
    <w:rsid w:val="005403D7"/>
    <w:rsid w:val="00540A5E"/>
    <w:rsid w:val="00540C3B"/>
    <w:rsid w:val="0054110B"/>
    <w:rsid w:val="00541171"/>
    <w:rsid w:val="005414F7"/>
    <w:rsid w:val="005429A6"/>
    <w:rsid w:val="005431A5"/>
    <w:rsid w:val="005436E3"/>
    <w:rsid w:val="005438DC"/>
    <w:rsid w:val="00543BD0"/>
    <w:rsid w:val="00544781"/>
    <w:rsid w:val="00544B1F"/>
    <w:rsid w:val="00544EE9"/>
    <w:rsid w:val="00545076"/>
    <w:rsid w:val="00545B34"/>
    <w:rsid w:val="00545C64"/>
    <w:rsid w:val="00545D1A"/>
    <w:rsid w:val="005463B9"/>
    <w:rsid w:val="005468AA"/>
    <w:rsid w:val="00546CC8"/>
    <w:rsid w:val="00546E03"/>
    <w:rsid w:val="005505CA"/>
    <w:rsid w:val="0055090B"/>
    <w:rsid w:val="00550F2A"/>
    <w:rsid w:val="00550FCE"/>
    <w:rsid w:val="00551014"/>
    <w:rsid w:val="00551127"/>
    <w:rsid w:val="005516D2"/>
    <w:rsid w:val="00551864"/>
    <w:rsid w:val="0055199E"/>
    <w:rsid w:val="00551D86"/>
    <w:rsid w:val="00552235"/>
    <w:rsid w:val="00552669"/>
    <w:rsid w:val="005526C9"/>
    <w:rsid w:val="005531D5"/>
    <w:rsid w:val="005536CF"/>
    <w:rsid w:val="00553DC2"/>
    <w:rsid w:val="005543D1"/>
    <w:rsid w:val="00554419"/>
    <w:rsid w:val="00554695"/>
    <w:rsid w:val="005549DF"/>
    <w:rsid w:val="00554BDE"/>
    <w:rsid w:val="005550DA"/>
    <w:rsid w:val="00555328"/>
    <w:rsid w:val="00555694"/>
    <w:rsid w:val="00555A4F"/>
    <w:rsid w:val="00555EA9"/>
    <w:rsid w:val="005561A6"/>
    <w:rsid w:val="00556789"/>
    <w:rsid w:val="00556841"/>
    <w:rsid w:val="00556AED"/>
    <w:rsid w:val="00556DE9"/>
    <w:rsid w:val="0055756E"/>
    <w:rsid w:val="00557981"/>
    <w:rsid w:val="0056005F"/>
    <w:rsid w:val="00560850"/>
    <w:rsid w:val="0056096B"/>
    <w:rsid w:val="00560A13"/>
    <w:rsid w:val="00560F3B"/>
    <w:rsid w:val="00561154"/>
    <w:rsid w:val="00561957"/>
    <w:rsid w:val="00562BF9"/>
    <w:rsid w:val="005630A6"/>
    <w:rsid w:val="00563480"/>
    <w:rsid w:val="005634B6"/>
    <w:rsid w:val="00563C49"/>
    <w:rsid w:val="00563C6A"/>
    <w:rsid w:val="005640C2"/>
    <w:rsid w:val="00564223"/>
    <w:rsid w:val="00564800"/>
    <w:rsid w:val="005648F8"/>
    <w:rsid w:val="00564DE3"/>
    <w:rsid w:val="00565C7E"/>
    <w:rsid w:val="00565E1E"/>
    <w:rsid w:val="005662D0"/>
    <w:rsid w:val="00566421"/>
    <w:rsid w:val="00566701"/>
    <w:rsid w:val="005667E6"/>
    <w:rsid w:val="00566FCB"/>
    <w:rsid w:val="005675ED"/>
    <w:rsid w:val="005676A8"/>
    <w:rsid w:val="005676C1"/>
    <w:rsid w:val="00567864"/>
    <w:rsid w:val="00567A70"/>
    <w:rsid w:val="00567B84"/>
    <w:rsid w:val="0057033D"/>
    <w:rsid w:val="00570716"/>
    <w:rsid w:val="00570976"/>
    <w:rsid w:val="00570DBC"/>
    <w:rsid w:val="0057108E"/>
    <w:rsid w:val="0057114B"/>
    <w:rsid w:val="00571209"/>
    <w:rsid w:val="00571AD2"/>
    <w:rsid w:val="00571CE5"/>
    <w:rsid w:val="00571EEA"/>
    <w:rsid w:val="0057203C"/>
    <w:rsid w:val="005727A9"/>
    <w:rsid w:val="0057361F"/>
    <w:rsid w:val="00573828"/>
    <w:rsid w:val="00573899"/>
    <w:rsid w:val="005738BF"/>
    <w:rsid w:val="005743D2"/>
    <w:rsid w:val="005749FF"/>
    <w:rsid w:val="00574C5F"/>
    <w:rsid w:val="00574CB2"/>
    <w:rsid w:val="00575306"/>
    <w:rsid w:val="00575338"/>
    <w:rsid w:val="00575642"/>
    <w:rsid w:val="00575E7D"/>
    <w:rsid w:val="00575F74"/>
    <w:rsid w:val="005768C7"/>
    <w:rsid w:val="005769D6"/>
    <w:rsid w:val="00576ECC"/>
    <w:rsid w:val="00576FF6"/>
    <w:rsid w:val="0057710D"/>
    <w:rsid w:val="00577680"/>
    <w:rsid w:val="00577C33"/>
    <w:rsid w:val="005802EA"/>
    <w:rsid w:val="005804E8"/>
    <w:rsid w:val="0058117D"/>
    <w:rsid w:val="005811C0"/>
    <w:rsid w:val="00581574"/>
    <w:rsid w:val="0058198F"/>
    <w:rsid w:val="0058200B"/>
    <w:rsid w:val="005820BF"/>
    <w:rsid w:val="005820C5"/>
    <w:rsid w:val="0058216D"/>
    <w:rsid w:val="00582846"/>
    <w:rsid w:val="00582C99"/>
    <w:rsid w:val="00582FD2"/>
    <w:rsid w:val="0058370D"/>
    <w:rsid w:val="00583BBF"/>
    <w:rsid w:val="0058411B"/>
    <w:rsid w:val="0058450E"/>
    <w:rsid w:val="00584A30"/>
    <w:rsid w:val="00584B45"/>
    <w:rsid w:val="00584C8B"/>
    <w:rsid w:val="00584F02"/>
    <w:rsid w:val="005853D3"/>
    <w:rsid w:val="00585567"/>
    <w:rsid w:val="0058567E"/>
    <w:rsid w:val="00585A8E"/>
    <w:rsid w:val="00585B3A"/>
    <w:rsid w:val="005864B9"/>
    <w:rsid w:val="00586F5C"/>
    <w:rsid w:val="005876F8"/>
    <w:rsid w:val="00587781"/>
    <w:rsid w:val="00587BBD"/>
    <w:rsid w:val="0059091E"/>
    <w:rsid w:val="00590A44"/>
    <w:rsid w:val="00590C28"/>
    <w:rsid w:val="00590D30"/>
    <w:rsid w:val="005912F7"/>
    <w:rsid w:val="005917C8"/>
    <w:rsid w:val="00591CFC"/>
    <w:rsid w:val="0059262D"/>
    <w:rsid w:val="00592837"/>
    <w:rsid w:val="005929C2"/>
    <w:rsid w:val="00592F90"/>
    <w:rsid w:val="00593552"/>
    <w:rsid w:val="00594A10"/>
    <w:rsid w:val="00594A27"/>
    <w:rsid w:val="00594B99"/>
    <w:rsid w:val="00594EA1"/>
    <w:rsid w:val="00594EC5"/>
    <w:rsid w:val="0059534C"/>
    <w:rsid w:val="00595554"/>
    <w:rsid w:val="00595952"/>
    <w:rsid w:val="00595C1D"/>
    <w:rsid w:val="00595CBD"/>
    <w:rsid w:val="00596155"/>
    <w:rsid w:val="00596217"/>
    <w:rsid w:val="00596468"/>
    <w:rsid w:val="0059689F"/>
    <w:rsid w:val="0059733A"/>
    <w:rsid w:val="00597C30"/>
    <w:rsid w:val="00597F2E"/>
    <w:rsid w:val="005A0055"/>
    <w:rsid w:val="005A0512"/>
    <w:rsid w:val="005A052B"/>
    <w:rsid w:val="005A0A0B"/>
    <w:rsid w:val="005A0EE0"/>
    <w:rsid w:val="005A1378"/>
    <w:rsid w:val="005A1760"/>
    <w:rsid w:val="005A1794"/>
    <w:rsid w:val="005A199E"/>
    <w:rsid w:val="005A278C"/>
    <w:rsid w:val="005A282B"/>
    <w:rsid w:val="005A29F0"/>
    <w:rsid w:val="005A3A60"/>
    <w:rsid w:val="005A3D76"/>
    <w:rsid w:val="005A3D7B"/>
    <w:rsid w:val="005A3D82"/>
    <w:rsid w:val="005A3DAB"/>
    <w:rsid w:val="005A3E09"/>
    <w:rsid w:val="005A3E5B"/>
    <w:rsid w:val="005A3E60"/>
    <w:rsid w:val="005A3ED3"/>
    <w:rsid w:val="005A412E"/>
    <w:rsid w:val="005A41EF"/>
    <w:rsid w:val="005A4264"/>
    <w:rsid w:val="005A45C9"/>
    <w:rsid w:val="005A49C0"/>
    <w:rsid w:val="005A4E81"/>
    <w:rsid w:val="005A4F57"/>
    <w:rsid w:val="005A6899"/>
    <w:rsid w:val="005A6A5E"/>
    <w:rsid w:val="005A7495"/>
    <w:rsid w:val="005A7A87"/>
    <w:rsid w:val="005A7EB4"/>
    <w:rsid w:val="005B04FC"/>
    <w:rsid w:val="005B0B9E"/>
    <w:rsid w:val="005B0C4B"/>
    <w:rsid w:val="005B23AF"/>
    <w:rsid w:val="005B2786"/>
    <w:rsid w:val="005B2959"/>
    <w:rsid w:val="005B2AFB"/>
    <w:rsid w:val="005B34C2"/>
    <w:rsid w:val="005B395F"/>
    <w:rsid w:val="005B3A37"/>
    <w:rsid w:val="005B3BB5"/>
    <w:rsid w:val="005B4131"/>
    <w:rsid w:val="005B4561"/>
    <w:rsid w:val="005B4646"/>
    <w:rsid w:val="005B4C86"/>
    <w:rsid w:val="005B50A3"/>
    <w:rsid w:val="005B599A"/>
    <w:rsid w:val="005B5D81"/>
    <w:rsid w:val="005B653C"/>
    <w:rsid w:val="005B6E55"/>
    <w:rsid w:val="005B70CD"/>
    <w:rsid w:val="005B70D1"/>
    <w:rsid w:val="005B70D2"/>
    <w:rsid w:val="005B70DA"/>
    <w:rsid w:val="005B7130"/>
    <w:rsid w:val="005B7BC1"/>
    <w:rsid w:val="005B7C71"/>
    <w:rsid w:val="005B7D7E"/>
    <w:rsid w:val="005C0A0C"/>
    <w:rsid w:val="005C1383"/>
    <w:rsid w:val="005C16FB"/>
    <w:rsid w:val="005C1B8E"/>
    <w:rsid w:val="005C1F20"/>
    <w:rsid w:val="005C1FEF"/>
    <w:rsid w:val="005C21C5"/>
    <w:rsid w:val="005C23BC"/>
    <w:rsid w:val="005C2608"/>
    <w:rsid w:val="005C28AA"/>
    <w:rsid w:val="005C33D5"/>
    <w:rsid w:val="005C39E9"/>
    <w:rsid w:val="005C3ABF"/>
    <w:rsid w:val="005C3D25"/>
    <w:rsid w:val="005C447D"/>
    <w:rsid w:val="005C4797"/>
    <w:rsid w:val="005C49AB"/>
    <w:rsid w:val="005C4A7A"/>
    <w:rsid w:val="005C4B96"/>
    <w:rsid w:val="005C4C6E"/>
    <w:rsid w:val="005C4FED"/>
    <w:rsid w:val="005C5797"/>
    <w:rsid w:val="005C5BCC"/>
    <w:rsid w:val="005C6A48"/>
    <w:rsid w:val="005C7BC3"/>
    <w:rsid w:val="005D0052"/>
    <w:rsid w:val="005D00A0"/>
    <w:rsid w:val="005D068B"/>
    <w:rsid w:val="005D0721"/>
    <w:rsid w:val="005D0820"/>
    <w:rsid w:val="005D093A"/>
    <w:rsid w:val="005D0C51"/>
    <w:rsid w:val="005D1094"/>
    <w:rsid w:val="005D1168"/>
    <w:rsid w:val="005D1351"/>
    <w:rsid w:val="005D138B"/>
    <w:rsid w:val="005D15DA"/>
    <w:rsid w:val="005D165A"/>
    <w:rsid w:val="005D1F55"/>
    <w:rsid w:val="005D2118"/>
    <w:rsid w:val="005D2495"/>
    <w:rsid w:val="005D28B9"/>
    <w:rsid w:val="005D2A99"/>
    <w:rsid w:val="005D2F4A"/>
    <w:rsid w:val="005D3072"/>
    <w:rsid w:val="005D30B4"/>
    <w:rsid w:val="005D37D9"/>
    <w:rsid w:val="005D3987"/>
    <w:rsid w:val="005D3A88"/>
    <w:rsid w:val="005D3F66"/>
    <w:rsid w:val="005D4086"/>
    <w:rsid w:val="005D48EA"/>
    <w:rsid w:val="005D5085"/>
    <w:rsid w:val="005D5242"/>
    <w:rsid w:val="005D5B29"/>
    <w:rsid w:val="005D5C19"/>
    <w:rsid w:val="005D5D7B"/>
    <w:rsid w:val="005D5EBD"/>
    <w:rsid w:val="005D6361"/>
    <w:rsid w:val="005D649D"/>
    <w:rsid w:val="005D6C18"/>
    <w:rsid w:val="005D6E93"/>
    <w:rsid w:val="005D6FC3"/>
    <w:rsid w:val="005D7465"/>
    <w:rsid w:val="005D7C46"/>
    <w:rsid w:val="005E0357"/>
    <w:rsid w:val="005E07EA"/>
    <w:rsid w:val="005E09E2"/>
    <w:rsid w:val="005E0C05"/>
    <w:rsid w:val="005E12B6"/>
    <w:rsid w:val="005E1914"/>
    <w:rsid w:val="005E25F3"/>
    <w:rsid w:val="005E2600"/>
    <w:rsid w:val="005E2D25"/>
    <w:rsid w:val="005E32AB"/>
    <w:rsid w:val="005E32E2"/>
    <w:rsid w:val="005E390F"/>
    <w:rsid w:val="005E3990"/>
    <w:rsid w:val="005E4723"/>
    <w:rsid w:val="005E4759"/>
    <w:rsid w:val="005E4B27"/>
    <w:rsid w:val="005E4D11"/>
    <w:rsid w:val="005E5649"/>
    <w:rsid w:val="005E5682"/>
    <w:rsid w:val="005E6334"/>
    <w:rsid w:val="005E64C7"/>
    <w:rsid w:val="005E64F9"/>
    <w:rsid w:val="005E685E"/>
    <w:rsid w:val="005E6860"/>
    <w:rsid w:val="005E6AEA"/>
    <w:rsid w:val="005E6C23"/>
    <w:rsid w:val="005E6C6A"/>
    <w:rsid w:val="005E6DD6"/>
    <w:rsid w:val="005E6E44"/>
    <w:rsid w:val="005E7413"/>
    <w:rsid w:val="005E7ED9"/>
    <w:rsid w:val="005E7EE5"/>
    <w:rsid w:val="005F0D0D"/>
    <w:rsid w:val="005F106D"/>
    <w:rsid w:val="005F11A4"/>
    <w:rsid w:val="005F154F"/>
    <w:rsid w:val="005F1A6F"/>
    <w:rsid w:val="005F1B4F"/>
    <w:rsid w:val="005F1EEB"/>
    <w:rsid w:val="005F26D1"/>
    <w:rsid w:val="005F276A"/>
    <w:rsid w:val="005F2978"/>
    <w:rsid w:val="005F2BD4"/>
    <w:rsid w:val="005F2F3D"/>
    <w:rsid w:val="005F3E59"/>
    <w:rsid w:val="005F4033"/>
    <w:rsid w:val="005F4330"/>
    <w:rsid w:val="005F4906"/>
    <w:rsid w:val="005F4E27"/>
    <w:rsid w:val="005F4FEE"/>
    <w:rsid w:val="005F548F"/>
    <w:rsid w:val="005F5BDA"/>
    <w:rsid w:val="005F5E5B"/>
    <w:rsid w:val="005F623B"/>
    <w:rsid w:val="005F6711"/>
    <w:rsid w:val="005F6A16"/>
    <w:rsid w:val="005F70D9"/>
    <w:rsid w:val="005F734E"/>
    <w:rsid w:val="005F7A50"/>
    <w:rsid w:val="0060008E"/>
    <w:rsid w:val="006001B4"/>
    <w:rsid w:val="006003A7"/>
    <w:rsid w:val="00600612"/>
    <w:rsid w:val="0060079E"/>
    <w:rsid w:val="00600B95"/>
    <w:rsid w:val="00600BAF"/>
    <w:rsid w:val="00600F17"/>
    <w:rsid w:val="006014A0"/>
    <w:rsid w:val="006014F2"/>
    <w:rsid w:val="00601843"/>
    <w:rsid w:val="00601AD7"/>
    <w:rsid w:val="00601DAE"/>
    <w:rsid w:val="00601F51"/>
    <w:rsid w:val="006021DA"/>
    <w:rsid w:val="00602392"/>
    <w:rsid w:val="0060250B"/>
    <w:rsid w:val="00602675"/>
    <w:rsid w:val="00602ADD"/>
    <w:rsid w:val="00603C17"/>
    <w:rsid w:val="00603F08"/>
    <w:rsid w:val="00603F8D"/>
    <w:rsid w:val="00604112"/>
    <w:rsid w:val="00604BAA"/>
    <w:rsid w:val="00605C9A"/>
    <w:rsid w:val="006068E8"/>
    <w:rsid w:val="00606A39"/>
    <w:rsid w:val="00606C29"/>
    <w:rsid w:val="00606CFA"/>
    <w:rsid w:val="00606D7F"/>
    <w:rsid w:val="00607086"/>
    <w:rsid w:val="00610D37"/>
    <w:rsid w:val="00610E62"/>
    <w:rsid w:val="006116DD"/>
    <w:rsid w:val="006119B3"/>
    <w:rsid w:val="00611EAA"/>
    <w:rsid w:val="006122B6"/>
    <w:rsid w:val="006124F1"/>
    <w:rsid w:val="006125C8"/>
    <w:rsid w:val="0061262B"/>
    <w:rsid w:val="0061276E"/>
    <w:rsid w:val="00613025"/>
    <w:rsid w:val="0061361F"/>
    <w:rsid w:val="00613B0F"/>
    <w:rsid w:val="00613CC6"/>
    <w:rsid w:val="00615585"/>
    <w:rsid w:val="00616A75"/>
    <w:rsid w:val="00616CF7"/>
    <w:rsid w:val="00616E2D"/>
    <w:rsid w:val="006178A6"/>
    <w:rsid w:val="0061790D"/>
    <w:rsid w:val="00617F2D"/>
    <w:rsid w:val="00620352"/>
    <w:rsid w:val="00620507"/>
    <w:rsid w:val="006206EE"/>
    <w:rsid w:val="006208AE"/>
    <w:rsid w:val="00620D15"/>
    <w:rsid w:val="006212F5"/>
    <w:rsid w:val="00621BFB"/>
    <w:rsid w:val="00621DCC"/>
    <w:rsid w:val="0062250C"/>
    <w:rsid w:val="00622836"/>
    <w:rsid w:val="00622A57"/>
    <w:rsid w:val="00622AA1"/>
    <w:rsid w:val="00622BAB"/>
    <w:rsid w:val="00623043"/>
    <w:rsid w:val="00623243"/>
    <w:rsid w:val="006238B3"/>
    <w:rsid w:val="00623B84"/>
    <w:rsid w:val="00624246"/>
    <w:rsid w:val="006244E7"/>
    <w:rsid w:val="006245DA"/>
    <w:rsid w:val="00624A3E"/>
    <w:rsid w:val="00624F23"/>
    <w:rsid w:val="0062522C"/>
    <w:rsid w:val="006255A6"/>
    <w:rsid w:val="006255C3"/>
    <w:rsid w:val="00626623"/>
    <w:rsid w:val="00626A32"/>
    <w:rsid w:val="0062742F"/>
    <w:rsid w:val="00627469"/>
    <w:rsid w:val="00627AEA"/>
    <w:rsid w:val="0063003E"/>
    <w:rsid w:val="0063005F"/>
    <w:rsid w:val="00630374"/>
    <w:rsid w:val="006304A3"/>
    <w:rsid w:val="00630A78"/>
    <w:rsid w:val="00630E98"/>
    <w:rsid w:val="00631667"/>
    <w:rsid w:val="00631805"/>
    <w:rsid w:val="00631E3C"/>
    <w:rsid w:val="006324FD"/>
    <w:rsid w:val="006325B4"/>
    <w:rsid w:val="006326C7"/>
    <w:rsid w:val="0063295C"/>
    <w:rsid w:val="00632A01"/>
    <w:rsid w:val="00632B5A"/>
    <w:rsid w:val="00632D4C"/>
    <w:rsid w:val="006332EF"/>
    <w:rsid w:val="006337D0"/>
    <w:rsid w:val="00633BBF"/>
    <w:rsid w:val="00633E5C"/>
    <w:rsid w:val="0063528A"/>
    <w:rsid w:val="00635355"/>
    <w:rsid w:val="00635AB4"/>
    <w:rsid w:val="00635E68"/>
    <w:rsid w:val="00635ECD"/>
    <w:rsid w:val="006361F0"/>
    <w:rsid w:val="00636269"/>
    <w:rsid w:val="00636ACB"/>
    <w:rsid w:val="00636AF4"/>
    <w:rsid w:val="006371F3"/>
    <w:rsid w:val="006372D0"/>
    <w:rsid w:val="0063751D"/>
    <w:rsid w:val="00637725"/>
    <w:rsid w:val="00637CBB"/>
    <w:rsid w:val="00637E17"/>
    <w:rsid w:val="00637EC3"/>
    <w:rsid w:val="006401A2"/>
    <w:rsid w:val="00640CF9"/>
    <w:rsid w:val="00641104"/>
    <w:rsid w:val="00641382"/>
    <w:rsid w:val="006416F8"/>
    <w:rsid w:val="006419FA"/>
    <w:rsid w:val="006423CA"/>
    <w:rsid w:val="006424BD"/>
    <w:rsid w:val="006425D3"/>
    <w:rsid w:val="0064264A"/>
    <w:rsid w:val="00642DFB"/>
    <w:rsid w:val="00642EB0"/>
    <w:rsid w:val="00643ABA"/>
    <w:rsid w:val="00643E96"/>
    <w:rsid w:val="00644028"/>
    <w:rsid w:val="00644391"/>
    <w:rsid w:val="00644950"/>
    <w:rsid w:val="006450FA"/>
    <w:rsid w:val="00645445"/>
    <w:rsid w:val="00645B39"/>
    <w:rsid w:val="00645F87"/>
    <w:rsid w:val="006461F6"/>
    <w:rsid w:val="0064635F"/>
    <w:rsid w:val="00646655"/>
    <w:rsid w:val="00646AA3"/>
    <w:rsid w:val="00647153"/>
    <w:rsid w:val="00647662"/>
    <w:rsid w:val="00647862"/>
    <w:rsid w:val="006478D1"/>
    <w:rsid w:val="00647915"/>
    <w:rsid w:val="00647C51"/>
    <w:rsid w:val="00650035"/>
    <w:rsid w:val="00650215"/>
    <w:rsid w:val="00650E3A"/>
    <w:rsid w:val="006511C8"/>
    <w:rsid w:val="006511DF"/>
    <w:rsid w:val="00651670"/>
    <w:rsid w:val="00651C18"/>
    <w:rsid w:val="006521EF"/>
    <w:rsid w:val="00652478"/>
    <w:rsid w:val="00652C37"/>
    <w:rsid w:val="006539DD"/>
    <w:rsid w:val="00653D81"/>
    <w:rsid w:val="0065442D"/>
    <w:rsid w:val="006545AF"/>
    <w:rsid w:val="006553B8"/>
    <w:rsid w:val="00655480"/>
    <w:rsid w:val="006558B5"/>
    <w:rsid w:val="006558EF"/>
    <w:rsid w:val="00655B91"/>
    <w:rsid w:val="0065610D"/>
    <w:rsid w:val="00656405"/>
    <w:rsid w:val="0065673C"/>
    <w:rsid w:val="006568A2"/>
    <w:rsid w:val="00656F96"/>
    <w:rsid w:val="00657266"/>
    <w:rsid w:val="00657AA9"/>
    <w:rsid w:val="00657E6D"/>
    <w:rsid w:val="00660041"/>
    <w:rsid w:val="006601CB"/>
    <w:rsid w:val="006601F3"/>
    <w:rsid w:val="006602C4"/>
    <w:rsid w:val="00660572"/>
    <w:rsid w:val="006608D1"/>
    <w:rsid w:val="00660FD0"/>
    <w:rsid w:val="00661936"/>
    <w:rsid w:val="006619E0"/>
    <w:rsid w:val="0066229E"/>
    <w:rsid w:val="00662A53"/>
    <w:rsid w:val="00662C77"/>
    <w:rsid w:val="006630DC"/>
    <w:rsid w:val="0066311F"/>
    <w:rsid w:val="006632F6"/>
    <w:rsid w:val="006636FA"/>
    <w:rsid w:val="0066399A"/>
    <w:rsid w:val="00663D1B"/>
    <w:rsid w:val="006640EC"/>
    <w:rsid w:val="006644DE"/>
    <w:rsid w:val="0066454C"/>
    <w:rsid w:val="006646A7"/>
    <w:rsid w:val="00664B76"/>
    <w:rsid w:val="00664E85"/>
    <w:rsid w:val="00664EBC"/>
    <w:rsid w:val="00665616"/>
    <w:rsid w:val="0066576E"/>
    <w:rsid w:val="00665904"/>
    <w:rsid w:val="00665A6C"/>
    <w:rsid w:val="00665DAC"/>
    <w:rsid w:val="00666294"/>
    <w:rsid w:val="00666488"/>
    <w:rsid w:val="0066677E"/>
    <w:rsid w:val="00667272"/>
    <w:rsid w:val="006679DC"/>
    <w:rsid w:val="00667EA0"/>
    <w:rsid w:val="00670439"/>
    <w:rsid w:val="00670A42"/>
    <w:rsid w:val="00670B3F"/>
    <w:rsid w:val="00670E44"/>
    <w:rsid w:val="0067110C"/>
    <w:rsid w:val="00671895"/>
    <w:rsid w:val="00671981"/>
    <w:rsid w:val="00671AFE"/>
    <w:rsid w:val="00671C49"/>
    <w:rsid w:val="00671D43"/>
    <w:rsid w:val="0067203C"/>
    <w:rsid w:val="006722D3"/>
    <w:rsid w:val="00672564"/>
    <w:rsid w:val="006726EF"/>
    <w:rsid w:val="0067286F"/>
    <w:rsid w:val="00672B84"/>
    <w:rsid w:val="00673538"/>
    <w:rsid w:val="00673902"/>
    <w:rsid w:val="0067391C"/>
    <w:rsid w:val="00673BB7"/>
    <w:rsid w:val="00674191"/>
    <w:rsid w:val="00674355"/>
    <w:rsid w:val="00674B88"/>
    <w:rsid w:val="00674F21"/>
    <w:rsid w:val="0067507A"/>
    <w:rsid w:val="0067663F"/>
    <w:rsid w:val="00676B3B"/>
    <w:rsid w:val="006771F5"/>
    <w:rsid w:val="00677773"/>
    <w:rsid w:val="0067790A"/>
    <w:rsid w:val="00680274"/>
    <w:rsid w:val="00680BBB"/>
    <w:rsid w:val="00680EFB"/>
    <w:rsid w:val="006818E9"/>
    <w:rsid w:val="00681B9D"/>
    <w:rsid w:val="00681DD6"/>
    <w:rsid w:val="00682076"/>
    <w:rsid w:val="006823E9"/>
    <w:rsid w:val="00682A02"/>
    <w:rsid w:val="00682C3B"/>
    <w:rsid w:val="00683028"/>
    <w:rsid w:val="006836D8"/>
    <w:rsid w:val="00683AC8"/>
    <w:rsid w:val="00683E7B"/>
    <w:rsid w:val="0068408A"/>
    <w:rsid w:val="006840E4"/>
    <w:rsid w:val="00684343"/>
    <w:rsid w:val="006846D6"/>
    <w:rsid w:val="00684990"/>
    <w:rsid w:val="00684B57"/>
    <w:rsid w:val="00684DCC"/>
    <w:rsid w:val="00684DEF"/>
    <w:rsid w:val="0068537D"/>
    <w:rsid w:val="00685383"/>
    <w:rsid w:val="006854F5"/>
    <w:rsid w:val="00685F8A"/>
    <w:rsid w:val="00685FDD"/>
    <w:rsid w:val="0068631B"/>
    <w:rsid w:val="00686ADF"/>
    <w:rsid w:val="006874D1"/>
    <w:rsid w:val="006876F0"/>
    <w:rsid w:val="0068784B"/>
    <w:rsid w:val="00687949"/>
    <w:rsid w:val="006903FE"/>
    <w:rsid w:val="006904A0"/>
    <w:rsid w:val="00690614"/>
    <w:rsid w:val="006916DF"/>
    <w:rsid w:val="00691C61"/>
    <w:rsid w:val="00691DA8"/>
    <w:rsid w:val="00692078"/>
    <w:rsid w:val="0069235D"/>
    <w:rsid w:val="00692414"/>
    <w:rsid w:val="006924C3"/>
    <w:rsid w:val="00692A8A"/>
    <w:rsid w:val="00692AE7"/>
    <w:rsid w:val="00692BA2"/>
    <w:rsid w:val="00692D53"/>
    <w:rsid w:val="006932DF"/>
    <w:rsid w:val="0069343A"/>
    <w:rsid w:val="006935A6"/>
    <w:rsid w:val="00693727"/>
    <w:rsid w:val="0069376F"/>
    <w:rsid w:val="00694430"/>
    <w:rsid w:val="006948DD"/>
    <w:rsid w:val="00694EEA"/>
    <w:rsid w:val="00695329"/>
    <w:rsid w:val="00695C98"/>
    <w:rsid w:val="00696197"/>
    <w:rsid w:val="00696315"/>
    <w:rsid w:val="0069799D"/>
    <w:rsid w:val="00697CBD"/>
    <w:rsid w:val="00697D28"/>
    <w:rsid w:val="006A07D6"/>
    <w:rsid w:val="006A09A2"/>
    <w:rsid w:val="006A0C2E"/>
    <w:rsid w:val="006A0C8A"/>
    <w:rsid w:val="006A1260"/>
    <w:rsid w:val="006A266D"/>
    <w:rsid w:val="006A2893"/>
    <w:rsid w:val="006A2F5A"/>
    <w:rsid w:val="006A3055"/>
    <w:rsid w:val="006A34B4"/>
    <w:rsid w:val="006A3A5B"/>
    <w:rsid w:val="006A4204"/>
    <w:rsid w:val="006A42D0"/>
    <w:rsid w:val="006A44D4"/>
    <w:rsid w:val="006A4963"/>
    <w:rsid w:val="006A49B1"/>
    <w:rsid w:val="006A4AD7"/>
    <w:rsid w:val="006A5406"/>
    <w:rsid w:val="006A5793"/>
    <w:rsid w:val="006A6209"/>
    <w:rsid w:val="006A6243"/>
    <w:rsid w:val="006A748B"/>
    <w:rsid w:val="006A79D8"/>
    <w:rsid w:val="006A7A51"/>
    <w:rsid w:val="006A7ED3"/>
    <w:rsid w:val="006B00B9"/>
    <w:rsid w:val="006B01B3"/>
    <w:rsid w:val="006B1C70"/>
    <w:rsid w:val="006B1ED5"/>
    <w:rsid w:val="006B205E"/>
    <w:rsid w:val="006B2407"/>
    <w:rsid w:val="006B2503"/>
    <w:rsid w:val="006B2CF3"/>
    <w:rsid w:val="006B37F3"/>
    <w:rsid w:val="006B410D"/>
    <w:rsid w:val="006B464B"/>
    <w:rsid w:val="006B4CD0"/>
    <w:rsid w:val="006B4D81"/>
    <w:rsid w:val="006B4FA6"/>
    <w:rsid w:val="006B544E"/>
    <w:rsid w:val="006B5823"/>
    <w:rsid w:val="006B5A19"/>
    <w:rsid w:val="006B60AA"/>
    <w:rsid w:val="006B61F9"/>
    <w:rsid w:val="006B65B5"/>
    <w:rsid w:val="006B70D3"/>
    <w:rsid w:val="006B7543"/>
    <w:rsid w:val="006C00B5"/>
    <w:rsid w:val="006C0149"/>
    <w:rsid w:val="006C0375"/>
    <w:rsid w:val="006C0D4E"/>
    <w:rsid w:val="006C0DA8"/>
    <w:rsid w:val="006C121C"/>
    <w:rsid w:val="006C15A8"/>
    <w:rsid w:val="006C1714"/>
    <w:rsid w:val="006C227E"/>
    <w:rsid w:val="006C2304"/>
    <w:rsid w:val="006C25A4"/>
    <w:rsid w:val="006C25AF"/>
    <w:rsid w:val="006C26A1"/>
    <w:rsid w:val="006C2921"/>
    <w:rsid w:val="006C29D5"/>
    <w:rsid w:val="006C2EB1"/>
    <w:rsid w:val="006C3032"/>
    <w:rsid w:val="006C48C3"/>
    <w:rsid w:val="006C53D0"/>
    <w:rsid w:val="006C5AC0"/>
    <w:rsid w:val="006C5E50"/>
    <w:rsid w:val="006C677D"/>
    <w:rsid w:val="006C68DB"/>
    <w:rsid w:val="006C78C5"/>
    <w:rsid w:val="006C795A"/>
    <w:rsid w:val="006C7EE8"/>
    <w:rsid w:val="006C7F00"/>
    <w:rsid w:val="006D041E"/>
    <w:rsid w:val="006D063A"/>
    <w:rsid w:val="006D09F9"/>
    <w:rsid w:val="006D10A9"/>
    <w:rsid w:val="006D1921"/>
    <w:rsid w:val="006D1AB8"/>
    <w:rsid w:val="006D1AE6"/>
    <w:rsid w:val="006D1B83"/>
    <w:rsid w:val="006D1C85"/>
    <w:rsid w:val="006D1D2E"/>
    <w:rsid w:val="006D1FA2"/>
    <w:rsid w:val="006D1FE8"/>
    <w:rsid w:val="006D232D"/>
    <w:rsid w:val="006D24DA"/>
    <w:rsid w:val="006D2E30"/>
    <w:rsid w:val="006D3A79"/>
    <w:rsid w:val="006D3E02"/>
    <w:rsid w:val="006D3F21"/>
    <w:rsid w:val="006D436E"/>
    <w:rsid w:val="006D49A7"/>
    <w:rsid w:val="006D4D6D"/>
    <w:rsid w:val="006D508D"/>
    <w:rsid w:val="006D591B"/>
    <w:rsid w:val="006D60EB"/>
    <w:rsid w:val="006D61AE"/>
    <w:rsid w:val="006D662C"/>
    <w:rsid w:val="006D6653"/>
    <w:rsid w:val="006D6872"/>
    <w:rsid w:val="006D691B"/>
    <w:rsid w:val="006D6A05"/>
    <w:rsid w:val="006D6B99"/>
    <w:rsid w:val="006D77D0"/>
    <w:rsid w:val="006D7B26"/>
    <w:rsid w:val="006E00C8"/>
    <w:rsid w:val="006E0681"/>
    <w:rsid w:val="006E0908"/>
    <w:rsid w:val="006E0B44"/>
    <w:rsid w:val="006E0EF8"/>
    <w:rsid w:val="006E0F5F"/>
    <w:rsid w:val="006E1539"/>
    <w:rsid w:val="006E161E"/>
    <w:rsid w:val="006E18FA"/>
    <w:rsid w:val="006E1AE5"/>
    <w:rsid w:val="006E1B78"/>
    <w:rsid w:val="006E1C06"/>
    <w:rsid w:val="006E1FCF"/>
    <w:rsid w:val="006E25F0"/>
    <w:rsid w:val="006E2986"/>
    <w:rsid w:val="006E30B5"/>
    <w:rsid w:val="006E3D83"/>
    <w:rsid w:val="006E3E51"/>
    <w:rsid w:val="006E47EA"/>
    <w:rsid w:val="006E4DDC"/>
    <w:rsid w:val="006E55EE"/>
    <w:rsid w:val="006E5C13"/>
    <w:rsid w:val="006E5D0A"/>
    <w:rsid w:val="006E5E98"/>
    <w:rsid w:val="006E5FB5"/>
    <w:rsid w:val="006E6192"/>
    <w:rsid w:val="006E6679"/>
    <w:rsid w:val="006E66EA"/>
    <w:rsid w:val="006E6968"/>
    <w:rsid w:val="006E6996"/>
    <w:rsid w:val="006E6AE5"/>
    <w:rsid w:val="006E6C8A"/>
    <w:rsid w:val="006E6FC7"/>
    <w:rsid w:val="006E7A44"/>
    <w:rsid w:val="006E7BDD"/>
    <w:rsid w:val="006E7E9D"/>
    <w:rsid w:val="006E7F9D"/>
    <w:rsid w:val="006F031B"/>
    <w:rsid w:val="006F0428"/>
    <w:rsid w:val="006F0587"/>
    <w:rsid w:val="006F0996"/>
    <w:rsid w:val="006F0AB5"/>
    <w:rsid w:val="006F0C21"/>
    <w:rsid w:val="006F0D13"/>
    <w:rsid w:val="006F1B78"/>
    <w:rsid w:val="006F1BAF"/>
    <w:rsid w:val="006F219A"/>
    <w:rsid w:val="006F277C"/>
    <w:rsid w:val="006F2AE0"/>
    <w:rsid w:val="006F2C88"/>
    <w:rsid w:val="006F2EDE"/>
    <w:rsid w:val="006F333A"/>
    <w:rsid w:val="006F3385"/>
    <w:rsid w:val="006F358F"/>
    <w:rsid w:val="006F4372"/>
    <w:rsid w:val="006F4943"/>
    <w:rsid w:val="006F5103"/>
    <w:rsid w:val="006F5228"/>
    <w:rsid w:val="006F52FD"/>
    <w:rsid w:val="006F55ED"/>
    <w:rsid w:val="006F5D63"/>
    <w:rsid w:val="006F5DC2"/>
    <w:rsid w:val="006F5EA8"/>
    <w:rsid w:val="006F63B0"/>
    <w:rsid w:val="006F64E4"/>
    <w:rsid w:val="006F69F0"/>
    <w:rsid w:val="006F6AF0"/>
    <w:rsid w:val="006F6E04"/>
    <w:rsid w:val="006F70A9"/>
    <w:rsid w:val="006F729E"/>
    <w:rsid w:val="00700091"/>
    <w:rsid w:val="007001AA"/>
    <w:rsid w:val="00700E64"/>
    <w:rsid w:val="00701032"/>
    <w:rsid w:val="0070104C"/>
    <w:rsid w:val="00701170"/>
    <w:rsid w:val="00701280"/>
    <w:rsid w:val="00701B05"/>
    <w:rsid w:val="00701E4E"/>
    <w:rsid w:val="00701FE0"/>
    <w:rsid w:val="00702286"/>
    <w:rsid w:val="00702486"/>
    <w:rsid w:val="00702FB2"/>
    <w:rsid w:val="007030C9"/>
    <w:rsid w:val="007032BF"/>
    <w:rsid w:val="0070390D"/>
    <w:rsid w:val="00703A82"/>
    <w:rsid w:val="00704B12"/>
    <w:rsid w:val="00705006"/>
    <w:rsid w:val="00705259"/>
    <w:rsid w:val="00705667"/>
    <w:rsid w:val="007056A9"/>
    <w:rsid w:val="007056FE"/>
    <w:rsid w:val="00705CBE"/>
    <w:rsid w:val="00706861"/>
    <w:rsid w:val="0070689A"/>
    <w:rsid w:val="007068D5"/>
    <w:rsid w:val="007069CD"/>
    <w:rsid w:val="00706C32"/>
    <w:rsid w:val="00706D2D"/>
    <w:rsid w:val="00706EA1"/>
    <w:rsid w:val="00707290"/>
    <w:rsid w:val="0070753E"/>
    <w:rsid w:val="0070769E"/>
    <w:rsid w:val="007079F4"/>
    <w:rsid w:val="00707AB6"/>
    <w:rsid w:val="007104E4"/>
    <w:rsid w:val="007105B8"/>
    <w:rsid w:val="007105BE"/>
    <w:rsid w:val="007109F5"/>
    <w:rsid w:val="00710A86"/>
    <w:rsid w:val="00710D2B"/>
    <w:rsid w:val="00710DC1"/>
    <w:rsid w:val="00710DDB"/>
    <w:rsid w:val="0071127D"/>
    <w:rsid w:val="0071147B"/>
    <w:rsid w:val="0071150C"/>
    <w:rsid w:val="00711760"/>
    <w:rsid w:val="007117F6"/>
    <w:rsid w:val="00711ABE"/>
    <w:rsid w:val="00711CB7"/>
    <w:rsid w:val="00711D99"/>
    <w:rsid w:val="00711EF3"/>
    <w:rsid w:val="00712BD0"/>
    <w:rsid w:val="00712C0A"/>
    <w:rsid w:val="00712E02"/>
    <w:rsid w:val="00712FF4"/>
    <w:rsid w:val="00713109"/>
    <w:rsid w:val="0071390D"/>
    <w:rsid w:val="00713C2D"/>
    <w:rsid w:val="00713EB7"/>
    <w:rsid w:val="007140B7"/>
    <w:rsid w:val="0071437A"/>
    <w:rsid w:val="007143D2"/>
    <w:rsid w:val="00714551"/>
    <w:rsid w:val="0071458F"/>
    <w:rsid w:val="007146B4"/>
    <w:rsid w:val="00714803"/>
    <w:rsid w:val="0071492E"/>
    <w:rsid w:val="007150ED"/>
    <w:rsid w:val="007152C9"/>
    <w:rsid w:val="007154A5"/>
    <w:rsid w:val="0071555C"/>
    <w:rsid w:val="00715786"/>
    <w:rsid w:val="00715BA4"/>
    <w:rsid w:val="007161BB"/>
    <w:rsid w:val="0071656E"/>
    <w:rsid w:val="007165B1"/>
    <w:rsid w:val="0071669F"/>
    <w:rsid w:val="007167F6"/>
    <w:rsid w:val="0071709C"/>
    <w:rsid w:val="007170F1"/>
    <w:rsid w:val="00717261"/>
    <w:rsid w:val="0071731A"/>
    <w:rsid w:val="007176AE"/>
    <w:rsid w:val="00717D2D"/>
    <w:rsid w:val="00717E8C"/>
    <w:rsid w:val="007203F3"/>
    <w:rsid w:val="00720446"/>
    <w:rsid w:val="00720DE7"/>
    <w:rsid w:val="00720EFC"/>
    <w:rsid w:val="00721B2B"/>
    <w:rsid w:val="0072277A"/>
    <w:rsid w:val="00722C8B"/>
    <w:rsid w:val="00722E7C"/>
    <w:rsid w:val="0072308A"/>
    <w:rsid w:val="00723128"/>
    <w:rsid w:val="00723B1C"/>
    <w:rsid w:val="00723D33"/>
    <w:rsid w:val="00723E3C"/>
    <w:rsid w:val="00723FFE"/>
    <w:rsid w:val="00724737"/>
    <w:rsid w:val="00724ABA"/>
    <w:rsid w:val="00724E84"/>
    <w:rsid w:val="0072546B"/>
    <w:rsid w:val="007254A0"/>
    <w:rsid w:val="007254DF"/>
    <w:rsid w:val="00725557"/>
    <w:rsid w:val="00725E7B"/>
    <w:rsid w:val="00726522"/>
    <w:rsid w:val="00726F4A"/>
    <w:rsid w:val="007273AE"/>
    <w:rsid w:val="007276B5"/>
    <w:rsid w:val="0072773A"/>
    <w:rsid w:val="00727E9C"/>
    <w:rsid w:val="00727EDC"/>
    <w:rsid w:val="007303F1"/>
    <w:rsid w:val="007306F1"/>
    <w:rsid w:val="0073085B"/>
    <w:rsid w:val="0073147C"/>
    <w:rsid w:val="007318DB"/>
    <w:rsid w:val="007319E1"/>
    <w:rsid w:val="00731FFD"/>
    <w:rsid w:val="0073209A"/>
    <w:rsid w:val="007322B1"/>
    <w:rsid w:val="0073250B"/>
    <w:rsid w:val="007328AA"/>
    <w:rsid w:val="007329D4"/>
    <w:rsid w:val="00732A41"/>
    <w:rsid w:val="0073328E"/>
    <w:rsid w:val="007332BD"/>
    <w:rsid w:val="0073352B"/>
    <w:rsid w:val="007336A9"/>
    <w:rsid w:val="00733A03"/>
    <w:rsid w:val="00733AB1"/>
    <w:rsid w:val="00733B64"/>
    <w:rsid w:val="00734D59"/>
    <w:rsid w:val="00734D63"/>
    <w:rsid w:val="00734EB1"/>
    <w:rsid w:val="007354CB"/>
    <w:rsid w:val="0073572E"/>
    <w:rsid w:val="00735786"/>
    <w:rsid w:val="00736531"/>
    <w:rsid w:val="0073670D"/>
    <w:rsid w:val="00736733"/>
    <w:rsid w:val="00736759"/>
    <w:rsid w:val="00737000"/>
    <w:rsid w:val="00737345"/>
    <w:rsid w:val="00737403"/>
    <w:rsid w:val="007376C3"/>
    <w:rsid w:val="00737D31"/>
    <w:rsid w:val="00740481"/>
    <w:rsid w:val="0074117F"/>
    <w:rsid w:val="00741524"/>
    <w:rsid w:val="00741743"/>
    <w:rsid w:val="00741997"/>
    <w:rsid w:val="00742554"/>
    <w:rsid w:val="007425C7"/>
    <w:rsid w:val="0074295A"/>
    <w:rsid w:val="00742D4A"/>
    <w:rsid w:val="00742EAB"/>
    <w:rsid w:val="0074381E"/>
    <w:rsid w:val="00743973"/>
    <w:rsid w:val="007439EF"/>
    <w:rsid w:val="00743B39"/>
    <w:rsid w:val="00744F4F"/>
    <w:rsid w:val="007451A4"/>
    <w:rsid w:val="007453D4"/>
    <w:rsid w:val="007459EE"/>
    <w:rsid w:val="00745B4D"/>
    <w:rsid w:val="00745BBE"/>
    <w:rsid w:val="00746480"/>
    <w:rsid w:val="007468E4"/>
    <w:rsid w:val="00746B91"/>
    <w:rsid w:val="00746B96"/>
    <w:rsid w:val="007470AF"/>
    <w:rsid w:val="00747371"/>
    <w:rsid w:val="0074739E"/>
    <w:rsid w:val="007501B1"/>
    <w:rsid w:val="00750304"/>
    <w:rsid w:val="00750307"/>
    <w:rsid w:val="00750532"/>
    <w:rsid w:val="0075155E"/>
    <w:rsid w:val="00751D28"/>
    <w:rsid w:val="00751F76"/>
    <w:rsid w:val="00752048"/>
    <w:rsid w:val="007521E6"/>
    <w:rsid w:val="0075255F"/>
    <w:rsid w:val="0075259F"/>
    <w:rsid w:val="00752794"/>
    <w:rsid w:val="007528BC"/>
    <w:rsid w:val="00752AA3"/>
    <w:rsid w:val="00752C1A"/>
    <w:rsid w:val="00752CA2"/>
    <w:rsid w:val="00752D0E"/>
    <w:rsid w:val="00753A85"/>
    <w:rsid w:val="007541AF"/>
    <w:rsid w:val="00754210"/>
    <w:rsid w:val="00754C8D"/>
    <w:rsid w:val="00755512"/>
    <w:rsid w:val="00755557"/>
    <w:rsid w:val="00756C0D"/>
    <w:rsid w:val="00756E39"/>
    <w:rsid w:val="007570CC"/>
    <w:rsid w:val="00757B74"/>
    <w:rsid w:val="00757D9B"/>
    <w:rsid w:val="007600E8"/>
    <w:rsid w:val="00760915"/>
    <w:rsid w:val="0076126C"/>
    <w:rsid w:val="0076139F"/>
    <w:rsid w:val="00761A78"/>
    <w:rsid w:val="00761B26"/>
    <w:rsid w:val="00761F15"/>
    <w:rsid w:val="0076248F"/>
    <w:rsid w:val="00762659"/>
    <w:rsid w:val="0076290E"/>
    <w:rsid w:val="00762A49"/>
    <w:rsid w:val="00762DDD"/>
    <w:rsid w:val="0076307D"/>
    <w:rsid w:val="007637BF"/>
    <w:rsid w:val="00763871"/>
    <w:rsid w:val="00764323"/>
    <w:rsid w:val="00764727"/>
    <w:rsid w:val="00764A51"/>
    <w:rsid w:val="00764F2A"/>
    <w:rsid w:val="00765130"/>
    <w:rsid w:val="00765604"/>
    <w:rsid w:val="0076598B"/>
    <w:rsid w:val="00765A40"/>
    <w:rsid w:val="00765B28"/>
    <w:rsid w:val="00765BDA"/>
    <w:rsid w:val="00765FE2"/>
    <w:rsid w:val="007660E8"/>
    <w:rsid w:val="007665D0"/>
    <w:rsid w:val="00766AA3"/>
    <w:rsid w:val="00766BD2"/>
    <w:rsid w:val="0076716E"/>
    <w:rsid w:val="00767500"/>
    <w:rsid w:val="0076769D"/>
    <w:rsid w:val="007677F3"/>
    <w:rsid w:val="00767A01"/>
    <w:rsid w:val="00770127"/>
    <w:rsid w:val="00770891"/>
    <w:rsid w:val="007708EF"/>
    <w:rsid w:val="00770ABA"/>
    <w:rsid w:val="00771704"/>
    <w:rsid w:val="00771856"/>
    <w:rsid w:val="00772056"/>
    <w:rsid w:val="007722A7"/>
    <w:rsid w:val="00772823"/>
    <w:rsid w:val="00772A02"/>
    <w:rsid w:val="00772CAE"/>
    <w:rsid w:val="00773009"/>
    <w:rsid w:val="00773559"/>
    <w:rsid w:val="007745E3"/>
    <w:rsid w:val="007749EE"/>
    <w:rsid w:val="00774CF8"/>
    <w:rsid w:val="00774DA1"/>
    <w:rsid w:val="0077503E"/>
    <w:rsid w:val="0077588D"/>
    <w:rsid w:val="00775964"/>
    <w:rsid w:val="00776332"/>
    <w:rsid w:val="007768BF"/>
    <w:rsid w:val="00776B21"/>
    <w:rsid w:val="00776DA1"/>
    <w:rsid w:val="00777DF5"/>
    <w:rsid w:val="0078028C"/>
    <w:rsid w:val="00780377"/>
    <w:rsid w:val="00780474"/>
    <w:rsid w:val="007807C2"/>
    <w:rsid w:val="00780A27"/>
    <w:rsid w:val="007810C8"/>
    <w:rsid w:val="007813DB"/>
    <w:rsid w:val="00781550"/>
    <w:rsid w:val="007822B6"/>
    <w:rsid w:val="007824BB"/>
    <w:rsid w:val="00782584"/>
    <w:rsid w:val="00782610"/>
    <w:rsid w:val="0078262B"/>
    <w:rsid w:val="007828A3"/>
    <w:rsid w:val="007828A9"/>
    <w:rsid w:val="007834A5"/>
    <w:rsid w:val="00784235"/>
    <w:rsid w:val="00784841"/>
    <w:rsid w:val="00784C39"/>
    <w:rsid w:val="007864C0"/>
    <w:rsid w:val="007864C7"/>
    <w:rsid w:val="00786535"/>
    <w:rsid w:val="00786917"/>
    <w:rsid w:val="00786989"/>
    <w:rsid w:val="00786AEC"/>
    <w:rsid w:val="00786E36"/>
    <w:rsid w:val="00786E97"/>
    <w:rsid w:val="0078762C"/>
    <w:rsid w:val="00787AA0"/>
    <w:rsid w:val="00787DDE"/>
    <w:rsid w:val="00787EE2"/>
    <w:rsid w:val="00791AE3"/>
    <w:rsid w:val="00791E2E"/>
    <w:rsid w:val="00792359"/>
    <w:rsid w:val="0079266F"/>
    <w:rsid w:val="00792C2D"/>
    <w:rsid w:val="00792F93"/>
    <w:rsid w:val="0079301A"/>
    <w:rsid w:val="007930A4"/>
    <w:rsid w:val="00793A8B"/>
    <w:rsid w:val="00794282"/>
    <w:rsid w:val="0079443D"/>
    <w:rsid w:val="007949DF"/>
    <w:rsid w:val="007949F8"/>
    <w:rsid w:val="007950A0"/>
    <w:rsid w:val="00795478"/>
    <w:rsid w:val="007954A8"/>
    <w:rsid w:val="00795740"/>
    <w:rsid w:val="00795A8F"/>
    <w:rsid w:val="00795AD6"/>
    <w:rsid w:val="00795B65"/>
    <w:rsid w:val="00795BF8"/>
    <w:rsid w:val="0079607D"/>
    <w:rsid w:val="0079637C"/>
    <w:rsid w:val="00796985"/>
    <w:rsid w:val="0079698A"/>
    <w:rsid w:val="00796AD2"/>
    <w:rsid w:val="00797302"/>
    <w:rsid w:val="0079767C"/>
    <w:rsid w:val="00797B95"/>
    <w:rsid w:val="007A0542"/>
    <w:rsid w:val="007A08AB"/>
    <w:rsid w:val="007A08BD"/>
    <w:rsid w:val="007A0A6A"/>
    <w:rsid w:val="007A12B3"/>
    <w:rsid w:val="007A1309"/>
    <w:rsid w:val="007A15DE"/>
    <w:rsid w:val="007A1B69"/>
    <w:rsid w:val="007A1B79"/>
    <w:rsid w:val="007A1C75"/>
    <w:rsid w:val="007A248C"/>
    <w:rsid w:val="007A298C"/>
    <w:rsid w:val="007A3584"/>
    <w:rsid w:val="007A3C5D"/>
    <w:rsid w:val="007A3F4D"/>
    <w:rsid w:val="007A43F6"/>
    <w:rsid w:val="007A4724"/>
    <w:rsid w:val="007A4A61"/>
    <w:rsid w:val="007A4CF6"/>
    <w:rsid w:val="007A4EFD"/>
    <w:rsid w:val="007A4FAB"/>
    <w:rsid w:val="007A5273"/>
    <w:rsid w:val="007A5AF6"/>
    <w:rsid w:val="007A663C"/>
    <w:rsid w:val="007A6D93"/>
    <w:rsid w:val="007A6DD4"/>
    <w:rsid w:val="007A7568"/>
    <w:rsid w:val="007A7E2E"/>
    <w:rsid w:val="007A7FC1"/>
    <w:rsid w:val="007B0106"/>
    <w:rsid w:val="007B0221"/>
    <w:rsid w:val="007B0359"/>
    <w:rsid w:val="007B03D5"/>
    <w:rsid w:val="007B04EC"/>
    <w:rsid w:val="007B0B2E"/>
    <w:rsid w:val="007B135E"/>
    <w:rsid w:val="007B14B8"/>
    <w:rsid w:val="007B1632"/>
    <w:rsid w:val="007B1FC0"/>
    <w:rsid w:val="007B2DAE"/>
    <w:rsid w:val="007B3403"/>
    <w:rsid w:val="007B3601"/>
    <w:rsid w:val="007B3657"/>
    <w:rsid w:val="007B38A2"/>
    <w:rsid w:val="007B3D01"/>
    <w:rsid w:val="007B41E8"/>
    <w:rsid w:val="007B4450"/>
    <w:rsid w:val="007B4778"/>
    <w:rsid w:val="007B4B88"/>
    <w:rsid w:val="007B4F6A"/>
    <w:rsid w:val="007B60B2"/>
    <w:rsid w:val="007B63EA"/>
    <w:rsid w:val="007B641B"/>
    <w:rsid w:val="007B66C4"/>
    <w:rsid w:val="007B6DEF"/>
    <w:rsid w:val="007B6E96"/>
    <w:rsid w:val="007B6FCF"/>
    <w:rsid w:val="007B70B7"/>
    <w:rsid w:val="007B7A61"/>
    <w:rsid w:val="007B7A9C"/>
    <w:rsid w:val="007C025D"/>
    <w:rsid w:val="007C065E"/>
    <w:rsid w:val="007C0D0A"/>
    <w:rsid w:val="007C0DDC"/>
    <w:rsid w:val="007C0E2B"/>
    <w:rsid w:val="007C1076"/>
    <w:rsid w:val="007C1387"/>
    <w:rsid w:val="007C166D"/>
    <w:rsid w:val="007C16F4"/>
    <w:rsid w:val="007C1FC3"/>
    <w:rsid w:val="007C2363"/>
    <w:rsid w:val="007C2E1B"/>
    <w:rsid w:val="007C3200"/>
    <w:rsid w:val="007C352F"/>
    <w:rsid w:val="007C3645"/>
    <w:rsid w:val="007C3A30"/>
    <w:rsid w:val="007C3A6C"/>
    <w:rsid w:val="007C3DD8"/>
    <w:rsid w:val="007C3EBB"/>
    <w:rsid w:val="007C42E0"/>
    <w:rsid w:val="007C4864"/>
    <w:rsid w:val="007C486F"/>
    <w:rsid w:val="007C4C00"/>
    <w:rsid w:val="007C4DB7"/>
    <w:rsid w:val="007C6198"/>
    <w:rsid w:val="007C647A"/>
    <w:rsid w:val="007C6568"/>
    <w:rsid w:val="007C6904"/>
    <w:rsid w:val="007C6B08"/>
    <w:rsid w:val="007C6DC2"/>
    <w:rsid w:val="007C744B"/>
    <w:rsid w:val="007C74E9"/>
    <w:rsid w:val="007C7B8A"/>
    <w:rsid w:val="007D0282"/>
    <w:rsid w:val="007D0956"/>
    <w:rsid w:val="007D0AC2"/>
    <w:rsid w:val="007D11B6"/>
    <w:rsid w:val="007D11EA"/>
    <w:rsid w:val="007D1202"/>
    <w:rsid w:val="007D138A"/>
    <w:rsid w:val="007D152F"/>
    <w:rsid w:val="007D1CFC"/>
    <w:rsid w:val="007D1DB6"/>
    <w:rsid w:val="007D2194"/>
    <w:rsid w:val="007D220A"/>
    <w:rsid w:val="007D27A8"/>
    <w:rsid w:val="007D2948"/>
    <w:rsid w:val="007D30AE"/>
    <w:rsid w:val="007D31A4"/>
    <w:rsid w:val="007D325E"/>
    <w:rsid w:val="007D3516"/>
    <w:rsid w:val="007D3E0D"/>
    <w:rsid w:val="007D3E57"/>
    <w:rsid w:val="007D41B1"/>
    <w:rsid w:val="007D4559"/>
    <w:rsid w:val="007D472C"/>
    <w:rsid w:val="007D4B84"/>
    <w:rsid w:val="007D50EB"/>
    <w:rsid w:val="007D5CF0"/>
    <w:rsid w:val="007D5DDA"/>
    <w:rsid w:val="007D6249"/>
    <w:rsid w:val="007D6440"/>
    <w:rsid w:val="007D6654"/>
    <w:rsid w:val="007D7139"/>
    <w:rsid w:val="007D7A4E"/>
    <w:rsid w:val="007D7EDF"/>
    <w:rsid w:val="007E0019"/>
    <w:rsid w:val="007E00E7"/>
    <w:rsid w:val="007E0116"/>
    <w:rsid w:val="007E0388"/>
    <w:rsid w:val="007E0F7D"/>
    <w:rsid w:val="007E0FD0"/>
    <w:rsid w:val="007E1088"/>
    <w:rsid w:val="007E139A"/>
    <w:rsid w:val="007E167A"/>
    <w:rsid w:val="007E1724"/>
    <w:rsid w:val="007E24D7"/>
    <w:rsid w:val="007E28B0"/>
    <w:rsid w:val="007E2A6B"/>
    <w:rsid w:val="007E2AC1"/>
    <w:rsid w:val="007E2C6A"/>
    <w:rsid w:val="007E2D36"/>
    <w:rsid w:val="007E2F3B"/>
    <w:rsid w:val="007E2FB4"/>
    <w:rsid w:val="007E3687"/>
    <w:rsid w:val="007E38B8"/>
    <w:rsid w:val="007E42CC"/>
    <w:rsid w:val="007E440A"/>
    <w:rsid w:val="007E4779"/>
    <w:rsid w:val="007E5FF3"/>
    <w:rsid w:val="007E60C9"/>
    <w:rsid w:val="007E627A"/>
    <w:rsid w:val="007E698D"/>
    <w:rsid w:val="007E69B6"/>
    <w:rsid w:val="007E6C6F"/>
    <w:rsid w:val="007E71B8"/>
    <w:rsid w:val="007E7284"/>
    <w:rsid w:val="007E7314"/>
    <w:rsid w:val="007E73C5"/>
    <w:rsid w:val="007E74B7"/>
    <w:rsid w:val="007E7D7E"/>
    <w:rsid w:val="007E7D97"/>
    <w:rsid w:val="007E7E82"/>
    <w:rsid w:val="007F096F"/>
    <w:rsid w:val="007F0AA5"/>
    <w:rsid w:val="007F0CB5"/>
    <w:rsid w:val="007F0CEC"/>
    <w:rsid w:val="007F0CF0"/>
    <w:rsid w:val="007F131E"/>
    <w:rsid w:val="007F1822"/>
    <w:rsid w:val="007F1848"/>
    <w:rsid w:val="007F18DD"/>
    <w:rsid w:val="007F1A0D"/>
    <w:rsid w:val="007F1B09"/>
    <w:rsid w:val="007F2033"/>
    <w:rsid w:val="007F23FC"/>
    <w:rsid w:val="007F2871"/>
    <w:rsid w:val="007F2B25"/>
    <w:rsid w:val="007F2D7F"/>
    <w:rsid w:val="007F3255"/>
    <w:rsid w:val="007F32FB"/>
    <w:rsid w:val="007F38AE"/>
    <w:rsid w:val="007F38D2"/>
    <w:rsid w:val="007F39BD"/>
    <w:rsid w:val="007F4ACB"/>
    <w:rsid w:val="007F4F08"/>
    <w:rsid w:val="007F5095"/>
    <w:rsid w:val="007F5382"/>
    <w:rsid w:val="007F5B38"/>
    <w:rsid w:val="007F62C7"/>
    <w:rsid w:val="007F6435"/>
    <w:rsid w:val="007F6674"/>
    <w:rsid w:val="007F72CF"/>
    <w:rsid w:val="007F7589"/>
    <w:rsid w:val="007F7B34"/>
    <w:rsid w:val="007F7DF6"/>
    <w:rsid w:val="007F7F1B"/>
    <w:rsid w:val="008006C3"/>
    <w:rsid w:val="00800BA5"/>
    <w:rsid w:val="00801108"/>
    <w:rsid w:val="00801180"/>
    <w:rsid w:val="008013B2"/>
    <w:rsid w:val="0080154E"/>
    <w:rsid w:val="008018D1"/>
    <w:rsid w:val="00801BBC"/>
    <w:rsid w:val="00801D86"/>
    <w:rsid w:val="00801EC5"/>
    <w:rsid w:val="0080267A"/>
    <w:rsid w:val="00802F36"/>
    <w:rsid w:val="00802FB4"/>
    <w:rsid w:val="0080301F"/>
    <w:rsid w:val="0080323B"/>
    <w:rsid w:val="008033C0"/>
    <w:rsid w:val="008034E7"/>
    <w:rsid w:val="00803666"/>
    <w:rsid w:val="00803928"/>
    <w:rsid w:val="00804972"/>
    <w:rsid w:val="00804C10"/>
    <w:rsid w:val="00804CF9"/>
    <w:rsid w:val="0080528A"/>
    <w:rsid w:val="008056DA"/>
    <w:rsid w:val="008068E5"/>
    <w:rsid w:val="00807192"/>
    <w:rsid w:val="008073F5"/>
    <w:rsid w:val="00807595"/>
    <w:rsid w:val="00810B85"/>
    <w:rsid w:val="00810CF8"/>
    <w:rsid w:val="00811627"/>
    <w:rsid w:val="0081165B"/>
    <w:rsid w:val="008117B7"/>
    <w:rsid w:val="008118CE"/>
    <w:rsid w:val="00811D27"/>
    <w:rsid w:val="00812044"/>
    <w:rsid w:val="00812944"/>
    <w:rsid w:val="008129C0"/>
    <w:rsid w:val="00812BF7"/>
    <w:rsid w:val="0081317D"/>
    <w:rsid w:val="008131AB"/>
    <w:rsid w:val="00813228"/>
    <w:rsid w:val="0081378B"/>
    <w:rsid w:val="00813D9B"/>
    <w:rsid w:val="00814003"/>
    <w:rsid w:val="00814079"/>
    <w:rsid w:val="00814395"/>
    <w:rsid w:val="00814806"/>
    <w:rsid w:val="0081484C"/>
    <w:rsid w:val="00814AF2"/>
    <w:rsid w:val="00814BE8"/>
    <w:rsid w:val="00814BF5"/>
    <w:rsid w:val="008157AD"/>
    <w:rsid w:val="00815842"/>
    <w:rsid w:val="00815CA1"/>
    <w:rsid w:val="00815E8A"/>
    <w:rsid w:val="0081603C"/>
    <w:rsid w:val="008164B5"/>
    <w:rsid w:val="00816747"/>
    <w:rsid w:val="0081700C"/>
    <w:rsid w:val="008172EA"/>
    <w:rsid w:val="00817365"/>
    <w:rsid w:val="0081780F"/>
    <w:rsid w:val="00817B79"/>
    <w:rsid w:val="00817C10"/>
    <w:rsid w:val="00817CE3"/>
    <w:rsid w:val="008206EB"/>
    <w:rsid w:val="00820794"/>
    <w:rsid w:val="00820EBF"/>
    <w:rsid w:val="00820ED2"/>
    <w:rsid w:val="0082110E"/>
    <w:rsid w:val="00821BFB"/>
    <w:rsid w:val="0082207E"/>
    <w:rsid w:val="00822279"/>
    <w:rsid w:val="00822B67"/>
    <w:rsid w:val="00822EFC"/>
    <w:rsid w:val="0082384E"/>
    <w:rsid w:val="00823B7F"/>
    <w:rsid w:val="008240DF"/>
    <w:rsid w:val="008242E4"/>
    <w:rsid w:val="008247DF"/>
    <w:rsid w:val="008248F5"/>
    <w:rsid w:val="00824C42"/>
    <w:rsid w:val="00825B85"/>
    <w:rsid w:val="00825BF5"/>
    <w:rsid w:val="00826164"/>
    <w:rsid w:val="00826909"/>
    <w:rsid w:val="00826E66"/>
    <w:rsid w:val="00827113"/>
    <w:rsid w:val="008278EA"/>
    <w:rsid w:val="00827985"/>
    <w:rsid w:val="00827AEA"/>
    <w:rsid w:val="00830056"/>
    <w:rsid w:val="008307CB"/>
    <w:rsid w:val="008307F2"/>
    <w:rsid w:val="00830F07"/>
    <w:rsid w:val="008311CE"/>
    <w:rsid w:val="00831755"/>
    <w:rsid w:val="00831806"/>
    <w:rsid w:val="00831FF6"/>
    <w:rsid w:val="00832445"/>
    <w:rsid w:val="00832457"/>
    <w:rsid w:val="008329C7"/>
    <w:rsid w:val="00832E50"/>
    <w:rsid w:val="00833110"/>
    <w:rsid w:val="0083365C"/>
    <w:rsid w:val="0083436C"/>
    <w:rsid w:val="00834B5C"/>
    <w:rsid w:val="00834ED5"/>
    <w:rsid w:val="008355EC"/>
    <w:rsid w:val="00835607"/>
    <w:rsid w:val="0083601D"/>
    <w:rsid w:val="0084005C"/>
    <w:rsid w:val="008403A0"/>
    <w:rsid w:val="00840C8A"/>
    <w:rsid w:val="00840D1C"/>
    <w:rsid w:val="00841111"/>
    <w:rsid w:val="00841C13"/>
    <w:rsid w:val="00842390"/>
    <w:rsid w:val="00842DC9"/>
    <w:rsid w:val="00842EA4"/>
    <w:rsid w:val="00843694"/>
    <w:rsid w:val="00843E01"/>
    <w:rsid w:val="00843E62"/>
    <w:rsid w:val="0084409B"/>
    <w:rsid w:val="00844697"/>
    <w:rsid w:val="00844D10"/>
    <w:rsid w:val="00845145"/>
    <w:rsid w:val="0084538D"/>
    <w:rsid w:val="008453B2"/>
    <w:rsid w:val="0084547A"/>
    <w:rsid w:val="008458DF"/>
    <w:rsid w:val="00845CD2"/>
    <w:rsid w:val="00846404"/>
    <w:rsid w:val="0084642D"/>
    <w:rsid w:val="008466C1"/>
    <w:rsid w:val="00846ACD"/>
    <w:rsid w:val="00846D18"/>
    <w:rsid w:val="00846D98"/>
    <w:rsid w:val="00846E49"/>
    <w:rsid w:val="00847097"/>
    <w:rsid w:val="00847176"/>
    <w:rsid w:val="00847588"/>
    <w:rsid w:val="00847631"/>
    <w:rsid w:val="00847970"/>
    <w:rsid w:val="00847D7F"/>
    <w:rsid w:val="0085114A"/>
    <w:rsid w:val="008515E6"/>
    <w:rsid w:val="00851D01"/>
    <w:rsid w:val="00851D5B"/>
    <w:rsid w:val="0085210A"/>
    <w:rsid w:val="0085279B"/>
    <w:rsid w:val="0085290F"/>
    <w:rsid w:val="00852C48"/>
    <w:rsid w:val="00852C8F"/>
    <w:rsid w:val="008533F9"/>
    <w:rsid w:val="00853E90"/>
    <w:rsid w:val="00853EF8"/>
    <w:rsid w:val="00853FF6"/>
    <w:rsid w:val="008540B6"/>
    <w:rsid w:val="00854806"/>
    <w:rsid w:val="00854A73"/>
    <w:rsid w:val="00854D5E"/>
    <w:rsid w:val="00854DF3"/>
    <w:rsid w:val="008550B6"/>
    <w:rsid w:val="008551DF"/>
    <w:rsid w:val="008554BA"/>
    <w:rsid w:val="0085586C"/>
    <w:rsid w:val="008558A8"/>
    <w:rsid w:val="008561FD"/>
    <w:rsid w:val="0085631F"/>
    <w:rsid w:val="00856AE0"/>
    <w:rsid w:val="00856C15"/>
    <w:rsid w:val="00856DA5"/>
    <w:rsid w:val="00856EFF"/>
    <w:rsid w:val="00857D8E"/>
    <w:rsid w:val="00860624"/>
    <w:rsid w:val="00860974"/>
    <w:rsid w:val="008609D9"/>
    <w:rsid w:val="00860AC0"/>
    <w:rsid w:val="008611A6"/>
    <w:rsid w:val="008615D8"/>
    <w:rsid w:val="00861962"/>
    <w:rsid w:val="00861B82"/>
    <w:rsid w:val="00861C95"/>
    <w:rsid w:val="008620BA"/>
    <w:rsid w:val="00862465"/>
    <w:rsid w:val="008632AC"/>
    <w:rsid w:val="00863525"/>
    <w:rsid w:val="00863A93"/>
    <w:rsid w:val="00863BE9"/>
    <w:rsid w:val="00863F4C"/>
    <w:rsid w:val="00864E99"/>
    <w:rsid w:val="008654AD"/>
    <w:rsid w:val="00865D60"/>
    <w:rsid w:val="008660C2"/>
    <w:rsid w:val="0086645B"/>
    <w:rsid w:val="0086660B"/>
    <w:rsid w:val="00866639"/>
    <w:rsid w:val="00866A5E"/>
    <w:rsid w:val="00866E58"/>
    <w:rsid w:val="00866F7F"/>
    <w:rsid w:val="00867219"/>
    <w:rsid w:val="00867360"/>
    <w:rsid w:val="00867AF2"/>
    <w:rsid w:val="00867C83"/>
    <w:rsid w:val="00867E74"/>
    <w:rsid w:val="008702EF"/>
    <w:rsid w:val="0087045C"/>
    <w:rsid w:val="00870A67"/>
    <w:rsid w:val="00870A92"/>
    <w:rsid w:val="008710C3"/>
    <w:rsid w:val="0087121D"/>
    <w:rsid w:val="00871987"/>
    <w:rsid w:val="00871DCF"/>
    <w:rsid w:val="00871E99"/>
    <w:rsid w:val="00871FDE"/>
    <w:rsid w:val="00872106"/>
    <w:rsid w:val="0087277C"/>
    <w:rsid w:val="00872A79"/>
    <w:rsid w:val="00872E7F"/>
    <w:rsid w:val="00873661"/>
    <w:rsid w:val="0087399E"/>
    <w:rsid w:val="008739E6"/>
    <w:rsid w:val="0087406C"/>
    <w:rsid w:val="008747FA"/>
    <w:rsid w:val="00874875"/>
    <w:rsid w:val="00874F2B"/>
    <w:rsid w:val="008751A2"/>
    <w:rsid w:val="00875403"/>
    <w:rsid w:val="0087552C"/>
    <w:rsid w:val="0087561E"/>
    <w:rsid w:val="00875959"/>
    <w:rsid w:val="00875F35"/>
    <w:rsid w:val="008766F2"/>
    <w:rsid w:val="008769A5"/>
    <w:rsid w:val="008802D7"/>
    <w:rsid w:val="00880BD5"/>
    <w:rsid w:val="008811D5"/>
    <w:rsid w:val="00881364"/>
    <w:rsid w:val="008815C5"/>
    <w:rsid w:val="00881E14"/>
    <w:rsid w:val="0088212B"/>
    <w:rsid w:val="00882436"/>
    <w:rsid w:val="00882962"/>
    <w:rsid w:val="00882B4E"/>
    <w:rsid w:val="00883184"/>
    <w:rsid w:val="00883F3F"/>
    <w:rsid w:val="00884750"/>
    <w:rsid w:val="00884D58"/>
    <w:rsid w:val="00884E4F"/>
    <w:rsid w:val="00885505"/>
    <w:rsid w:val="008863B1"/>
    <w:rsid w:val="00886630"/>
    <w:rsid w:val="00886898"/>
    <w:rsid w:val="00886C3B"/>
    <w:rsid w:val="00886C7C"/>
    <w:rsid w:val="00886D74"/>
    <w:rsid w:val="00886FC9"/>
    <w:rsid w:val="008870D6"/>
    <w:rsid w:val="008875EC"/>
    <w:rsid w:val="008876E5"/>
    <w:rsid w:val="00887760"/>
    <w:rsid w:val="008877A7"/>
    <w:rsid w:val="00887866"/>
    <w:rsid w:val="00887BC2"/>
    <w:rsid w:val="00887EA1"/>
    <w:rsid w:val="008901F7"/>
    <w:rsid w:val="008904AA"/>
    <w:rsid w:val="008906C7"/>
    <w:rsid w:val="00890A78"/>
    <w:rsid w:val="00891753"/>
    <w:rsid w:val="00891AC8"/>
    <w:rsid w:val="00891C43"/>
    <w:rsid w:val="00892035"/>
    <w:rsid w:val="00892114"/>
    <w:rsid w:val="00892341"/>
    <w:rsid w:val="0089294E"/>
    <w:rsid w:val="00892BEF"/>
    <w:rsid w:val="00892C0E"/>
    <w:rsid w:val="00892C2D"/>
    <w:rsid w:val="0089330D"/>
    <w:rsid w:val="00893421"/>
    <w:rsid w:val="00893506"/>
    <w:rsid w:val="008936E5"/>
    <w:rsid w:val="00893D7F"/>
    <w:rsid w:val="0089464B"/>
    <w:rsid w:val="00894FAE"/>
    <w:rsid w:val="0089520E"/>
    <w:rsid w:val="0089524E"/>
    <w:rsid w:val="008952E6"/>
    <w:rsid w:val="008954D2"/>
    <w:rsid w:val="0089613C"/>
    <w:rsid w:val="00896765"/>
    <w:rsid w:val="00896B79"/>
    <w:rsid w:val="00896F05"/>
    <w:rsid w:val="00896F36"/>
    <w:rsid w:val="0089727F"/>
    <w:rsid w:val="00897349"/>
    <w:rsid w:val="008974A3"/>
    <w:rsid w:val="008974CE"/>
    <w:rsid w:val="008976ED"/>
    <w:rsid w:val="00897943"/>
    <w:rsid w:val="008A02ED"/>
    <w:rsid w:val="008A10A9"/>
    <w:rsid w:val="008A204A"/>
    <w:rsid w:val="008A28E8"/>
    <w:rsid w:val="008A2BDE"/>
    <w:rsid w:val="008A2C1B"/>
    <w:rsid w:val="008A303E"/>
    <w:rsid w:val="008A359B"/>
    <w:rsid w:val="008A411F"/>
    <w:rsid w:val="008A5811"/>
    <w:rsid w:val="008A5A12"/>
    <w:rsid w:val="008A5CAC"/>
    <w:rsid w:val="008A5CD4"/>
    <w:rsid w:val="008A63D0"/>
    <w:rsid w:val="008A6A93"/>
    <w:rsid w:val="008A6F96"/>
    <w:rsid w:val="008A7FB3"/>
    <w:rsid w:val="008A7FDD"/>
    <w:rsid w:val="008B0032"/>
    <w:rsid w:val="008B05D5"/>
    <w:rsid w:val="008B096E"/>
    <w:rsid w:val="008B1216"/>
    <w:rsid w:val="008B192B"/>
    <w:rsid w:val="008B1E95"/>
    <w:rsid w:val="008B2350"/>
    <w:rsid w:val="008B23D9"/>
    <w:rsid w:val="008B25CE"/>
    <w:rsid w:val="008B2652"/>
    <w:rsid w:val="008B283B"/>
    <w:rsid w:val="008B2979"/>
    <w:rsid w:val="008B2E84"/>
    <w:rsid w:val="008B31A2"/>
    <w:rsid w:val="008B3329"/>
    <w:rsid w:val="008B3EB1"/>
    <w:rsid w:val="008B4338"/>
    <w:rsid w:val="008B4544"/>
    <w:rsid w:val="008B45D8"/>
    <w:rsid w:val="008B476D"/>
    <w:rsid w:val="008B5383"/>
    <w:rsid w:val="008B5483"/>
    <w:rsid w:val="008B57D6"/>
    <w:rsid w:val="008B5BDA"/>
    <w:rsid w:val="008B6275"/>
    <w:rsid w:val="008B6344"/>
    <w:rsid w:val="008B695C"/>
    <w:rsid w:val="008B6C81"/>
    <w:rsid w:val="008B6D3D"/>
    <w:rsid w:val="008B6FE8"/>
    <w:rsid w:val="008B71A1"/>
    <w:rsid w:val="008B79D9"/>
    <w:rsid w:val="008C012C"/>
    <w:rsid w:val="008C0481"/>
    <w:rsid w:val="008C07EA"/>
    <w:rsid w:val="008C0842"/>
    <w:rsid w:val="008C0BEA"/>
    <w:rsid w:val="008C0C5C"/>
    <w:rsid w:val="008C1689"/>
    <w:rsid w:val="008C1CB1"/>
    <w:rsid w:val="008C1FBD"/>
    <w:rsid w:val="008C2202"/>
    <w:rsid w:val="008C2777"/>
    <w:rsid w:val="008C2D30"/>
    <w:rsid w:val="008C2F37"/>
    <w:rsid w:val="008C31FA"/>
    <w:rsid w:val="008C3580"/>
    <w:rsid w:val="008C35D9"/>
    <w:rsid w:val="008C3705"/>
    <w:rsid w:val="008C40BC"/>
    <w:rsid w:val="008C43FA"/>
    <w:rsid w:val="008C4588"/>
    <w:rsid w:val="008C45A0"/>
    <w:rsid w:val="008C46D3"/>
    <w:rsid w:val="008C482B"/>
    <w:rsid w:val="008C5317"/>
    <w:rsid w:val="008C6146"/>
    <w:rsid w:val="008C665A"/>
    <w:rsid w:val="008C667F"/>
    <w:rsid w:val="008C6E84"/>
    <w:rsid w:val="008C6EBE"/>
    <w:rsid w:val="008C75A1"/>
    <w:rsid w:val="008C7BF0"/>
    <w:rsid w:val="008C7CA2"/>
    <w:rsid w:val="008C7D29"/>
    <w:rsid w:val="008D0377"/>
    <w:rsid w:val="008D0C00"/>
    <w:rsid w:val="008D0E62"/>
    <w:rsid w:val="008D115E"/>
    <w:rsid w:val="008D1393"/>
    <w:rsid w:val="008D14CC"/>
    <w:rsid w:val="008D16B6"/>
    <w:rsid w:val="008D1B1B"/>
    <w:rsid w:val="008D1CD5"/>
    <w:rsid w:val="008D1D76"/>
    <w:rsid w:val="008D1EB2"/>
    <w:rsid w:val="008D2099"/>
    <w:rsid w:val="008D20A8"/>
    <w:rsid w:val="008D21C5"/>
    <w:rsid w:val="008D2212"/>
    <w:rsid w:val="008D24BC"/>
    <w:rsid w:val="008D2501"/>
    <w:rsid w:val="008D2E74"/>
    <w:rsid w:val="008D3896"/>
    <w:rsid w:val="008D4295"/>
    <w:rsid w:val="008D4296"/>
    <w:rsid w:val="008D4389"/>
    <w:rsid w:val="008D4DB0"/>
    <w:rsid w:val="008D4EEA"/>
    <w:rsid w:val="008D53F8"/>
    <w:rsid w:val="008D5668"/>
    <w:rsid w:val="008D5D99"/>
    <w:rsid w:val="008D5F3D"/>
    <w:rsid w:val="008D645D"/>
    <w:rsid w:val="008D652D"/>
    <w:rsid w:val="008D6F18"/>
    <w:rsid w:val="008D70EF"/>
    <w:rsid w:val="008D761E"/>
    <w:rsid w:val="008D78DE"/>
    <w:rsid w:val="008D793C"/>
    <w:rsid w:val="008D79DA"/>
    <w:rsid w:val="008D7B47"/>
    <w:rsid w:val="008D7EF9"/>
    <w:rsid w:val="008E0567"/>
    <w:rsid w:val="008E1147"/>
    <w:rsid w:val="008E1160"/>
    <w:rsid w:val="008E1171"/>
    <w:rsid w:val="008E1516"/>
    <w:rsid w:val="008E1F21"/>
    <w:rsid w:val="008E26A0"/>
    <w:rsid w:val="008E29D5"/>
    <w:rsid w:val="008E2F0F"/>
    <w:rsid w:val="008E30BE"/>
    <w:rsid w:val="008E3147"/>
    <w:rsid w:val="008E3EBF"/>
    <w:rsid w:val="008E4781"/>
    <w:rsid w:val="008E4CB8"/>
    <w:rsid w:val="008E4D0A"/>
    <w:rsid w:val="008E50BD"/>
    <w:rsid w:val="008E5435"/>
    <w:rsid w:val="008E5683"/>
    <w:rsid w:val="008E5CBA"/>
    <w:rsid w:val="008E5E9F"/>
    <w:rsid w:val="008E5F2D"/>
    <w:rsid w:val="008E6C50"/>
    <w:rsid w:val="008E70A2"/>
    <w:rsid w:val="008E7110"/>
    <w:rsid w:val="008E7371"/>
    <w:rsid w:val="008E749C"/>
    <w:rsid w:val="008E74FC"/>
    <w:rsid w:val="008E7610"/>
    <w:rsid w:val="008E7B96"/>
    <w:rsid w:val="008F0765"/>
    <w:rsid w:val="008F1380"/>
    <w:rsid w:val="008F1B7F"/>
    <w:rsid w:val="008F2131"/>
    <w:rsid w:val="008F24D2"/>
    <w:rsid w:val="008F2642"/>
    <w:rsid w:val="008F2A28"/>
    <w:rsid w:val="008F3027"/>
    <w:rsid w:val="008F30F6"/>
    <w:rsid w:val="008F3FA0"/>
    <w:rsid w:val="008F3FD5"/>
    <w:rsid w:val="008F4186"/>
    <w:rsid w:val="008F449E"/>
    <w:rsid w:val="008F454B"/>
    <w:rsid w:val="008F4BBC"/>
    <w:rsid w:val="008F4E21"/>
    <w:rsid w:val="008F5019"/>
    <w:rsid w:val="008F54B2"/>
    <w:rsid w:val="008F5507"/>
    <w:rsid w:val="008F6A8A"/>
    <w:rsid w:val="008F6AEB"/>
    <w:rsid w:val="008F7535"/>
    <w:rsid w:val="008F7DAD"/>
    <w:rsid w:val="008F7E64"/>
    <w:rsid w:val="00900232"/>
    <w:rsid w:val="0090023D"/>
    <w:rsid w:val="009003EF"/>
    <w:rsid w:val="0090083D"/>
    <w:rsid w:val="00900D8D"/>
    <w:rsid w:val="0090114B"/>
    <w:rsid w:val="0090131B"/>
    <w:rsid w:val="009013A5"/>
    <w:rsid w:val="00901519"/>
    <w:rsid w:val="00901C49"/>
    <w:rsid w:val="00901CB8"/>
    <w:rsid w:val="00902261"/>
    <w:rsid w:val="0090227B"/>
    <w:rsid w:val="0090247B"/>
    <w:rsid w:val="00902C1A"/>
    <w:rsid w:val="00903026"/>
    <w:rsid w:val="00903356"/>
    <w:rsid w:val="00903455"/>
    <w:rsid w:val="00903A44"/>
    <w:rsid w:val="00903C11"/>
    <w:rsid w:val="00904CF2"/>
    <w:rsid w:val="00904E36"/>
    <w:rsid w:val="00906D09"/>
    <w:rsid w:val="009071E3"/>
    <w:rsid w:val="00907227"/>
    <w:rsid w:val="009072D3"/>
    <w:rsid w:val="009074BA"/>
    <w:rsid w:val="00907575"/>
    <w:rsid w:val="00907877"/>
    <w:rsid w:val="009078A9"/>
    <w:rsid w:val="00907C72"/>
    <w:rsid w:val="00910237"/>
    <w:rsid w:val="00910338"/>
    <w:rsid w:val="00910601"/>
    <w:rsid w:val="00910AA2"/>
    <w:rsid w:val="00910BA6"/>
    <w:rsid w:val="00910ED8"/>
    <w:rsid w:val="00911095"/>
    <w:rsid w:val="00911450"/>
    <w:rsid w:val="0091192F"/>
    <w:rsid w:val="00912B11"/>
    <w:rsid w:val="00912FAE"/>
    <w:rsid w:val="009130AA"/>
    <w:rsid w:val="009132C2"/>
    <w:rsid w:val="009139C4"/>
    <w:rsid w:val="009140BD"/>
    <w:rsid w:val="00914157"/>
    <w:rsid w:val="009142B7"/>
    <w:rsid w:val="00914832"/>
    <w:rsid w:val="00914CF8"/>
    <w:rsid w:val="00915081"/>
    <w:rsid w:val="00915673"/>
    <w:rsid w:val="00915A32"/>
    <w:rsid w:val="00915AE4"/>
    <w:rsid w:val="00916082"/>
    <w:rsid w:val="009160C1"/>
    <w:rsid w:val="0091657D"/>
    <w:rsid w:val="00916EB0"/>
    <w:rsid w:val="0091724A"/>
    <w:rsid w:val="00917A00"/>
    <w:rsid w:val="0092025D"/>
    <w:rsid w:val="00920549"/>
    <w:rsid w:val="009206C6"/>
    <w:rsid w:val="009210BC"/>
    <w:rsid w:val="009214FD"/>
    <w:rsid w:val="00921EFC"/>
    <w:rsid w:val="00921FD8"/>
    <w:rsid w:val="00922461"/>
    <w:rsid w:val="00922945"/>
    <w:rsid w:val="00922BEF"/>
    <w:rsid w:val="00922E71"/>
    <w:rsid w:val="009230D1"/>
    <w:rsid w:val="00923BA1"/>
    <w:rsid w:val="00923D02"/>
    <w:rsid w:val="009242DE"/>
    <w:rsid w:val="00925479"/>
    <w:rsid w:val="0092552D"/>
    <w:rsid w:val="00925620"/>
    <w:rsid w:val="0092593C"/>
    <w:rsid w:val="009259C3"/>
    <w:rsid w:val="009263DB"/>
    <w:rsid w:val="009270B2"/>
    <w:rsid w:val="0092718C"/>
    <w:rsid w:val="00927220"/>
    <w:rsid w:val="00927235"/>
    <w:rsid w:val="00927C2D"/>
    <w:rsid w:val="00930184"/>
    <w:rsid w:val="009306CE"/>
    <w:rsid w:val="00930903"/>
    <w:rsid w:val="00930A84"/>
    <w:rsid w:val="00930BB9"/>
    <w:rsid w:val="009312BA"/>
    <w:rsid w:val="00931939"/>
    <w:rsid w:val="00931B89"/>
    <w:rsid w:val="00932058"/>
    <w:rsid w:val="00932570"/>
    <w:rsid w:val="00932BDD"/>
    <w:rsid w:val="00933245"/>
    <w:rsid w:val="00933A34"/>
    <w:rsid w:val="00933E8A"/>
    <w:rsid w:val="00934967"/>
    <w:rsid w:val="00934FE4"/>
    <w:rsid w:val="009353EA"/>
    <w:rsid w:val="0093611F"/>
    <w:rsid w:val="009362F6"/>
    <w:rsid w:val="00936442"/>
    <w:rsid w:val="0093670C"/>
    <w:rsid w:val="00936ACC"/>
    <w:rsid w:val="00936CA3"/>
    <w:rsid w:val="0093735A"/>
    <w:rsid w:val="009374F2"/>
    <w:rsid w:val="009376FC"/>
    <w:rsid w:val="0093780B"/>
    <w:rsid w:val="009405FF"/>
    <w:rsid w:val="00940B07"/>
    <w:rsid w:val="00940E7F"/>
    <w:rsid w:val="009418B3"/>
    <w:rsid w:val="00941CA9"/>
    <w:rsid w:val="00941DC5"/>
    <w:rsid w:val="00941F97"/>
    <w:rsid w:val="009426FE"/>
    <w:rsid w:val="00942A96"/>
    <w:rsid w:val="00942B33"/>
    <w:rsid w:val="00942BFF"/>
    <w:rsid w:val="009431AD"/>
    <w:rsid w:val="009431B7"/>
    <w:rsid w:val="009435E5"/>
    <w:rsid w:val="00943917"/>
    <w:rsid w:val="00943BCB"/>
    <w:rsid w:val="00943EB6"/>
    <w:rsid w:val="00944311"/>
    <w:rsid w:val="00944655"/>
    <w:rsid w:val="00944660"/>
    <w:rsid w:val="009449AA"/>
    <w:rsid w:val="00944A94"/>
    <w:rsid w:val="009462DB"/>
    <w:rsid w:val="009466C7"/>
    <w:rsid w:val="009467AB"/>
    <w:rsid w:val="00946F22"/>
    <w:rsid w:val="009471B6"/>
    <w:rsid w:val="0094790C"/>
    <w:rsid w:val="00947C0D"/>
    <w:rsid w:val="00947E4E"/>
    <w:rsid w:val="00947F15"/>
    <w:rsid w:val="009502C3"/>
    <w:rsid w:val="00950EF4"/>
    <w:rsid w:val="009511D0"/>
    <w:rsid w:val="009517C2"/>
    <w:rsid w:val="0095183E"/>
    <w:rsid w:val="00951A3D"/>
    <w:rsid w:val="00951B00"/>
    <w:rsid w:val="00951ED9"/>
    <w:rsid w:val="00952038"/>
    <w:rsid w:val="009520ED"/>
    <w:rsid w:val="00953050"/>
    <w:rsid w:val="009533D1"/>
    <w:rsid w:val="00953537"/>
    <w:rsid w:val="009537C3"/>
    <w:rsid w:val="00953AA2"/>
    <w:rsid w:val="009549A8"/>
    <w:rsid w:val="009550B2"/>
    <w:rsid w:val="0095520F"/>
    <w:rsid w:val="00955BEE"/>
    <w:rsid w:val="00955D92"/>
    <w:rsid w:val="00955FD9"/>
    <w:rsid w:val="00956EF8"/>
    <w:rsid w:val="009571E7"/>
    <w:rsid w:val="009577D8"/>
    <w:rsid w:val="009600B5"/>
    <w:rsid w:val="0096018D"/>
    <w:rsid w:val="0096021A"/>
    <w:rsid w:val="009609CE"/>
    <w:rsid w:val="00960B1D"/>
    <w:rsid w:val="00960C68"/>
    <w:rsid w:val="00960C6C"/>
    <w:rsid w:val="00961160"/>
    <w:rsid w:val="00961421"/>
    <w:rsid w:val="009617D0"/>
    <w:rsid w:val="009618AA"/>
    <w:rsid w:val="00961E99"/>
    <w:rsid w:val="009623E6"/>
    <w:rsid w:val="0096260A"/>
    <w:rsid w:val="009626D2"/>
    <w:rsid w:val="00962758"/>
    <w:rsid w:val="00962D8C"/>
    <w:rsid w:val="009631BE"/>
    <w:rsid w:val="009636E6"/>
    <w:rsid w:val="0096397D"/>
    <w:rsid w:val="00963EA7"/>
    <w:rsid w:val="00964084"/>
    <w:rsid w:val="00964A1D"/>
    <w:rsid w:val="00964EB4"/>
    <w:rsid w:val="00965037"/>
    <w:rsid w:val="0096542B"/>
    <w:rsid w:val="009659E3"/>
    <w:rsid w:val="00965E64"/>
    <w:rsid w:val="00966177"/>
    <w:rsid w:val="0096641F"/>
    <w:rsid w:val="00966759"/>
    <w:rsid w:val="009669E9"/>
    <w:rsid w:val="00966DBF"/>
    <w:rsid w:val="009672A8"/>
    <w:rsid w:val="00967486"/>
    <w:rsid w:val="009674F8"/>
    <w:rsid w:val="009675E8"/>
    <w:rsid w:val="0096760A"/>
    <w:rsid w:val="009676AD"/>
    <w:rsid w:val="009676EE"/>
    <w:rsid w:val="009678B4"/>
    <w:rsid w:val="0097068F"/>
    <w:rsid w:val="00970A24"/>
    <w:rsid w:val="00970F8A"/>
    <w:rsid w:val="009717B5"/>
    <w:rsid w:val="00971959"/>
    <w:rsid w:val="00971D94"/>
    <w:rsid w:val="009720EE"/>
    <w:rsid w:val="00972298"/>
    <w:rsid w:val="00972AF5"/>
    <w:rsid w:val="00972F59"/>
    <w:rsid w:val="0097368D"/>
    <w:rsid w:val="009736A9"/>
    <w:rsid w:val="00973A7D"/>
    <w:rsid w:val="00974193"/>
    <w:rsid w:val="00974C42"/>
    <w:rsid w:val="009750CC"/>
    <w:rsid w:val="00975967"/>
    <w:rsid w:val="00975B98"/>
    <w:rsid w:val="00975C83"/>
    <w:rsid w:val="00975E66"/>
    <w:rsid w:val="009767CD"/>
    <w:rsid w:val="009768F1"/>
    <w:rsid w:val="009774C9"/>
    <w:rsid w:val="00977A04"/>
    <w:rsid w:val="009802EF"/>
    <w:rsid w:val="0098051A"/>
    <w:rsid w:val="00980560"/>
    <w:rsid w:val="009809ED"/>
    <w:rsid w:val="00981363"/>
    <w:rsid w:val="009813DB"/>
    <w:rsid w:val="00981A5D"/>
    <w:rsid w:val="00981AF9"/>
    <w:rsid w:val="00981B7F"/>
    <w:rsid w:val="00982089"/>
    <w:rsid w:val="009823DA"/>
    <w:rsid w:val="009827D1"/>
    <w:rsid w:val="00982BA1"/>
    <w:rsid w:val="00983211"/>
    <w:rsid w:val="009832A4"/>
    <w:rsid w:val="0098350B"/>
    <w:rsid w:val="00983903"/>
    <w:rsid w:val="00984508"/>
    <w:rsid w:val="00984520"/>
    <w:rsid w:val="00984C33"/>
    <w:rsid w:val="00984C94"/>
    <w:rsid w:val="00984FB9"/>
    <w:rsid w:val="0098532D"/>
    <w:rsid w:val="009854F7"/>
    <w:rsid w:val="009858B0"/>
    <w:rsid w:val="00985A1B"/>
    <w:rsid w:val="0098650B"/>
    <w:rsid w:val="009865B2"/>
    <w:rsid w:val="00987218"/>
    <w:rsid w:val="00987252"/>
    <w:rsid w:val="00987F90"/>
    <w:rsid w:val="009901B1"/>
    <w:rsid w:val="0099043A"/>
    <w:rsid w:val="0099074C"/>
    <w:rsid w:val="00990B84"/>
    <w:rsid w:val="00990CA7"/>
    <w:rsid w:val="00990F60"/>
    <w:rsid w:val="009910FC"/>
    <w:rsid w:val="00991D98"/>
    <w:rsid w:val="009920F5"/>
    <w:rsid w:val="00992B06"/>
    <w:rsid w:val="00992E5F"/>
    <w:rsid w:val="00993515"/>
    <w:rsid w:val="00993B7D"/>
    <w:rsid w:val="00993EB6"/>
    <w:rsid w:val="00993F0B"/>
    <w:rsid w:val="0099449B"/>
    <w:rsid w:val="00994A15"/>
    <w:rsid w:val="00996AA6"/>
    <w:rsid w:val="0099760D"/>
    <w:rsid w:val="00997940"/>
    <w:rsid w:val="009A0588"/>
    <w:rsid w:val="009A08E4"/>
    <w:rsid w:val="009A09ED"/>
    <w:rsid w:val="009A110B"/>
    <w:rsid w:val="009A184F"/>
    <w:rsid w:val="009A209A"/>
    <w:rsid w:val="009A26FC"/>
    <w:rsid w:val="009A2CA3"/>
    <w:rsid w:val="009A2D3E"/>
    <w:rsid w:val="009A35A4"/>
    <w:rsid w:val="009A3655"/>
    <w:rsid w:val="009A41A8"/>
    <w:rsid w:val="009A4363"/>
    <w:rsid w:val="009A48E2"/>
    <w:rsid w:val="009A4A06"/>
    <w:rsid w:val="009A4C0D"/>
    <w:rsid w:val="009A5988"/>
    <w:rsid w:val="009A5AF8"/>
    <w:rsid w:val="009A5CF7"/>
    <w:rsid w:val="009A5E1D"/>
    <w:rsid w:val="009A5F3F"/>
    <w:rsid w:val="009A60E9"/>
    <w:rsid w:val="009A6626"/>
    <w:rsid w:val="009A6EC3"/>
    <w:rsid w:val="009A6F38"/>
    <w:rsid w:val="009A70C9"/>
    <w:rsid w:val="009A7305"/>
    <w:rsid w:val="009A79C5"/>
    <w:rsid w:val="009A7E33"/>
    <w:rsid w:val="009B0467"/>
    <w:rsid w:val="009B04C3"/>
    <w:rsid w:val="009B051B"/>
    <w:rsid w:val="009B0C47"/>
    <w:rsid w:val="009B1102"/>
    <w:rsid w:val="009B181F"/>
    <w:rsid w:val="009B185C"/>
    <w:rsid w:val="009B1939"/>
    <w:rsid w:val="009B2325"/>
    <w:rsid w:val="009B24A1"/>
    <w:rsid w:val="009B2BE6"/>
    <w:rsid w:val="009B2C35"/>
    <w:rsid w:val="009B3023"/>
    <w:rsid w:val="009B3596"/>
    <w:rsid w:val="009B3C99"/>
    <w:rsid w:val="009B3E57"/>
    <w:rsid w:val="009B4026"/>
    <w:rsid w:val="009B4B98"/>
    <w:rsid w:val="009B4E54"/>
    <w:rsid w:val="009B4F2E"/>
    <w:rsid w:val="009B4FDE"/>
    <w:rsid w:val="009B5265"/>
    <w:rsid w:val="009B5318"/>
    <w:rsid w:val="009B5346"/>
    <w:rsid w:val="009B5AEE"/>
    <w:rsid w:val="009B6380"/>
    <w:rsid w:val="009B65E1"/>
    <w:rsid w:val="009B66E5"/>
    <w:rsid w:val="009B684E"/>
    <w:rsid w:val="009B6B5D"/>
    <w:rsid w:val="009B6D60"/>
    <w:rsid w:val="009B709F"/>
    <w:rsid w:val="009B711C"/>
    <w:rsid w:val="009B77B0"/>
    <w:rsid w:val="009B7A85"/>
    <w:rsid w:val="009C023C"/>
    <w:rsid w:val="009C0A25"/>
    <w:rsid w:val="009C0B88"/>
    <w:rsid w:val="009C0F36"/>
    <w:rsid w:val="009C1D68"/>
    <w:rsid w:val="009C297A"/>
    <w:rsid w:val="009C2CA4"/>
    <w:rsid w:val="009C320C"/>
    <w:rsid w:val="009C3B4F"/>
    <w:rsid w:val="009C3F0E"/>
    <w:rsid w:val="009C410B"/>
    <w:rsid w:val="009C4CC0"/>
    <w:rsid w:val="009C5576"/>
    <w:rsid w:val="009C58D9"/>
    <w:rsid w:val="009C5CC4"/>
    <w:rsid w:val="009C5DCE"/>
    <w:rsid w:val="009C6900"/>
    <w:rsid w:val="009C6ED5"/>
    <w:rsid w:val="009C75C6"/>
    <w:rsid w:val="009C7627"/>
    <w:rsid w:val="009C7913"/>
    <w:rsid w:val="009C7CE7"/>
    <w:rsid w:val="009C7E13"/>
    <w:rsid w:val="009D034A"/>
    <w:rsid w:val="009D0B5C"/>
    <w:rsid w:val="009D0BB0"/>
    <w:rsid w:val="009D11EA"/>
    <w:rsid w:val="009D139B"/>
    <w:rsid w:val="009D1960"/>
    <w:rsid w:val="009D1B09"/>
    <w:rsid w:val="009D1F1F"/>
    <w:rsid w:val="009D2047"/>
    <w:rsid w:val="009D2B15"/>
    <w:rsid w:val="009D2C74"/>
    <w:rsid w:val="009D2D99"/>
    <w:rsid w:val="009D311E"/>
    <w:rsid w:val="009D32E4"/>
    <w:rsid w:val="009D3C0F"/>
    <w:rsid w:val="009D3F4A"/>
    <w:rsid w:val="009D440F"/>
    <w:rsid w:val="009D4813"/>
    <w:rsid w:val="009D48CE"/>
    <w:rsid w:val="009D4FF8"/>
    <w:rsid w:val="009D5546"/>
    <w:rsid w:val="009D55E0"/>
    <w:rsid w:val="009D5624"/>
    <w:rsid w:val="009D58BF"/>
    <w:rsid w:val="009D5926"/>
    <w:rsid w:val="009D5990"/>
    <w:rsid w:val="009D5BB4"/>
    <w:rsid w:val="009D61A4"/>
    <w:rsid w:val="009D6645"/>
    <w:rsid w:val="009D6943"/>
    <w:rsid w:val="009D6D03"/>
    <w:rsid w:val="009D72C9"/>
    <w:rsid w:val="009D7901"/>
    <w:rsid w:val="009D7CB8"/>
    <w:rsid w:val="009D7D2F"/>
    <w:rsid w:val="009D7EB1"/>
    <w:rsid w:val="009E0223"/>
    <w:rsid w:val="009E043D"/>
    <w:rsid w:val="009E04A7"/>
    <w:rsid w:val="009E07DF"/>
    <w:rsid w:val="009E0835"/>
    <w:rsid w:val="009E0A3F"/>
    <w:rsid w:val="009E0B92"/>
    <w:rsid w:val="009E0C92"/>
    <w:rsid w:val="009E0CF6"/>
    <w:rsid w:val="009E0EE3"/>
    <w:rsid w:val="009E0F05"/>
    <w:rsid w:val="009E11CC"/>
    <w:rsid w:val="009E139B"/>
    <w:rsid w:val="009E283F"/>
    <w:rsid w:val="009E2E52"/>
    <w:rsid w:val="009E2FA4"/>
    <w:rsid w:val="009E31B3"/>
    <w:rsid w:val="009E349F"/>
    <w:rsid w:val="009E34CA"/>
    <w:rsid w:val="009E3676"/>
    <w:rsid w:val="009E4018"/>
    <w:rsid w:val="009E4871"/>
    <w:rsid w:val="009E49BA"/>
    <w:rsid w:val="009E4B54"/>
    <w:rsid w:val="009E4CCA"/>
    <w:rsid w:val="009E4F74"/>
    <w:rsid w:val="009E5146"/>
    <w:rsid w:val="009E54D2"/>
    <w:rsid w:val="009E5584"/>
    <w:rsid w:val="009E5890"/>
    <w:rsid w:val="009E5AE7"/>
    <w:rsid w:val="009E5EDF"/>
    <w:rsid w:val="009E63CF"/>
    <w:rsid w:val="009E66B3"/>
    <w:rsid w:val="009E6973"/>
    <w:rsid w:val="009E6B72"/>
    <w:rsid w:val="009E6E51"/>
    <w:rsid w:val="009E6E82"/>
    <w:rsid w:val="009E736F"/>
    <w:rsid w:val="009E7529"/>
    <w:rsid w:val="009E7566"/>
    <w:rsid w:val="009E7E24"/>
    <w:rsid w:val="009E7E35"/>
    <w:rsid w:val="009E7EB7"/>
    <w:rsid w:val="009F0401"/>
    <w:rsid w:val="009F077E"/>
    <w:rsid w:val="009F0AE6"/>
    <w:rsid w:val="009F0CE8"/>
    <w:rsid w:val="009F0F59"/>
    <w:rsid w:val="009F1423"/>
    <w:rsid w:val="009F21BE"/>
    <w:rsid w:val="009F2C51"/>
    <w:rsid w:val="009F3B8E"/>
    <w:rsid w:val="009F3DD5"/>
    <w:rsid w:val="009F45C3"/>
    <w:rsid w:val="009F530E"/>
    <w:rsid w:val="009F5628"/>
    <w:rsid w:val="009F5652"/>
    <w:rsid w:val="009F58C8"/>
    <w:rsid w:val="009F596B"/>
    <w:rsid w:val="009F5BD0"/>
    <w:rsid w:val="009F614C"/>
    <w:rsid w:val="009F661B"/>
    <w:rsid w:val="009F667A"/>
    <w:rsid w:val="009F70BF"/>
    <w:rsid w:val="009F719E"/>
    <w:rsid w:val="009F7CA4"/>
    <w:rsid w:val="00A00037"/>
    <w:rsid w:val="00A0019A"/>
    <w:rsid w:val="00A00312"/>
    <w:rsid w:val="00A0052B"/>
    <w:rsid w:val="00A00701"/>
    <w:rsid w:val="00A01B69"/>
    <w:rsid w:val="00A01B84"/>
    <w:rsid w:val="00A01EC7"/>
    <w:rsid w:val="00A021A2"/>
    <w:rsid w:val="00A036BE"/>
    <w:rsid w:val="00A03B9D"/>
    <w:rsid w:val="00A03EE1"/>
    <w:rsid w:val="00A04039"/>
    <w:rsid w:val="00A04530"/>
    <w:rsid w:val="00A048D5"/>
    <w:rsid w:val="00A04CA9"/>
    <w:rsid w:val="00A04EA0"/>
    <w:rsid w:val="00A0531B"/>
    <w:rsid w:val="00A053EF"/>
    <w:rsid w:val="00A05520"/>
    <w:rsid w:val="00A055D8"/>
    <w:rsid w:val="00A05FE6"/>
    <w:rsid w:val="00A060C2"/>
    <w:rsid w:val="00A063E2"/>
    <w:rsid w:val="00A06CC5"/>
    <w:rsid w:val="00A071A6"/>
    <w:rsid w:val="00A07286"/>
    <w:rsid w:val="00A1094A"/>
    <w:rsid w:val="00A10D05"/>
    <w:rsid w:val="00A10E04"/>
    <w:rsid w:val="00A1158E"/>
    <w:rsid w:val="00A11832"/>
    <w:rsid w:val="00A11899"/>
    <w:rsid w:val="00A118BD"/>
    <w:rsid w:val="00A11C5E"/>
    <w:rsid w:val="00A11D72"/>
    <w:rsid w:val="00A1217B"/>
    <w:rsid w:val="00A12742"/>
    <w:rsid w:val="00A12780"/>
    <w:rsid w:val="00A12875"/>
    <w:rsid w:val="00A12D6D"/>
    <w:rsid w:val="00A12E80"/>
    <w:rsid w:val="00A13DDB"/>
    <w:rsid w:val="00A13EB1"/>
    <w:rsid w:val="00A15095"/>
    <w:rsid w:val="00A15292"/>
    <w:rsid w:val="00A1543D"/>
    <w:rsid w:val="00A15C2C"/>
    <w:rsid w:val="00A1631D"/>
    <w:rsid w:val="00A165D5"/>
    <w:rsid w:val="00A17647"/>
    <w:rsid w:val="00A17668"/>
    <w:rsid w:val="00A178B6"/>
    <w:rsid w:val="00A17C23"/>
    <w:rsid w:val="00A17E58"/>
    <w:rsid w:val="00A204EB"/>
    <w:rsid w:val="00A2073C"/>
    <w:rsid w:val="00A20AF8"/>
    <w:rsid w:val="00A20B68"/>
    <w:rsid w:val="00A20C08"/>
    <w:rsid w:val="00A20E21"/>
    <w:rsid w:val="00A21AE7"/>
    <w:rsid w:val="00A2241A"/>
    <w:rsid w:val="00A2268B"/>
    <w:rsid w:val="00A2286D"/>
    <w:rsid w:val="00A229E6"/>
    <w:rsid w:val="00A22A49"/>
    <w:rsid w:val="00A22FC9"/>
    <w:rsid w:val="00A23468"/>
    <w:rsid w:val="00A23511"/>
    <w:rsid w:val="00A23AC5"/>
    <w:rsid w:val="00A24969"/>
    <w:rsid w:val="00A24BF5"/>
    <w:rsid w:val="00A24D81"/>
    <w:rsid w:val="00A250E8"/>
    <w:rsid w:val="00A2546B"/>
    <w:rsid w:val="00A25732"/>
    <w:rsid w:val="00A25969"/>
    <w:rsid w:val="00A25E05"/>
    <w:rsid w:val="00A26073"/>
    <w:rsid w:val="00A2653A"/>
    <w:rsid w:val="00A26FC4"/>
    <w:rsid w:val="00A2726A"/>
    <w:rsid w:val="00A30085"/>
    <w:rsid w:val="00A304C7"/>
    <w:rsid w:val="00A30848"/>
    <w:rsid w:val="00A30ADC"/>
    <w:rsid w:val="00A30BC2"/>
    <w:rsid w:val="00A3104C"/>
    <w:rsid w:val="00A310A4"/>
    <w:rsid w:val="00A319A9"/>
    <w:rsid w:val="00A31CE9"/>
    <w:rsid w:val="00A31E58"/>
    <w:rsid w:val="00A322BE"/>
    <w:rsid w:val="00A32527"/>
    <w:rsid w:val="00A325D6"/>
    <w:rsid w:val="00A3269E"/>
    <w:rsid w:val="00A329F6"/>
    <w:rsid w:val="00A32BAD"/>
    <w:rsid w:val="00A32CDA"/>
    <w:rsid w:val="00A3300A"/>
    <w:rsid w:val="00A335E4"/>
    <w:rsid w:val="00A33605"/>
    <w:rsid w:val="00A33870"/>
    <w:rsid w:val="00A33B68"/>
    <w:rsid w:val="00A33BBB"/>
    <w:rsid w:val="00A345C7"/>
    <w:rsid w:val="00A347B1"/>
    <w:rsid w:val="00A3491A"/>
    <w:rsid w:val="00A34E86"/>
    <w:rsid w:val="00A35055"/>
    <w:rsid w:val="00A358C3"/>
    <w:rsid w:val="00A358DE"/>
    <w:rsid w:val="00A359D3"/>
    <w:rsid w:val="00A36432"/>
    <w:rsid w:val="00A36981"/>
    <w:rsid w:val="00A3706A"/>
    <w:rsid w:val="00A37D31"/>
    <w:rsid w:val="00A4019F"/>
    <w:rsid w:val="00A404FF"/>
    <w:rsid w:val="00A40578"/>
    <w:rsid w:val="00A4058A"/>
    <w:rsid w:val="00A4077C"/>
    <w:rsid w:val="00A407E7"/>
    <w:rsid w:val="00A40A84"/>
    <w:rsid w:val="00A40AE6"/>
    <w:rsid w:val="00A4138D"/>
    <w:rsid w:val="00A413EA"/>
    <w:rsid w:val="00A41462"/>
    <w:rsid w:val="00A418A8"/>
    <w:rsid w:val="00A41A0D"/>
    <w:rsid w:val="00A41CB6"/>
    <w:rsid w:val="00A41E27"/>
    <w:rsid w:val="00A4211A"/>
    <w:rsid w:val="00A42331"/>
    <w:rsid w:val="00A4245C"/>
    <w:rsid w:val="00A42763"/>
    <w:rsid w:val="00A42ABA"/>
    <w:rsid w:val="00A42B13"/>
    <w:rsid w:val="00A42E84"/>
    <w:rsid w:val="00A43286"/>
    <w:rsid w:val="00A4387D"/>
    <w:rsid w:val="00A45080"/>
    <w:rsid w:val="00A45730"/>
    <w:rsid w:val="00A459D5"/>
    <w:rsid w:val="00A4727E"/>
    <w:rsid w:val="00A500F0"/>
    <w:rsid w:val="00A502CB"/>
    <w:rsid w:val="00A505D7"/>
    <w:rsid w:val="00A50B18"/>
    <w:rsid w:val="00A50C43"/>
    <w:rsid w:val="00A50EF5"/>
    <w:rsid w:val="00A50F92"/>
    <w:rsid w:val="00A5124D"/>
    <w:rsid w:val="00A5136F"/>
    <w:rsid w:val="00A51397"/>
    <w:rsid w:val="00A51935"/>
    <w:rsid w:val="00A51C41"/>
    <w:rsid w:val="00A51C68"/>
    <w:rsid w:val="00A5218B"/>
    <w:rsid w:val="00A521D8"/>
    <w:rsid w:val="00A5270E"/>
    <w:rsid w:val="00A52922"/>
    <w:rsid w:val="00A52B30"/>
    <w:rsid w:val="00A52BFC"/>
    <w:rsid w:val="00A52BFE"/>
    <w:rsid w:val="00A52FA9"/>
    <w:rsid w:val="00A531D8"/>
    <w:rsid w:val="00A532D2"/>
    <w:rsid w:val="00A5343B"/>
    <w:rsid w:val="00A53539"/>
    <w:rsid w:val="00A537DB"/>
    <w:rsid w:val="00A5427F"/>
    <w:rsid w:val="00A542D7"/>
    <w:rsid w:val="00A5519A"/>
    <w:rsid w:val="00A55339"/>
    <w:rsid w:val="00A553FA"/>
    <w:rsid w:val="00A554E0"/>
    <w:rsid w:val="00A5565C"/>
    <w:rsid w:val="00A55B00"/>
    <w:rsid w:val="00A55CA3"/>
    <w:rsid w:val="00A560D7"/>
    <w:rsid w:val="00A5628A"/>
    <w:rsid w:val="00A564D1"/>
    <w:rsid w:val="00A565A9"/>
    <w:rsid w:val="00A56A0D"/>
    <w:rsid w:val="00A571CC"/>
    <w:rsid w:val="00A601F3"/>
    <w:rsid w:val="00A6052E"/>
    <w:rsid w:val="00A607A4"/>
    <w:rsid w:val="00A607E6"/>
    <w:rsid w:val="00A60C70"/>
    <w:rsid w:val="00A60DFF"/>
    <w:rsid w:val="00A60F12"/>
    <w:rsid w:val="00A615EC"/>
    <w:rsid w:val="00A61E9B"/>
    <w:rsid w:val="00A62EC6"/>
    <w:rsid w:val="00A63841"/>
    <w:rsid w:val="00A640A1"/>
    <w:rsid w:val="00A64CD4"/>
    <w:rsid w:val="00A64FE2"/>
    <w:rsid w:val="00A6545E"/>
    <w:rsid w:val="00A65960"/>
    <w:rsid w:val="00A65973"/>
    <w:rsid w:val="00A65986"/>
    <w:rsid w:val="00A65F05"/>
    <w:rsid w:val="00A663F7"/>
    <w:rsid w:val="00A66B24"/>
    <w:rsid w:val="00A66FFE"/>
    <w:rsid w:val="00A6708B"/>
    <w:rsid w:val="00A67096"/>
    <w:rsid w:val="00A670B5"/>
    <w:rsid w:val="00A672CD"/>
    <w:rsid w:val="00A67670"/>
    <w:rsid w:val="00A6775C"/>
    <w:rsid w:val="00A678A9"/>
    <w:rsid w:val="00A70130"/>
    <w:rsid w:val="00A70C11"/>
    <w:rsid w:val="00A71278"/>
    <w:rsid w:val="00A713F8"/>
    <w:rsid w:val="00A71E8B"/>
    <w:rsid w:val="00A72342"/>
    <w:rsid w:val="00A726F4"/>
    <w:rsid w:val="00A730D8"/>
    <w:rsid w:val="00A732CC"/>
    <w:rsid w:val="00A73915"/>
    <w:rsid w:val="00A73AAA"/>
    <w:rsid w:val="00A73BC6"/>
    <w:rsid w:val="00A74153"/>
    <w:rsid w:val="00A741E5"/>
    <w:rsid w:val="00A743DC"/>
    <w:rsid w:val="00A74EEB"/>
    <w:rsid w:val="00A7541E"/>
    <w:rsid w:val="00A75A67"/>
    <w:rsid w:val="00A75B9B"/>
    <w:rsid w:val="00A75E46"/>
    <w:rsid w:val="00A767E1"/>
    <w:rsid w:val="00A76A2D"/>
    <w:rsid w:val="00A7717B"/>
    <w:rsid w:val="00A778DD"/>
    <w:rsid w:val="00A80906"/>
    <w:rsid w:val="00A80A70"/>
    <w:rsid w:val="00A80DF7"/>
    <w:rsid w:val="00A80EA9"/>
    <w:rsid w:val="00A81155"/>
    <w:rsid w:val="00A81316"/>
    <w:rsid w:val="00A81575"/>
    <w:rsid w:val="00A815DF"/>
    <w:rsid w:val="00A81625"/>
    <w:rsid w:val="00A81707"/>
    <w:rsid w:val="00A819FE"/>
    <w:rsid w:val="00A81A91"/>
    <w:rsid w:val="00A822B2"/>
    <w:rsid w:val="00A823E3"/>
    <w:rsid w:val="00A82CCE"/>
    <w:rsid w:val="00A83257"/>
    <w:rsid w:val="00A835D0"/>
    <w:rsid w:val="00A83D30"/>
    <w:rsid w:val="00A83E7D"/>
    <w:rsid w:val="00A8444C"/>
    <w:rsid w:val="00A84831"/>
    <w:rsid w:val="00A855DB"/>
    <w:rsid w:val="00A85868"/>
    <w:rsid w:val="00A86B67"/>
    <w:rsid w:val="00A8700F"/>
    <w:rsid w:val="00A87116"/>
    <w:rsid w:val="00A8717F"/>
    <w:rsid w:val="00A8754A"/>
    <w:rsid w:val="00A876B1"/>
    <w:rsid w:val="00A87DEC"/>
    <w:rsid w:val="00A87DF0"/>
    <w:rsid w:val="00A9008E"/>
    <w:rsid w:val="00A90225"/>
    <w:rsid w:val="00A91210"/>
    <w:rsid w:val="00A917B7"/>
    <w:rsid w:val="00A91FA4"/>
    <w:rsid w:val="00A92318"/>
    <w:rsid w:val="00A92910"/>
    <w:rsid w:val="00A9309E"/>
    <w:rsid w:val="00A9324A"/>
    <w:rsid w:val="00A9366E"/>
    <w:rsid w:val="00A93C1D"/>
    <w:rsid w:val="00A93CE4"/>
    <w:rsid w:val="00A93E91"/>
    <w:rsid w:val="00A94E69"/>
    <w:rsid w:val="00A95099"/>
    <w:rsid w:val="00A953F5"/>
    <w:rsid w:val="00A954A0"/>
    <w:rsid w:val="00A95AA4"/>
    <w:rsid w:val="00A96521"/>
    <w:rsid w:val="00A96971"/>
    <w:rsid w:val="00A96CDF"/>
    <w:rsid w:val="00A97433"/>
    <w:rsid w:val="00A97763"/>
    <w:rsid w:val="00A97B18"/>
    <w:rsid w:val="00A97C19"/>
    <w:rsid w:val="00AA03DB"/>
    <w:rsid w:val="00AA05AB"/>
    <w:rsid w:val="00AA05E0"/>
    <w:rsid w:val="00AA0964"/>
    <w:rsid w:val="00AA0B12"/>
    <w:rsid w:val="00AA1338"/>
    <w:rsid w:val="00AA1BD7"/>
    <w:rsid w:val="00AA2440"/>
    <w:rsid w:val="00AA2564"/>
    <w:rsid w:val="00AA25F0"/>
    <w:rsid w:val="00AA2E8A"/>
    <w:rsid w:val="00AA304E"/>
    <w:rsid w:val="00AA3799"/>
    <w:rsid w:val="00AA3C12"/>
    <w:rsid w:val="00AA3E0E"/>
    <w:rsid w:val="00AA410A"/>
    <w:rsid w:val="00AA474F"/>
    <w:rsid w:val="00AA4E1A"/>
    <w:rsid w:val="00AA4E81"/>
    <w:rsid w:val="00AA5480"/>
    <w:rsid w:val="00AA5544"/>
    <w:rsid w:val="00AA5C97"/>
    <w:rsid w:val="00AA5E8E"/>
    <w:rsid w:val="00AA6531"/>
    <w:rsid w:val="00AA6FC5"/>
    <w:rsid w:val="00AA7739"/>
    <w:rsid w:val="00AA79BE"/>
    <w:rsid w:val="00AB0515"/>
    <w:rsid w:val="00AB05EA"/>
    <w:rsid w:val="00AB08B6"/>
    <w:rsid w:val="00AB0CF0"/>
    <w:rsid w:val="00AB1118"/>
    <w:rsid w:val="00AB1BD7"/>
    <w:rsid w:val="00AB2605"/>
    <w:rsid w:val="00AB26B0"/>
    <w:rsid w:val="00AB26C6"/>
    <w:rsid w:val="00AB29AF"/>
    <w:rsid w:val="00AB2F7E"/>
    <w:rsid w:val="00AB322B"/>
    <w:rsid w:val="00AB3252"/>
    <w:rsid w:val="00AB383D"/>
    <w:rsid w:val="00AB39E4"/>
    <w:rsid w:val="00AB3AB2"/>
    <w:rsid w:val="00AB3D92"/>
    <w:rsid w:val="00AB3F2B"/>
    <w:rsid w:val="00AB5435"/>
    <w:rsid w:val="00AB6339"/>
    <w:rsid w:val="00AB6A57"/>
    <w:rsid w:val="00AB7845"/>
    <w:rsid w:val="00AB7D94"/>
    <w:rsid w:val="00AB7F2C"/>
    <w:rsid w:val="00AC008D"/>
    <w:rsid w:val="00AC04DF"/>
    <w:rsid w:val="00AC079A"/>
    <w:rsid w:val="00AC0F84"/>
    <w:rsid w:val="00AC1522"/>
    <w:rsid w:val="00AC1B45"/>
    <w:rsid w:val="00AC1C0D"/>
    <w:rsid w:val="00AC2224"/>
    <w:rsid w:val="00AC2241"/>
    <w:rsid w:val="00AC22BA"/>
    <w:rsid w:val="00AC25FC"/>
    <w:rsid w:val="00AC26BE"/>
    <w:rsid w:val="00AC26FF"/>
    <w:rsid w:val="00AC29BE"/>
    <w:rsid w:val="00AC2B55"/>
    <w:rsid w:val="00AC2F81"/>
    <w:rsid w:val="00AC3037"/>
    <w:rsid w:val="00AC30F8"/>
    <w:rsid w:val="00AC33E4"/>
    <w:rsid w:val="00AC35C3"/>
    <w:rsid w:val="00AC3BB9"/>
    <w:rsid w:val="00AC3C9D"/>
    <w:rsid w:val="00AC3D31"/>
    <w:rsid w:val="00AC403B"/>
    <w:rsid w:val="00AC444A"/>
    <w:rsid w:val="00AC4716"/>
    <w:rsid w:val="00AC47E7"/>
    <w:rsid w:val="00AC4A8D"/>
    <w:rsid w:val="00AC558E"/>
    <w:rsid w:val="00AC577C"/>
    <w:rsid w:val="00AC596F"/>
    <w:rsid w:val="00AC5F8B"/>
    <w:rsid w:val="00AC640A"/>
    <w:rsid w:val="00AC6CC2"/>
    <w:rsid w:val="00AC7B7F"/>
    <w:rsid w:val="00AC7C57"/>
    <w:rsid w:val="00AC7E56"/>
    <w:rsid w:val="00AD0736"/>
    <w:rsid w:val="00AD07F1"/>
    <w:rsid w:val="00AD0C27"/>
    <w:rsid w:val="00AD0FDE"/>
    <w:rsid w:val="00AD168F"/>
    <w:rsid w:val="00AD184B"/>
    <w:rsid w:val="00AD2850"/>
    <w:rsid w:val="00AD2B1A"/>
    <w:rsid w:val="00AD2B43"/>
    <w:rsid w:val="00AD3568"/>
    <w:rsid w:val="00AD41D5"/>
    <w:rsid w:val="00AD4C14"/>
    <w:rsid w:val="00AD50FD"/>
    <w:rsid w:val="00AD51BD"/>
    <w:rsid w:val="00AD520C"/>
    <w:rsid w:val="00AD52C9"/>
    <w:rsid w:val="00AD5944"/>
    <w:rsid w:val="00AD60E0"/>
    <w:rsid w:val="00AD6181"/>
    <w:rsid w:val="00AD630F"/>
    <w:rsid w:val="00AD6329"/>
    <w:rsid w:val="00AD66AF"/>
    <w:rsid w:val="00AD6F13"/>
    <w:rsid w:val="00AD70B3"/>
    <w:rsid w:val="00AD76E1"/>
    <w:rsid w:val="00AD7B82"/>
    <w:rsid w:val="00AD7FB1"/>
    <w:rsid w:val="00AE0468"/>
    <w:rsid w:val="00AE0512"/>
    <w:rsid w:val="00AE0962"/>
    <w:rsid w:val="00AE0EAB"/>
    <w:rsid w:val="00AE18C0"/>
    <w:rsid w:val="00AE230E"/>
    <w:rsid w:val="00AE380F"/>
    <w:rsid w:val="00AE3C41"/>
    <w:rsid w:val="00AE3C88"/>
    <w:rsid w:val="00AE3CB4"/>
    <w:rsid w:val="00AE3F63"/>
    <w:rsid w:val="00AE4144"/>
    <w:rsid w:val="00AE41B5"/>
    <w:rsid w:val="00AE4880"/>
    <w:rsid w:val="00AE4D22"/>
    <w:rsid w:val="00AE4D34"/>
    <w:rsid w:val="00AE4E2A"/>
    <w:rsid w:val="00AE5046"/>
    <w:rsid w:val="00AE58A4"/>
    <w:rsid w:val="00AE6AC1"/>
    <w:rsid w:val="00AE7042"/>
    <w:rsid w:val="00AE795B"/>
    <w:rsid w:val="00AF037E"/>
    <w:rsid w:val="00AF0504"/>
    <w:rsid w:val="00AF0BF5"/>
    <w:rsid w:val="00AF0E71"/>
    <w:rsid w:val="00AF1587"/>
    <w:rsid w:val="00AF179E"/>
    <w:rsid w:val="00AF1875"/>
    <w:rsid w:val="00AF1A8C"/>
    <w:rsid w:val="00AF225C"/>
    <w:rsid w:val="00AF29CC"/>
    <w:rsid w:val="00AF31A2"/>
    <w:rsid w:val="00AF373A"/>
    <w:rsid w:val="00AF3975"/>
    <w:rsid w:val="00AF3AB3"/>
    <w:rsid w:val="00AF3BBF"/>
    <w:rsid w:val="00AF3CC6"/>
    <w:rsid w:val="00AF3EAF"/>
    <w:rsid w:val="00AF412C"/>
    <w:rsid w:val="00AF43B5"/>
    <w:rsid w:val="00AF4F68"/>
    <w:rsid w:val="00AF5230"/>
    <w:rsid w:val="00AF5439"/>
    <w:rsid w:val="00AF54BE"/>
    <w:rsid w:val="00AF57D6"/>
    <w:rsid w:val="00AF61DB"/>
    <w:rsid w:val="00AF63BB"/>
    <w:rsid w:val="00AF6EF7"/>
    <w:rsid w:val="00AF7051"/>
    <w:rsid w:val="00AF7508"/>
    <w:rsid w:val="00B00932"/>
    <w:rsid w:val="00B00D3E"/>
    <w:rsid w:val="00B00E01"/>
    <w:rsid w:val="00B00E79"/>
    <w:rsid w:val="00B00F02"/>
    <w:rsid w:val="00B01105"/>
    <w:rsid w:val="00B01850"/>
    <w:rsid w:val="00B02206"/>
    <w:rsid w:val="00B024C3"/>
    <w:rsid w:val="00B0273F"/>
    <w:rsid w:val="00B02DA1"/>
    <w:rsid w:val="00B02F9A"/>
    <w:rsid w:val="00B039B6"/>
    <w:rsid w:val="00B039DA"/>
    <w:rsid w:val="00B03C1C"/>
    <w:rsid w:val="00B03D0E"/>
    <w:rsid w:val="00B03D8E"/>
    <w:rsid w:val="00B0480F"/>
    <w:rsid w:val="00B05810"/>
    <w:rsid w:val="00B05845"/>
    <w:rsid w:val="00B05A28"/>
    <w:rsid w:val="00B05A60"/>
    <w:rsid w:val="00B05CC4"/>
    <w:rsid w:val="00B06A81"/>
    <w:rsid w:val="00B07147"/>
    <w:rsid w:val="00B07182"/>
    <w:rsid w:val="00B078F0"/>
    <w:rsid w:val="00B07AB3"/>
    <w:rsid w:val="00B07B00"/>
    <w:rsid w:val="00B104EE"/>
    <w:rsid w:val="00B105A1"/>
    <w:rsid w:val="00B10830"/>
    <w:rsid w:val="00B11387"/>
    <w:rsid w:val="00B1152B"/>
    <w:rsid w:val="00B1174D"/>
    <w:rsid w:val="00B12C1E"/>
    <w:rsid w:val="00B12DC4"/>
    <w:rsid w:val="00B13562"/>
    <w:rsid w:val="00B136F8"/>
    <w:rsid w:val="00B13B76"/>
    <w:rsid w:val="00B1442D"/>
    <w:rsid w:val="00B150C4"/>
    <w:rsid w:val="00B157B6"/>
    <w:rsid w:val="00B157BE"/>
    <w:rsid w:val="00B15A27"/>
    <w:rsid w:val="00B15ACA"/>
    <w:rsid w:val="00B15B51"/>
    <w:rsid w:val="00B15B5C"/>
    <w:rsid w:val="00B15F96"/>
    <w:rsid w:val="00B16259"/>
    <w:rsid w:val="00B16B40"/>
    <w:rsid w:val="00B16B98"/>
    <w:rsid w:val="00B17295"/>
    <w:rsid w:val="00B17E07"/>
    <w:rsid w:val="00B209B1"/>
    <w:rsid w:val="00B21192"/>
    <w:rsid w:val="00B2131D"/>
    <w:rsid w:val="00B213D0"/>
    <w:rsid w:val="00B214BE"/>
    <w:rsid w:val="00B21B1A"/>
    <w:rsid w:val="00B21BDD"/>
    <w:rsid w:val="00B21F11"/>
    <w:rsid w:val="00B21FAB"/>
    <w:rsid w:val="00B21FDE"/>
    <w:rsid w:val="00B22188"/>
    <w:rsid w:val="00B222B1"/>
    <w:rsid w:val="00B22453"/>
    <w:rsid w:val="00B22798"/>
    <w:rsid w:val="00B22A69"/>
    <w:rsid w:val="00B22CA1"/>
    <w:rsid w:val="00B22D05"/>
    <w:rsid w:val="00B23156"/>
    <w:rsid w:val="00B2328F"/>
    <w:rsid w:val="00B233B5"/>
    <w:rsid w:val="00B233BC"/>
    <w:rsid w:val="00B23843"/>
    <w:rsid w:val="00B23DA0"/>
    <w:rsid w:val="00B23FA3"/>
    <w:rsid w:val="00B24255"/>
    <w:rsid w:val="00B248F1"/>
    <w:rsid w:val="00B24FAC"/>
    <w:rsid w:val="00B250ED"/>
    <w:rsid w:val="00B25100"/>
    <w:rsid w:val="00B255CB"/>
    <w:rsid w:val="00B2568B"/>
    <w:rsid w:val="00B25B04"/>
    <w:rsid w:val="00B25E2D"/>
    <w:rsid w:val="00B2611C"/>
    <w:rsid w:val="00B26605"/>
    <w:rsid w:val="00B26A30"/>
    <w:rsid w:val="00B2734D"/>
    <w:rsid w:val="00B27964"/>
    <w:rsid w:val="00B279A0"/>
    <w:rsid w:val="00B3011C"/>
    <w:rsid w:val="00B302B2"/>
    <w:rsid w:val="00B30487"/>
    <w:rsid w:val="00B307C9"/>
    <w:rsid w:val="00B30886"/>
    <w:rsid w:val="00B30A0F"/>
    <w:rsid w:val="00B30B13"/>
    <w:rsid w:val="00B310BB"/>
    <w:rsid w:val="00B31789"/>
    <w:rsid w:val="00B3199A"/>
    <w:rsid w:val="00B31F24"/>
    <w:rsid w:val="00B3200B"/>
    <w:rsid w:val="00B32BC5"/>
    <w:rsid w:val="00B32EDF"/>
    <w:rsid w:val="00B33033"/>
    <w:rsid w:val="00B33439"/>
    <w:rsid w:val="00B339F6"/>
    <w:rsid w:val="00B33D85"/>
    <w:rsid w:val="00B342DE"/>
    <w:rsid w:val="00B3466A"/>
    <w:rsid w:val="00B34C5B"/>
    <w:rsid w:val="00B36767"/>
    <w:rsid w:val="00B37513"/>
    <w:rsid w:val="00B376C8"/>
    <w:rsid w:val="00B378C5"/>
    <w:rsid w:val="00B4030F"/>
    <w:rsid w:val="00B409D4"/>
    <w:rsid w:val="00B40B83"/>
    <w:rsid w:val="00B40D35"/>
    <w:rsid w:val="00B40F4E"/>
    <w:rsid w:val="00B41086"/>
    <w:rsid w:val="00B411B9"/>
    <w:rsid w:val="00B4184C"/>
    <w:rsid w:val="00B41A64"/>
    <w:rsid w:val="00B41CEA"/>
    <w:rsid w:val="00B42704"/>
    <w:rsid w:val="00B42F6F"/>
    <w:rsid w:val="00B433C5"/>
    <w:rsid w:val="00B43A55"/>
    <w:rsid w:val="00B441FF"/>
    <w:rsid w:val="00B443F1"/>
    <w:rsid w:val="00B449E5"/>
    <w:rsid w:val="00B44EA4"/>
    <w:rsid w:val="00B45677"/>
    <w:rsid w:val="00B458E9"/>
    <w:rsid w:val="00B45E45"/>
    <w:rsid w:val="00B46176"/>
    <w:rsid w:val="00B46538"/>
    <w:rsid w:val="00B4681B"/>
    <w:rsid w:val="00B47200"/>
    <w:rsid w:val="00B47A8D"/>
    <w:rsid w:val="00B47FAC"/>
    <w:rsid w:val="00B501EF"/>
    <w:rsid w:val="00B508E8"/>
    <w:rsid w:val="00B51250"/>
    <w:rsid w:val="00B51973"/>
    <w:rsid w:val="00B51DE9"/>
    <w:rsid w:val="00B52064"/>
    <w:rsid w:val="00B52339"/>
    <w:rsid w:val="00B52526"/>
    <w:rsid w:val="00B5253C"/>
    <w:rsid w:val="00B525FB"/>
    <w:rsid w:val="00B52822"/>
    <w:rsid w:val="00B528CB"/>
    <w:rsid w:val="00B529A2"/>
    <w:rsid w:val="00B52B14"/>
    <w:rsid w:val="00B52C73"/>
    <w:rsid w:val="00B52C7D"/>
    <w:rsid w:val="00B52DDD"/>
    <w:rsid w:val="00B52FC8"/>
    <w:rsid w:val="00B53360"/>
    <w:rsid w:val="00B533C1"/>
    <w:rsid w:val="00B53A6E"/>
    <w:rsid w:val="00B53BD3"/>
    <w:rsid w:val="00B53DF0"/>
    <w:rsid w:val="00B53EC0"/>
    <w:rsid w:val="00B542E6"/>
    <w:rsid w:val="00B54491"/>
    <w:rsid w:val="00B54980"/>
    <w:rsid w:val="00B557C2"/>
    <w:rsid w:val="00B55824"/>
    <w:rsid w:val="00B558D8"/>
    <w:rsid w:val="00B55ED5"/>
    <w:rsid w:val="00B562B3"/>
    <w:rsid w:val="00B56C7A"/>
    <w:rsid w:val="00B56D0C"/>
    <w:rsid w:val="00B56EFA"/>
    <w:rsid w:val="00B57DD8"/>
    <w:rsid w:val="00B57F16"/>
    <w:rsid w:val="00B57F49"/>
    <w:rsid w:val="00B6026A"/>
    <w:rsid w:val="00B60314"/>
    <w:rsid w:val="00B60CD4"/>
    <w:rsid w:val="00B618DE"/>
    <w:rsid w:val="00B61912"/>
    <w:rsid w:val="00B6191A"/>
    <w:rsid w:val="00B61C9B"/>
    <w:rsid w:val="00B61DE8"/>
    <w:rsid w:val="00B623F5"/>
    <w:rsid w:val="00B62721"/>
    <w:rsid w:val="00B62A9E"/>
    <w:rsid w:val="00B632F7"/>
    <w:rsid w:val="00B63536"/>
    <w:rsid w:val="00B63948"/>
    <w:rsid w:val="00B63A0E"/>
    <w:rsid w:val="00B63A64"/>
    <w:rsid w:val="00B63E40"/>
    <w:rsid w:val="00B63E5A"/>
    <w:rsid w:val="00B641D8"/>
    <w:rsid w:val="00B64391"/>
    <w:rsid w:val="00B64730"/>
    <w:rsid w:val="00B64F35"/>
    <w:rsid w:val="00B651E9"/>
    <w:rsid w:val="00B654FD"/>
    <w:rsid w:val="00B660E0"/>
    <w:rsid w:val="00B66238"/>
    <w:rsid w:val="00B665A3"/>
    <w:rsid w:val="00B668F6"/>
    <w:rsid w:val="00B66CFD"/>
    <w:rsid w:val="00B6739D"/>
    <w:rsid w:val="00B67D33"/>
    <w:rsid w:val="00B7039F"/>
    <w:rsid w:val="00B7052F"/>
    <w:rsid w:val="00B7074A"/>
    <w:rsid w:val="00B70CAB"/>
    <w:rsid w:val="00B710F2"/>
    <w:rsid w:val="00B71215"/>
    <w:rsid w:val="00B7208E"/>
    <w:rsid w:val="00B72152"/>
    <w:rsid w:val="00B721D8"/>
    <w:rsid w:val="00B72449"/>
    <w:rsid w:val="00B72DC6"/>
    <w:rsid w:val="00B7317E"/>
    <w:rsid w:val="00B732C6"/>
    <w:rsid w:val="00B739EF"/>
    <w:rsid w:val="00B745F5"/>
    <w:rsid w:val="00B74833"/>
    <w:rsid w:val="00B74AF1"/>
    <w:rsid w:val="00B74B1B"/>
    <w:rsid w:val="00B757D6"/>
    <w:rsid w:val="00B76466"/>
    <w:rsid w:val="00B76835"/>
    <w:rsid w:val="00B770D5"/>
    <w:rsid w:val="00B77F2D"/>
    <w:rsid w:val="00B8022B"/>
    <w:rsid w:val="00B802E5"/>
    <w:rsid w:val="00B80399"/>
    <w:rsid w:val="00B81401"/>
    <w:rsid w:val="00B81669"/>
    <w:rsid w:val="00B81C6E"/>
    <w:rsid w:val="00B81DC9"/>
    <w:rsid w:val="00B81FA9"/>
    <w:rsid w:val="00B8206A"/>
    <w:rsid w:val="00B82080"/>
    <w:rsid w:val="00B8301E"/>
    <w:rsid w:val="00B832EB"/>
    <w:rsid w:val="00B83348"/>
    <w:rsid w:val="00B8338C"/>
    <w:rsid w:val="00B83399"/>
    <w:rsid w:val="00B83CCB"/>
    <w:rsid w:val="00B840DB"/>
    <w:rsid w:val="00B841FA"/>
    <w:rsid w:val="00B843E1"/>
    <w:rsid w:val="00B84637"/>
    <w:rsid w:val="00B8463C"/>
    <w:rsid w:val="00B846DB"/>
    <w:rsid w:val="00B84C51"/>
    <w:rsid w:val="00B850A8"/>
    <w:rsid w:val="00B853E1"/>
    <w:rsid w:val="00B854B5"/>
    <w:rsid w:val="00B859C0"/>
    <w:rsid w:val="00B86575"/>
    <w:rsid w:val="00B86748"/>
    <w:rsid w:val="00B8680D"/>
    <w:rsid w:val="00B86FA0"/>
    <w:rsid w:val="00B871B7"/>
    <w:rsid w:val="00B87923"/>
    <w:rsid w:val="00B87D94"/>
    <w:rsid w:val="00B87FDC"/>
    <w:rsid w:val="00B902C5"/>
    <w:rsid w:val="00B90331"/>
    <w:rsid w:val="00B9068B"/>
    <w:rsid w:val="00B906A7"/>
    <w:rsid w:val="00B908C0"/>
    <w:rsid w:val="00B90B9B"/>
    <w:rsid w:val="00B90D90"/>
    <w:rsid w:val="00B90F32"/>
    <w:rsid w:val="00B91626"/>
    <w:rsid w:val="00B9169F"/>
    <w:rsid w:val="00B917D3"/>
    <w:rsid w:val="00B91987"/>
    <w:rsid w:val="00B91DE3"/>
    <w:rsid w:val="00B924ED"/>
    <w:rsid w:val="00B926CB"/>
    <w:rsid w:val="00B9290E"/>
    <w:rsid w:val="00B9293D"/>
    <w:rsid w:val="00B93184"/>
    <w:rsid w:val="00B933C3"/>
    <w:rsid w:val="00B9399F"/>
    <w:rsid w:val="00B940AF"/>
    <w:rsid w:val="00B94817"/>
    <w:rsid w:val="00B94DDC"/>
    <w:rsid w:val="00B951EF"/>
    <w:rsid w:val="00B953D2"/>
    <w:rsid w:val="00B95592"/>
    <w:rsid w:val="00B95BC4"/>
    <w:rsid w:val="00B961ED"/>
    <w:rsid w:val="00B9642E"/>
    <w:rsid w:val="00B965DB"/>
    <w:rsid w:val="00B967DB"/>
    <w:rsid w:val="00B969DA"/>
    <w:rsid w:val="00B973D7"/>
    <w:rsid w:val="00B97786"/>
    <w:rsid w:val="00B97992"/>
    <w:rsid w:val="00BA016D"/>
    <w:rsid w:val="00BA065F"/>
    <w:rsid w:val="00BA073F"/>
    <w:rsid w:val="00BA0761"/>
    <w:rsid w:val="00BA0C30"/>
    <w:rsid w:val="00BA12E5"/>
    <w:rsid w:val="00BA139C"/>
    <w:rsid w:val="00BA1E9A"/>
    <w:rsid w:val="00BA231A"/>
    <w:rsid w:val="00BA280B"/>
    <w:rsid w:val="00BA2C0D"/>
    <w:rsid w:val="00BA2CD3"/>
    <w:rsid w:val="00BA34D6"/>
    <w:rsid w:val="00BA387C"/>
    <w:rsid w:val="00BA38B7"/>
    <w:rsid w:val="00BA38CB"/>
    <w:rsid w:val="00BA3971"/>
    <w:rsid w:val="00BA3B93"/>
    <w:rsid w:val="00BA3F9B"/>
    <w:rsid w:val="00BA419C"/>
    <w:rsid w:val="00BA41FC"/>
    <w:rsid w:val="00BA42E0"/>
    <w:rsid w:val="00BA4938"/>
    <w:rsid w:val="00BA5250"/>
    <w:rsid w:val="00BA5459"/>
    <w:rsid w:val="00BA5581"/>
    <w:rsid w:val="00BA57AE"/>
    <w:rsid w:val="00BA6482"/>
    <w:rsid w:val="00BA6B25"/>
    <w:rsid w:val="00BA6B46"/>
    <w:rsid w:val="00BA6E98"/>
    <w:rsid w:val="00BA6FB6"/>
    <w:rsid w:val="00BA7184"/>
    <w:rsid w:val="00BA7265"/>
    <w:rsid w:val="00BA7332"/>
    <w:rsid w:val="00BA7C2F"/>
    <w:rsid w:val="00BA7D67"/>
    <w:rsid w:val="00BB01AB"/>
    <w:rsid w:val="00BB058F"/>
    <w:rsid w:val="00BB13FA"/>
    <w:rsid w:val="00BB141B"/>
    <w:rsid w:val="00BB1460"/>
    <w:rsid w:val="00BB1590"/>
    <w:rsid w:val="00BB1864"/>
    <w:rsid w:val="00BB1C0C"/>
    <w:rsid w:val="00BB1DB7"/>
    <w:rsid w:val="00BB1EAF"/>
    <w:rsid w:val="00BB2C55"/>
    <w:rsid w:val="00BB31B3"/>
    <w:rsid w:val="00BB32CB"/>
    <w:rsid w:val="00BB3354"/>
    <w:rsid w:val="00BB41A7"/>
    <w:rsid w:val="00BB4278"/>
    <w:rsid w:val="00BB4675"/>
    <w:rsid w:val="00BB497D"/>
    <w:rsid w:val="00BB4E20"/>
    <w:rsid w:val="00BB4F71"/>
    <w:rsid w:val="00BB4FF4"/>
    <w:rsid w:val="00BB58D8"/>
    <w:rsid w:val="00BB5A2B"/>
    <w:rsid w:val="00BB5B70"/>
    <w:rsid w:val="00BB5DDF"/>
    <w:rsid w:val="00BB63C4"/>
    <w:rsid w:val="00BB63F5"/>
    <w:rsid w:val="00BB63F8"/>
    <w:rsid w:val="00BB6AE4"/>
    <w:rsid w:val="00BB71F5"/>
    <w:rsid w:val="00BB743F"/>
    <w:rsid w:val="00BB7740"/>
    <w:rsid w:val="00BB7DD6"/>
    <w:rsid w:val="00BC0313"/>
    <w:rsid w:val="00BC111D"/>
    <w:rsid w:val="00BC114D"/>
    <w:rsid w:val="00BC1630"/>
    <w:rsid w:val="00BC2473"/>
    <w:rsid w:val="00BC3540"/>
    <w:rsid w:val="00BC3CAD"/>
    <w:rsid w:val="00BC4230"/>
    <w:rsid w:val="00BC4C0E"/>
    <w:rsid w:val="00BC4D51"/>
    <w:rsid w:val="00BC51C8"/>
    <w:rsid w:val="00BC51CA"/>
    <w:rsid w:val="00BC53C2"/>
    <w:rsid w:val="00BC55B9"/>
    <w:rsid w:val="00BC65D3"/>
    <w:rsid w:val="00BC6CDC"/>
    <w:rsid w:val="00BC74CA"/>
    <w:rsid w:val="00BD0F2E"/>
    <w:rsid w:val="00BD16FE"/>
    <w:rsid w:val="00BD17CD"/>
    <w:rsid w:val="00BD1899"/>
    <w:rsid w:val="00BD1DF1"/>
    <w:rsid w:val="00BD1E24"/>
    <w:rsid w:val="00BD3083"/>
    <w:rsid w:val="00BD3971"/>
    <w:rsid w:val="00BD39DB"/>
    <w:rsid w:val="00BD4070"/>
    <w:rsid w:val="00BD51DB"/>
    <w:rsid w:val="00BD523E"/>
    <w:rsid w:val="00BD5402"/>
    <w:rsid w:val="00BD54B7"/>
    <w:rsid w:val="00BD5DE0"/>
    <w:rsid w:val="00BD63E3"/>
    <w:rsid w:val="00BD6470"/>
    <w:rsid w:val="00BD65CE"/>
    <w:rsid w:val="00BD670D"/>
    <w:rsid w:val="00BD6A84"/>
    <w:rsid w:val="00BD6CA4"/>
    <w:rsid w:val="00BD7301"/>
    <w:rsid w:val="00BD74FA"/>
    <w:rsid w:val="00BD7883"/>
    <w:rsid w:val="00BD7E65"/>
    <w:rsid w:val="00BDB7DB"/>
    <w:rsid w:val="00BE035C"/>
    <w:rsid w:val="00BE0544"/>
    <w:rsid w:val="00BE0C50"/>
    <w:rsid w:val="00BE1866"/>
    <w:rsid w:val="00BE210A"/>
    <w:rsid w:val="00BE22BB"/>
    <w:rsid w:val="00BE2392"/>
    <w:rsid w:val="00BE29D2"/>
    <w:rsid w:val="00BE2D28"/>
    <w:rsid w:val="00BE2F14"/>
    <w:rsid w:val="00BE34C2"/>
    <w:rsid w:val="00BE3650"/>
    <w:rsid w:val="00BE36EE"/>
    <w:rsid w:val="00BE39B2"/>
    <w:rsid w:val="00BE3C61"/>
    <w:rsid w:val="00BE5021"/>
    <w:rsid w:val="00BE5240"/>
    <w:rsid w:val="00BE56BC"/>
    <w:rsid w:val="00BE5FDF"/>
    <w:rsid w:val="00BE62A8"/>
    <w:rsid w:val="00BE6513"/>
    <w:rsid w:val="00BE663D"/>
    <w:rsid w:val="00BE6A19"/>
    <w:rsid w:val="00BE6B34"/>
    <w:rsid w:val="00BE6C24"/>
    <w:rsid w:val="00BE72CE"/>
    <w:rsid w:val="00BE7674"/>
    <w:rsid w:val="00BE787D"/>
    <w:rsid w:val="00BE7B81"/>
    <w:rsid w:val="00BF0122"/>
    <w:rsid w:val="00BF02A9"/>
    <w:rsid w:val="00BF051A"/>
    <w:rsid w:val="00BF0739"/>
    <w:rsid w:val="00BF0B37"/>
    <w:rsid w:val="00BF0FB5"/>
    <w:rsid w:val="00BF10E5"/>
    <w:rsid w:val="00BF1431"/>
    <w:rsid w:val="00BF1514"/>
    <w:rsid w:val="00BF1DFE"/>
    <w:rsid w:val="00BF244C"/>
    <w:rsid w:val="00BF259A"/>
    <w:rsid w:val="00BF2759"/>
    <w:rsid w:val="00BF2C13"/>
    <w:rsid w:val="00BF3038"/>
    <w:rsid w:val="00BF34E6"/>
    <w:rsid w:val="00BF35BC"/>
    <w:rsid w:val="00BF3C65"/>
    <w:rsid w:val="00BF4360"/>
    <w:rsid w:val="00BF4487"/>
    <w:rsid w:val="00BF49F5"/>
    <w:rsid w:val="00BF4A85"/>
    <w:rsid w:val="00BF4FE2"/>
    <w:rsid w:val="00BF5308"/>
    <w:rsid w:val="00BF53B6"/>
    <w:rsid w:val="00BF5685"/>
    <w:rsid w:val="00BF571E"/>
    <w:rsid w:val="00BF58C5"/>
    <w:rsid w:val="00BF5984"/>
    <w:rsid w:val="00BF59D1"/>
    <w:rsid w:val="00BF5A3A"/>
    <w:rsid w:val="00BF5AF2"/>
    <w:rsid w:val="00BF6028"/>
    <w:rsid w:val="00BF60CE"/>
    <w:rsid w:val="00BF64A1"/>
    <w:rsid w:val="00BF67FB"/>
    <w:rsid w:val="00BF6F24"/>
    <w:rsid w:val="00BF6FB9"/>
    <w:rsid w:val="00BF741D"/>
    <w:rsid w:val="00BF7823"/>
    <w:rsid w:val="00BF7A19"/>
    <w:rsid w:val="00BF7ADC"/>
    <w:rsid w:val="00BF7CE4"/>
    <w:rsid w:val="00BF7DE0"/>
    <w:rsid w:val="00C000C9"/>
    <w:rsid w:val="00C0016C"/>
    <w:rsid w:val="00C00226"/>
    <w:rsid w:val="00C00E10"/>
    <w:rsid w:val="00C01CB9"/>
    <w:rsid w:val="00C0281F"/>
    <w:rsid w:val="00C03880"/>
    <w:rsid w:val="00C05457"/>
    <w:rsid w:val="00C05549"/>
    <w:rsid w:val="00C05913"/>
    <w:rsid w:val="00C05A2B"/>
    <w:rsid w:val="00C062C9"/>
    <w:rsid w:val="00C06B2B"/>
    <w:rsid w:val="00C075A1"/>
    <w:rsid w:val="00C0762D"/>
    <w:rsid w:val="00C1033C"/>
    <w:rsid w:val="00C104B6"/>
    <w:rsid w:val="00C10696"/>
    <w:rsid w:val="00C10CD8"/>
    <w:rsid w:val="00C10F1D"/>
    <w:rsid w:val="00C1108F"/>
    <w:rsid w:val="00C1128C"/>
    <w:rsid w:val="00C116F1"/>
    <w:rsid w:val="00C11733"/>
    <w:rsid w:val="00C119C5"/>
    <w:rsid w:val="00C11B07"/>
    <w:rsid w:val="00C11C76"/>
    <w:rsid w:val="00C11FB2"/>
    <w:rsid w:val="00C12034"/>
    <w:rsid w:val="00C124C3"/>
    <w:rsid w:val="00C1255E"/>
    <w:rsid w:val="00C128AA"/>
    <w:rsid w:val="00C12D58"/>
    <w:rsid w:val="00C13733"/>
    <w:rsid w:val="00C13848"/>
    <w:rsid w:val="00C13930"/>
    <w:rsid w:val="00C13992"/>
    <w:rsid w:val="00C139C3"/>
    <w:rsid w:val="00C139CC"/>
    <w:rsid w:val="00C13DF2"/>
    <w:rsid w:val="00C14240"/>
    <w:rsid w:val="00C14C18"/>
    <w:rsid w:val="00C150C7"/>
    <w:rsid w:val="00C15113"/>
    <w:rsid w:val="00C15400"/>
    <w:rsid w:val="00C15522"/>
    <w:rsid w:val="00C15B56"/>
    <w:rsid w:val="00C15B99"/>
    <w:rsid w:val="00C15F33"/>
    <w:rsid w:val="00C1652D"/>
    <w:rsid w:val="00C17052"/>
    <w:rsid w:val="00C1710C"/>
    <w:rsid w:val="00C1718A"/>
    <w:rsid w:val="00C175DE"/>
    <w:rsid w:val="00C17B04"/>
    <w:rsid w:val="00C17C16"/>
    <w:rsid w:val="00C20117"/>
    <w:rsid w:val="00C20181"/>
    <w:rsid w:val="00C2032C"/>
    <w:rsid w:val="00C2049B"/>
    <w:rsid w:val="00C2074D"/>
    <w:rsid w:val="00C20844"/>
    <w:rsid w:val="00C20A82"/>
    <w:rsid w:val="00C21136"/>
    <w:rsid w:val="00C21516"/>
    <w:rsid w:val="00C2152B"/>
    <w:rsid w:val="00C21952"/>
    <w:rsid w:val="00C21A64"/>
    <w:rsid w:val="00C2205E"/>
    <w:rsid w:val="00C225B1"/>
    <w:rsid w:val="00C22983"/>
    <w:rsid w:val="00C22E82"/>
    <w:rsid w:val="00C231DC"/>
    <w:rsid w:val="00C233EB"/>
    <w:rsid w:val="00C23EFD"/>
    <w:rsid w:val="00C24ADC"/>
    <w:rsid w:val="00C24B3E"/>
    <w:rsid w:val="00C24B40"/>
    <w:rsid w:val="00C24F0E"/>
    <w:rsid w:val="00C251A0"/>
    <w:rsid w:val="00C2562C"/>
    <w:rsid w:val="00C257F1"/>
    <w:rsid w:val="00C25E2E"/>
    <w:rsid w:val="00C262F0"/>
    <w:rsid w:val="00C2637C"/>
    <w:rsid w:val="00C26429"/>
    <w:rsid w:val="00C2699D"/>
    <w:rsid w:val="00C2715F"/>
    <w:rsid w:val="00C27304"/>
    <w:rsid w:val="00C273AA"/>
    <w:rsid w:val="00C27678"/>
    <w:rsid w:val="00C279F2"/>
    <w:rsid w:val="00C27ED1"/>
    <w:rsid w:val="00C27FC9"/>
    <w:rsid w:val="00C30DB6"/>
    <w:rsid w:val="00C316C5"/>
    <w:rsid w:val="00C317F8"/>
    <w:rsid w:val="00C31A5B"/>
    <w:rsid w:val="00C31A63"/>
    <w:rsid w:val="00C31FC8"/>
    <w:rsid w:val="00C32298"/>
    <w:rsid w:val="00C322D8"/>
    <w:rsid w:val="00C32A5B"/>
    <w:rsid w:val="00C32C04"/>
    <w:rsid w:val="00C32D8F"/>
    <w:rsid w:val="00C33093"/>
    <w:rsid w:val="00C3331F"/>
    <w:rsid w:val="00C334E0"/>
    <w:rsid w:val="00C3355F"/>
    <w:rsid w:val="00C335C2"/>
    <w:rsid w:val="00C335D7"/>
    <w:rsid w:val="00C33BC3"/>
    <w:rsid w:val="00C34002"/>
    <w:rsid w:val="00C340B1"/>
    <w:rsid w:val="00C34245"/>
    <w:rsid w:val="00C342D7"/>
    <w:rsid w:val="00C34579"/>
    <w:rsid w:val="00C34BF8"/>
    <w:rsid w:val="00C34C76"/>
    <w:rsid w:val="00C35451"/>
    <w:rsid w:val="00C356FC"/>
    <w:rsid w:val="00C35BE2"/>
    <w:rsid w:val="00C35FE1"/>
    <w:rsid w:val="00C3633E"/>
    <w:rsid w:val="00C3643B"/>
    <w:rsid w:val="00C36C14"/>
    <w:rsid w:val="00C370F5"/>
    <w:rsid w:val="00C37D42"/>
    <w:rsid w:val="00C37E6B"/>
    <w:rsid w:val="00C409E8"/>
    <w:rsid w:val="00C40B86"/>
    <w:rsid w:val="00C40E97"/>
    <w:rsid w:val="00C40EEF"/>
    <w:rsid w:val="00C414A8"/>
    <w:rsid w:val="00C417A7"/>
    <w:rsid w:val="00C418CA"/>
    <w:rsid w:val="00C419F4"/>
    <w:rsid w:val="00C41A38"/>
    <w:rsid w:val="00C41A9F"/>
    <w:rsid w:val="00C41E29"/>
    <w:rsid w:val="00C431F4"/>
    <w:rsid w:val="00C43238"/>
    <w:rsid w:val="00C438D0"/>
    <w:rsid w:val="00C4397C"/>
    <w:rsid w:val="00C43BC3"/>
    <w:rsid w:val="00C43D2E"/>
    <w:rsid w:val="00C43EBE"/>
    <w:rsid w:val="00C44140"/>
    <w:rsid w:val="00C446BC"/>
    <w:rsid w:val="00C44D46"/>
    <w:rsid w:val="00C45C2E"/>
    <w:rsid w:val="00C4619E"/>
    <w:rsid w:val="00C46511"/>
    <w:rsid w:val="00C46640"/>
    <w:rsid w:val="00C46788"/>
    <w:rsid w:val="00C4688D"/>
    <w:rsid w:val="00C46D65"/>
    <w:rsid w:val="00C47170"/>
    <w:rsid w:val="00C4741F"/>
    <w:rsid w:val="00C47A7C"/>
    <w:rsid w:val="00C47B0F"/>
    <w:rsid w:val="00C47E52"/>
    <w:rsid w:val="00C51467"/>
    <w:rsid w:val="00C514E5"/>
    <w:rsid w:val="00C515DB"/>
    <w:rsid w:val="00C51B83"/>
    <w:rsid w:val="00C522ED"/>
    <w:rsid w:val="00C5235D"/>
    <w:rsid w:val="00C5294A"/>
    <w:rsid w:val="00C52E29"/>
    <w:rsid w:val="00C52FE6"/>
    <w:rsid w:val="00C539AC"/>
    <w:rsid w:val="00C54481"/>
    <w:rsid w:val="00C54670"/>
    <w:rsid w:val="00C5467B"/>
    <w:rsid w:val="00C546D1"/>
    <w:rsid w:val="00C54AED"/>
    <w:rsid w:val="00C54B94"/>
    <w:rsid w:val="00C54D22"/>
    <w:rsid w:val="00C553FC"/>
    <w:rsid w:val="00C55525"/>
    <w:rsid w:val="00C55BDA"/>
    <w:rsid w:val="00C55E0A"/>
    <w:rsid w:val="00C560E7"/>
    <w:rsid w:val="00C565DD"/>
    <w:rsid w:val="00C56B0E"/>
    <w:rsid w:val="00C5754E"/>
    <w:rsid w:val="00C577C4"/>
    <w:rsid w:val="00C57D29"/>
    <w:rsid w:val="00C603A3"/>
    <w:rsid w:val="00C604F0"/>
    <w:rsid w:val="00C6066C"/>
    <w:rsid w:val="00C60908"/>
    <w:rsid w:val="00C60B22"/>
    <w:rsid w:val="00C60B7B"/>
    <w:rsid w:val="00C6137B"/>
    <w:rsid w:val="00C6169B"/>
    <w:rsid w:val="00C62005"/>
    <w:rsid w:val="00C621D4"/>
    <w:rsid w:val="00C62502"/>
    <w:rsid w:val="00C63A59"/>
    <w:rsid w:val="00C63C77"/>
    <w:rsid w:val="00C63D0B"/>
    <w:rsid w:val="00C63ECC"/>
    <w:rsid w:val="00C63F7D"/>
    <w:rsid w:val="00C640EE"/>
    <w:rsid w:val="00C643DB"/>
    <w:rsid w:val="00C64AE2"/>
    <w:rsid w:val="00C64D7D"/>
    <w:rsid w:val="00C656BA"/>
    <w:rsid w:val="00C65DE2"/>
    <w:rsid w:val="00C65E38"/>
    <w:rsid w:val="00C65E95"/>
    <w:rsid w:val="00C664AA"/>
    <w:rsid w:val="00C6654F"/>
    <w:rsid w:val="00C66840"/>
    <w:rsid w:val="00C66A17"/>
    <w:rsid w:val="00C66F26"/>
    <w:rsid w:val="00C6709C"/>
    <w:rsid w:val="00C671BA"/>
    <w:rsid w:val="00C6760B"/>
    <w:rsid w:val="00C67645"/>
    <w:rsid w:val="00C67B51"/>
    <w:rsid w:val="00C67CF6"/>
    <w:rsid w:val="00C67FD8"/>
    <w:rsid w:val="00C7009A"/>
    <w:rsid w:val="00C708AA"/>
    <w:rsid w:val="00C70B56"/>
    <w:rsid w:val="00C70B90"/>
    <w:rsid w:val="00C70BCE"/>
    <w:rsid w:val="00C70C53"/>
    <w:rsid w:val="00C70CA7"/>
    <w:rsid w:val="00C70D1D"/>
    <w:rsid w:val="00C7102D"/>
    <w:rsid w:val="00C71874"/>
    <w:rsid w:val="00C71AC5"/>
    <w:rsid w:val="00C71B8C"/>
    <w:rsid w:val="00C71F41"/>
    <w:rsid w:val="00C72388"/>
    <w:rsid w:val="00C72A5D"/>
    <w:rsid w:val="00C72DA7"/>
    <w:rsid w:val="00C72EE6"/>
    <w:rsid w:val="00C730E6"/>
    <w:rsid w:val="00C736E7"/>
    <w:rsid w:val="00C739A0"/>
    <w:rsid w:val="00C73AB7"/>
    <w:rsid w:val="00C740A5"/>
    <w:rsid w:val="00C74121"/>
    <w:rsid w:val="00C749D7"/>
    <w:rsid w:val="00C74D5A"/>
    <w:rsid w:val="00C751BB"/>
    <w:rsid w:val="00C75586"/>
    <w:rsid w:val="00C75BC3"/>
    <w:rsid w:val="00C75C3F"/>
    <w:rsid w:val="00C76327"/>
    <w:rsid w:val="00C7651A"/>
    <w:rsid w:val="00C76D52"/>
    <w:rsid w:val="00C76DC1"/>
    <w:rsid w:val="00C774BA"/>
    <w:rsid w:val="00C777A6"/>
    <w:rsid w:val="00C779D2"/>
    <w:rsid w:val="00C77E26"/>
    <w:rsid w:val="00C8053B"/>
    <w:rsid w:val="00C8090A"/>
    <w:rsid w:val="00C80AFD"/>
    <w:rsid w:val="00C814D8"/>
    <w:rsid w:val="00C81676"/>
    <w:rsid w:val="00C81714"/>
    <w:rsid w:val="00C818E8"/>
    <w:rsid w:val="00C8223D"/>
    <w:rsid w:val="00C827CD"/>
    <w:rsid w:val="00C83061"/>
    <w:rsid w:val="00C83096"/>
    <w:rsid w:val="00C83169"/>
    <w:rsid w:val="00C8327C"/>
    <w:rsid w:val="00C8349F"/>
    <w:rsid w:val="00C83618"/>
    <w:rsid w:val="00C83765"/>
    <w:rsid w:val="00C83D92"/>
    <w:rsid w:val="00C841FA"/>
    <w:rsid w:val="00C843D7"/>
    <w:rsid w:val="00C84F3F"/>
    <w:rsid w:val="00C85549"/>
    <w:rsid w:val="00C86082"/>
    <w:rsid w:val="00C8637B"/>
    <w:rsid w:val="00C86904"/>
    <w:rsid w:val="00C86991"/>
    <w:rsid w:val="00C86CDC"/>
    <w:rsid w:val="00C86D57"/>
    <w:rsid w:val="00C86EAC"/>
    <w:rsid w:val="00C86FB9"/>
    <w:rsid w:val="00C87857"/>
    <w:rsid w:val="00C87F0C"/>
    <w:rsid w:val="00C90497"/>
    <w:rsid w:val="00C90A10"/>
    <w:rsid w:val="00C90A61"/>
    <w:rsid w:val="00C90BE5"/>
    <w:rsid w:val="00C910BC"/>
    <w:rsid w:val="00C91262"/>
    <w:rsid w:val="00C91C9E"/>
    <w:rsid w:val="00C92188"/>
    <w:rsid w:val="00C9232A"/>
    <w:rsid w:val="00C928D8"/>
    <w:rsid w:val="00C92A48"/>
    <w:rsid w:val="00C92BF7"/>
    <w:rsid w:val="00C92F74"/>
    <w:rsid w:val="00C92FE3"/>
    <w:rsid w:val="00C930EC"/>
    <w:rsid w:val="00C93271"/>
    <w:rsid w:val="00C93355"/>
    <w:rsid w:val="00C936A8"/>
    <w:rsid w:val="00C93C10"/>
    <w:rsid w:val="00C93EF2"/>
    <w:rsid w:val="00C94210"/>
    <w:rsid w:val="00C944F1"/>
    <w:rsid w:val="00C947FC"/>
    <w:rsid w:val="00C94A71"/>
    <w:rsid w:val="00C952E2"/>
    <w:rsid w:val="00C95C7E"/>
    <w:rsid w:val="00C96381"/>
    <w:rsid w:val="00C96855"/>
    <w:rsid w:val="00C96B5B"/>
    <w:rsid w:val="00C9708D"/>
    <w:rsid w:val="00C9760F"/>
    <w:rsid w:val="00C97B38"/>
    <w:rsid w:val="00CA00B9"/>
    <w:rsid w:val="00CA029F"/>
    <w:rsid w:val="00CA045B"/>
    <w:rsid w:val="00CA07D2"/>
    <w:rsid w:val="00CA09E3"/>
    <w:rsid w:val="00CA0DE1"/>
    <w:rsid w:val="00CA14D1"/>
    <w:rsid w:val="00CA177F"/>
    <w:rsid w:val="00CA1CAC"/>
    <w:rsid w:val="00CA1CC7"/>
    <w:rsid w:val="00CA21C3"/>
    <w:rsid w:val="00CA26F1"/>
    <w:rsid w:val="00CA286E"/>
    <w:rsid w:val="00CA2D1B"/>
    <w:rsid w:val="00CA2E15"/>
    <w:rsid w:val="00CA2E3B"/>
    <w:rsid w:val="00CA2FD2"/>
    <w:rsid w:val="00CA300C"/>
    <w:rsid w:val="00CA3876"/>
    <w:rsid w:val="00CA3B97"/>
    <w:rsid w:val="00CA4093"/>
    <w:rsid w:val="00CA4274"/>
    <w:rsid w:val="00CA4761"/>
    <w:rsid w:val="00CA4B48"/>
    <w:rsid w:val="00CA58C8"/>
    <w:rsid w:val="00CA6367"/>
    <w:rsid w:val="00CA711E"/>
    <w:rsid w:val="00CA78B2"/>
    <w:rsid w:val="00CA79CC"/>
    <w:rsid w:val="00CB0572"/>
    <w:rsid w:val="00CB077F"/>
    <w:rsid w:val="00CB0AC3"/>
    <w:rsid w:val="00CB0AF6"/>
    <w:rsid w:val="00CB0BE4"/>
    <w:rsid w:val="00CB0C2C"/>
    <w:rsid w:val="00CB0C3B"/>
    <w:rsid w:val="00CB10AB"/>
    <w:rsid w:val="00CB1175"/>
    <w:rsid w:val="00CB16E2"/>
    <w:rsid w:val="00CB1969"/>
    <w:rsid w:val="00CB1C82"/>
    <w:rsid w:val="00CB233E"/>
    <w:rsid w:val="00CB266F"/>
    <w:rsid w:val="00CB2E11"/>
    <w:rsid w:val="00CB2EC2"/>
    <w:rsid w:val="00CB3368"/>
    <w:rsid w:val="00CB36DB"/>
    <w:rsid w:val="00CB3E3B"/>
    <w:rsid w:val="00CB4199"/>
    <w:rsid w:val="00CB41B0"/>
    <w:rsid w:val="00CB44C0"/>
    <w:rsid w:val="00CB4E2F"/>
    <w:rsid w:val="00CB5468"/>
    <w:rsid w:val="00CB58AF"/>
    <w:rsid w:val="00CB5C2A"/>
    <w:rsid w:val="00CB5D8A"/>
    <w:rsid w:val="00CB6BB5"/>
    <w:rsid w:val="00CB79A8"/>
    <w:rsid w:val="00CB7B02"/>
    <w:rsid w:val="00CC000C"/>
    <w:rsid w:val="00CC04C2"/>
    <w:rsid w:val="00CC0892"/>
    <w:rsid w:val="00CC0BC5"/>
    <w:rsid w:val="00CC10FD"/>
    <w:rsid w:val="00CC1C91"/>
    <w:rsid w:val="00CC1ED4"/>
    <w:rsid w:val="00CC2043"/>
    <w:rsid w:val="00CC2461"/>
    <w:rsid w:val="00CC295F"/>
    <w:rsid w:val="00CC29A6"/>
    <w:rsid w:val="00CC2A5C"/>
    <w:rsid w:val="00CC3063"/>
    <w:rsid w:val="00CC356D"/>
    <w:rsid w:val="00CC363C"/>
    <w:rsid w:val="00CC38A8"/>
    <w:rsid w:val="00CC3C6A"/>
    <w:rsid w:val="00CC430F"/>
    <w:rsid w:val="00CC4BDD"/>
    <w:rsid w:val="00CC4ED8"/>
    <w:rsid w:val="00CC50C8"/>
    <w:rsid w:val="00CC5BE0"/>
    <w:rsid w:val="00CC5F9B"/>
    <w:rsid w:val="00CC62EA"/>
    <w:rsid w:val="00CC6B07"/>
    <w:rsid w:val="00CC7393"/>
    <w:rsid w:val="00CC78D8"/>
    <w:rsid w:val="00CC7EDC"/>
    <w:rsid w:val="00CD00F2"/>
    <w:rsid w:val="00CD0206"/>
    <w:rsid w:val="00CD0440"/>
    <w:rsid w:val="00CD059F"/>
    <w:rsid w:val="00CD08D2"/>
    <w:rsid w:val="00CD0B00"/>
    <w:rsid w:val="00CD0EE1"/>
    <w:rsid w:val="00CD1B59"/>
    <w:rsid w:val="00CD2118"/>
    <w:rsid w:val="00CD226D"/>
    <w:rsid w:val="00CD22D4"/>
    <w:rsid w:val="00CD2315"/>
    <w:rsid w:val="00CD27A4"/>
    <w:rsid w:val="00CD29D9"/>
    <w:rsid w:val="00CD2AA2"/>
    <w:rsid w:val="00CD2C88"/>
    <w:rsid w:val="00CD2E5A"/>
    <w:rsid w:val="00CD2E9D"/>
    <w:rsid w:val="00CD3325"/>
    <w:rsid w:val="00CD3456"/>
    <w:rsid w:val="00CD3600"/>
    <w:rsid w:val="00CD36DC"/>
    <w:rsid w:val="00CD3C4D"/>
    <w:rsid w:val="00CD3F3F"/>
    <w:rsid w:val="00CD4189"/>
    <w:rsid w:val="00CD41B0"/>
    <w:rsid w:val="00CD4224"/>
    <w:rsid w:val="00CD465E"/>
    <w:rsid w:val="00CD51B5"/>
    <w:rsid w:val="00CD5288"/>
    <w:rsid w:val="00CD58FE"/>
    <w:rsid w:val="00CD5F22"/>
    <w:rsid w:val="00CD6379"/>
    <w:rsid w:val="00CD6F98"/>
    <w:rsid w:val="00CD709D"/>
    <w:rsid w:val="00CD74F3"/>
    <w:rsid w:val="00CD7A79"/>
    <w:rsid w:val="00CE0150"/>
    <w:rsid w:val="00CE125E"/>
    <w:rsid w:val="00CE12FA"/>
    <w:rsid w:val="00CE13C5"/>
    <w:rsid w:val="00CE30AB"/>
    <w:rsid w:val="00CE336F"/>
    <w:rsid w:val="00CE341A"/>
    <w:rsid w:val="00CE5567"/>
    <w:rsid w:val="00CE5D86"/>
    <w:rsid w:val="00CE678B"/>
    <w:rsid w:val="00CE68FF"/>
    <w:rsid w:val="00CE6A2B"/>
    <w:rsid w:val="00CE769C"/>
    <w:rsid w:val="00CE7EB9"/>
    <w:rsid w:val="00CE7F77"/>
    <w:rsid w:val="00CF07CD"/>
    <w:rsid w:val="00CF0D3E"/>
    <w:rsid w:val="00CF0DF5"/>
    <w:rsid w:val="00CF18EB"/>
    <w:rsid w:val="00CF1CD2"/>
    <w:rsid w:val="00CF1CE8"/>
    <w:rsid w:val="00CF23EC"/>
    <w:rsid w:val="00CF2787"/>
    <w:rsid w:val="00CF2958"/>
    <w:rsid w:val="00CF33CD"/>
    <w:rsid w:val="00CF375F"/>
    <w:rsid w:val="00CF3E60"/>
    <w:rsid w:val="00CF3FA7"/>
    <w:rsid w:val="00CF454B"/>
    <w:rsid w:val="00CF4A00"/>
    <w:rsid w:val="00CF4A1A"/>
    <w:rsid w:val="00CF525F"/>
    <w:rsid w:val="00CF5D0A"/>
    <w:rsid w:val="00CF5D8C"/>
    <w:rsid w:val="00CF6485"/>
    <w:rsid w:val="00CF740D"/>
    <w:rsid w:val="00CF7506"/>
    <w:rsid w:val="00CF75C8"/>
    <w:rsid w:val="00CF7752"/>
    <w:rsid w:val="00CF7BC7"/>
    <w:rsid w:val="00CF7FE2"/>
    <w:rsid w:val="00D003A5"/>
    <w:rsid w:val="00D0088E"/>
    <w:rsid w:val="00D00B32"/>
    <w:rsid w:val="00D00C7D"/>
    <w:rsid w:val="00D00D8A"/>
    <w:rsid w:val="00D01071"/>
    <w:rsid w:val="00D015D2"/>
    <w:rsid w:val="00D01C17"/>
    <w:rsid w:val="00D0230C"/>
    <w:rsid w:val="00D02CA7"/>
    <w:rsid w:val="00D03218"/>
    <w:rsid w:val="00D03408"/>
    <w:rsid w:val="00D035F2"/>
    <w:rsid w:val="00D03939"/>
    <w:rsid w:val="00D03B1D"/>
    <w:rsid w:val="00D03DBD"/>
    <w:rsid w:val="00D04E21"/>
    <w:rsid w:val="00D05A6B"/>
    <w:rsid w:val="00D05AE0"/>
    <w:rsid w:val="00D05B2E"/>
    <w:rsid w:val="00D061D1"/>
    <w:rsid w:val="00D061FA"/>
    <w:rsid w:val="00D068BA"/>
    <w:rsid w:val="00D06ABD"/>
    <w:rsid w:val="00D06CD2"/>
    <w:rsid w:val="00D06DA1"/>
    <w:rsid w:val="00D06ED3"/>
    <w:rsid w:val="00D075DC"/>
    <w:rsid w:val="00D0779A"/>
    <w:rsid w:val="00D07C6F"/>
    <w:rsid w:val="00D07D24"/>
    <w:rsid w:val="00D07D60"/>
    <w:rsid w:val="00D07EA9"/>
    <w:rsid w:val="00D07FC9"/>
    <w:rsid w:val="00D10476"/>
    <w:rsid w:val="00D108FC"/>
    <w:rsid w:val="00D1125A"/>
    <w:rsid w:val="00D11308"/>
    <w:rsid w:val="00D116DA"/>
    <w:rsid w:val="00D117E6"/>
    <w:rsid w:val="00D11B62"/>
    <w:rsid w:val="00D12414"/>
    <w:rsid w:val="00D12632"/>
    <w:rsid w:val="00D13648"/>
    <w:rsid w:val="00D13897"/>
    <w:rsid w:val="00D13D93"/>
    <w:rsid w:val="00D1401A"/>
    <w:rsid w:val="00D14483"/>
    <w:rsid w:val="00D14593"/>
    <w:rsid w:val="00D147B3"/>
    <w:rsid w:val="00D147CD"/>
    <w:rsid w:val="00D148C9"/>
    <w:rsid w:val="00D14DF6"/>
    <w:rsid w:val="00D14EFE"/>
    <w:rsid w:val="00D15258"/>
    <w:rsid w:val="00D16229"/>
    <w:rsid w:val="00D162C7"/>
    <w:rsid w:val="00D16756"/>
    <w:rsid w:val="00D16919"/>
    <w:rsid w:val="00D1693E"/>
    <w:rsid w:val="00D16A02"/>
    <w:rsid w:val="00D170BD"/>
    <w:rsid w:val="00D17324"/>
    <w:rsid w:val="00D17AD0"/>
    <w:rsid w:val="00D17C36"/>
    <w:rsid w:val="00D17EA3"/>
    <w:rsid w:val="00D20A20"/>
    <w:rsid w:val="00D2110B"/>
    <w:rsid w:val="00D2184F"/>
    <w:rsid w:val="00D219EA"/>
    <w:rsid w:val="00D21DF5"/>
    <w:rsid w:val="00D21F5F"/>
    <w:rsid w:val="00D21FA4"/>
    <w:rsid w:val="00D224DA"/>
    <w:rsid w:val="00D225EC"/>
    <w:rsid w:val="00D237BF"/>
    <w:rsid w:val="00D23E95"/>
    <w:rsid w:val="00D24A29"/>
    <w:rsid w:val="00D24C81"/>
    <w:rsid w:val="00D252F8"/>
    <w:rsid w:val="00D258C0"/>
    <w:rsid w:val="00D25D12"/>
    <w:rsid w:val="00D273B1"/>
    <w:rsid w:val="00D27AE1"/>
    <w:rsid w:val="00D27FB0"/>
    <w:rsid w:val="00D301ED"/>
    <w:rsid w:val="00D30439"/>
    <w:rsid w:val="00D304F4"/>
    <w:rsid w:val="00D305E4"/>
    <w:rsid w:val="00D32490"/>
    <w:rsid w:val="00D32504"/>
    <w:rsid w:val="00D32527"/>
    <w:rsid w:val="00D32685"/>
    <w:rsid w:val="00D3296E"/>
    <w:rsid w:val="00D33174"/>
    <w:rsid w:val="00D3331A"/>
    <w:rsid w:val="00D33967"/>
    <w:rsid w:val="00D33A83"/>
    <w:rsid w:val="00D33BF6"/>
    <w:rsid w:val="00D3461D"/>
    <w:rsid w:val="00D347A6"/>
    <w:rsid w:val="00D34837"/>
    <w:rsid w:val="00D356DA"/>
    <w:rsid w:val="00D35AEB"/>
    <w:rsid w:val="00D35DD4"/>
    <w:rsid w:val="00D35DE8"/>
    <w:rsid w:val="00D35FE5"/>
    <w:rsid w:val="00D36AC9"/>
    <w:rsid w:val="00D36E2C"/>
    <w:rsid w:val="00D37FED"/>
    <w:rsid w:val="00D40061"/>
    <w:rsid w:val="00D40190"/>
    <w:rsid w:val="00D405F1"/>
    <w:rsid w:val="00D4071E"/>
    <w:rsid w:val="00D408CC"/>
    <w:rsid w:val="00D40B83"/>
    <w:rsid w:val="00D40FE7"/>
    <w:rsid w:val="00D41070"/>
    <w:rsid w:val="00D410D6"/>
    <w:rsid w:val="00D4168E"/>
    <w:rsid w:val="00D41748"/>
    <w:rsid w:val="00D41934"/>
    <w:rsid w:val="00D41A07"/>
    <w:rsid w:val="00D41B8A"/>
    <w:rsid w:val="00D42106"/>
    <w:rsid w:val="00D42499"/>
    <w:rsid w:val="00D4287A"/>
    <w:rsid w:val="00D42B36"/>
    <w:rsid w:val="00D43859"/>
    <w:rsid w:val="00D43F00"/>
    <w:rsid w:val="00D43F05"/>
    <w:rsid w:val="00D44476"/>
    <w:rsid w:val="00D448A6"/>
    <w:rsid w:val="00D44D5A"/>
    <w:rsid w:val="00D44FF9"/>
    <w:rsid w:val="00D45780"/>
    <w:rsid w:val="00D45D07"/>
    <w:rsid w:val="00D46080"/>
    <w:rsid w:val="00D460F3"/>
    <w:rsid w:val="00D462F1"/>
    <w:rsid w:val="00D4642A"/>
    <w:rsid w:val="00D4645D"/>
    <w:rsid w:val="00D46C79"/>
    <w:rsid w:val="00D46EC6"/>
    <w:rsid w:val="00D471FD"/>
    <w:rsid w:val="00D4750C"/>
    <w:rsid w:val="00D47585"/>
    <w:rsid w:val="00D4758A"/>
    <w:rsid w:val="00D475EB"/>
    <w:rsid w:val="00D47A18"/>
    <w:rsid w:val="00D47AFC"/>
    <w:rsid w:val="00D5029E"/>
    <w:rsid w:val="00D506E5"/>
    <w:rsid w:val="00D50F78"/>
    <w:rsid w:val="00D50FDF"/>
    <w:rsid w:val="00D51514"/>
    <w:rsid w:val="00D51E5D"/>
    <w:rsid w:val="00D527CC"/>
    <w:rsid w:val="00D5281F"/>
    <w:rsid w:val="00D5290B"/>
    <w:rsid w:val="00D5294D"/>
    <w:rsid w:val="00D529AD"/>
    <w:rsid w:val="00D52FE2"/>
    <w:rsid w:val="00D53327"/>
    <w:rsid w:val="00D533D8"/>
    <w:rsid w:val="00D53E84"/>
    <w:rsid w:val="00D53F14"/>
    <w:rsid w:val="00D54458"/>
    <w:rsid w:val="00D547FB"/>
    <w:rsid w:val="00D548D5"/>
    <w:rsid w:val="00D553F9"/>
    <w:rsid w:val="00D5588E"/>
    <w:rsid w:val="00D5608A"/>
    <w:rsid w:val="00D56439"/>
    <w:rsid w:val="00D568D1"/>
    <w:rsid w:val="00D56D0F"/>
    <w:rsid w:val="00D56EA3"/>
    <w:rsid w:val="00D5708C"/>
    <w:rsid w:val="00D57236"/>
    <w:rsid w:val="00D573AC"/>
    <w:rsid w:val="00D57551"/>
    <w:rsid w:val="00D57922"/>
    <w:rsid w:val="00D57CF9"/>
    <w:rsid w:val="00D57D18"/>
    <w:rsid w:val="00D60052"/>
    <w:rsid w:val="00D60387"/>
    <w:rsid w:val="00D613D2"/>
    <w:rsid w:val="00D6179E"/>
    <w:rsid w:val="00D61845"/>
    <w:rsid w:val="00D619B4"/>
    <w:rsid w:val="00D61B50"/>
    <w:rsid w:val="00D62149"/>
    <w:rsid w:val="00D6237B"/>
    <w:rsid w:val="00D62EAA"/>
    <w:rsid w:val="00D63348"/>
    <w:rsid w:val="00D63468"/>
    <w:rsid w:val="00D63D7F"/>
    <w:rsid w:val="00D64CAC"/>
    <w:rsid w:val="00D65372"/>
    <w:rsid w:val="00D656BC"/>
    <w:rsid w:val="00D6576A"/>
    <w:rsid w:val="00D66166"/>
    <w:rsid w:val="00D6665C"/>
    <w:rsid w:val="00D66662"/>
    <w:rsid w:val="00D66BCB"/>
    <w:rsid w:val="00D66BDB"/>
    <w:rsid w:val="00D67214"/>
    <w:rsid w:val="00D67236"/>
    <w:rsid w:val="00D70154"/>
    <w:rsid w:val="00D70709"/>
    <w:rsid w:val="00D71217"/>
    <w:rsid w:val="00D718BA"/>
    <w:rsid w:val="00D71E0F"/>
    <w:rsid w:val="00D72272"/>
    <w:rsid w:val="00D72296"/>
    <w:rsid w:val="00D72C13"/>
    <w:rsid w:val="00D72D7B"/>
    <w:rsid w:val="00D72F7A"/>
    <w:rsid w:val="00D7317D"/>
    <w:rsid w:val="00D7318F"/>
    <w:rsid w:val="00D735A0"/>
    <w:rsid w:val="00D73C52"/>
    <w:rsid w:val="00D73E41"/>
    <w:rsid w:val="00D7417D"/>
    <w:rsid w:val="00D7433B"/>
    <w:rsid w:val="00D7460D"/>
    <w:rsid w:val="00D74B8C"/>
    <w:rsid w:val="00D74CE9"/>
    <w:rsid w:val="00D75278"/>
    <w:rsid w:val="00D75369"/>
    <w:rsid w:val="00D75417"/>
    <w:rsid w:val="00D754BA"/>
    <w:rsid w:val="00D7599D"/>
    <w:rsid w:val="00D75C31"/>
    <w:rsid w:val="00D75D78"/>
    <w:rsid w:val="00D76F1B"/>
    <w:rsid w:val="00D76FFC"/>
    <w:rsid w:val="00D77035"/>
    <w:rsid w:val="00D770E0"/>
    <w:rsid w:val="00D779CA"/>
    <w:rsid w:val="00D77CE7"/>
    <w:rsid w:val="00D77FB4"/>
    <w:rsid w:val="00D802B8"/>
    <w:rsid w:val="00D8038A"/>
    <w:rsid w:val="00D81D9F"/>
    <w:rsid w:val="00D81F2A"/>
    <w:rsid w:val="00D81FC2"/>
    <w:rsid w:val="00D82281"/>
    <w:rsid w:val="00D8234A"/>
    <w:rsid w:val="00D82406"/>
    <w:rsid w:val="00D82683"/>
    <w:rsid w:val="00D82D0C"/>
    <w:rsid w:val="00D82FBA"/>
    <w:rsid w:val="00D830AC"/>
    <w:rsid w:val="00D83948"/>
    <w:rsid w:val="00D8425A"/>
    <w:rsid w:val="00D84352"/>
    <w:rsid w:val="00D84E23"/>
    <w:rsid w:val="00D856EA"/>
    <w:rsid w:val="00D85EDB"/>
    <w:rsid w:val="00D86BE6"/>
    <w:rsid w:val="00D8720A"/>
    <w:rsid w:val="00D87CAD"/>
    <w:rsid w:val="00D87F26"/>
    <w:rsid w:val="00D90BEE"/>
    <w:rsid w:val="00D9196E"/>
    <w:rsid w:val="00D91980"/>
    <w:rsid w:val="00D9204C"/>
    <w:rsid w:val="00D9213D"/>
    <w:rsid w:val="00D92923"/>
    <w:rsid w:val="00D92A00"/>
    <w:rsid w:val="00D92E4E"/>
    <w:rsid w:val="00D930F2"/>
    <w:rsid w:val="00D932E5"/>
    <w:rsid w:val="00D94545"/>
    <w:rsid w:val="00D949D4"/>
    <w:rsid w:val="00D94A2D"/>
    <w:rsid w:val="00D94BF9"/>
    <w:rsid w:val="00D94F02"/>
    <w:rsid w:val="00D956B2"/>
    <w:rsid w:val="00D96410"/>
    <w:rsid w:val="00D96450"/>
    <w:rsid w:val="00D967B3"/>
    <w:rsid w:val="00D971FC"/>
    <w:rsid w:val="00D97989"/>
    <w:rsid w:val="00D97D7C"/>
    <w:rsid w:val="00DA0022"/>
    <w:rsid w:val="00DA040A"/>
    <w:rsid w:val="00DA0554"/>
    <w:rsid w:val="00DA06C8"/>
    <w:rsid w:val="00DA0766"/>
    <w:rsid w:val="00DA0B58"/>
    <w:rsid w:val="00DA102B"/>
    <w:rsid w:val="00DA1289"/>
    <w:rsid w:val="00DA1301"/>
    <w:rsid w:val="00DA160F"/>
    <w:rsid w:val="00DA161C"/>
    <w:rsid w:val="00DA1A6D"/>
    <w:rsid w:val="00DA1FBD"/>
    <w:rsid w:val="00DA29EF"/>
    <w:rsid w:val="00DA2DA2"/>
    <w:rsid w:val="00DA2F4D"/>
    <w:rsid w:val="00DA2F83"/>
    <w:rsid w:val="00DA30B3"/>
    <w:rsid w:val="00DA3309"/>
    <w:rsid w:val="00DA374A"/>
    <w:rsid w:val="00DA3930"/>
    <w:rsid w:val="00DA3B1B"/>
    <w:rsid w:val="00DA4698"/>
    <w:rsid w:val="00DA47EA"/>
    <w:rsid w:val="00DA5421"/>
    <w:rsid w:val="00DA596F"/>
    <w:rsid w:val="00DA5C21"/>
    <w:rsid w:val="00DA61C9"/>
    <w:rsid w:val="00DA6834"/>
    <w:rsid w:val="00DA6855"/>
    <w:rsid w:val="00DA6885"/>
    <w:rsid w:val="00DA6DAB"/>
    <w:rsid w:val="00DA6DF3"/>
    <w:rsid w:val="00DA6E56"/>
    <w:rsid w:val="00DA6FF7"/>
    <w:rsid w:val="00DA7301"/>
    <w:rsid w:val="00DA74FD"/>
    <w:rsid w:val="00DA785C"/>
    <w:rsid w:val="00DA7ABE"/>
    <w:rsid w:val="00DA7E6B"/>
    <w:rsid w:val="00DB0416"/>
    <w:rsid w:val="00DB0880"/>
    <w:rsid w:val="00DB08B2"/>
    <w:rsid w:val="00DB0F91"/>
    <w:rsid w:val="00DB1150"/>
    <w:rsid w:val="00DB2024"/>
    <w:rsid w:val="00DB2B6B"/>
    <w:rsid w:val="00DB2BC6"/>
    <w:rsid w:val="00DB2F38"/>
    <w:rsid w:val="00DB342E"/>
    <w:rsid w:val="00DB3579"/>
    <w:rsid w:val="00DB35FA"/>
    <w:rsid w:val="00DB38C0"/>
    <w:rsid w:val="00DB3CB5"/>
    <w:rsid w:val="00DB4273"/>
    <w:rsid w:val="00DB4747"/>
    <w:rsid w:val="00DB474D"/>
    <w:rsid w:val="00DB4B1D"/>
    <w:rsid w:val="00DB4B79"/>
    <w:rsid w:val="00DB5025"/>
    <w:rsid w:val="00DB5115"/>
    <w:rsid w:val="00DB5620"/>
    <w:rsid w:val="00DB5A9B"/>
    <w:rsid w:val="00DB5F52"/>
    <w:rsid w:val="00DB6037"/>
    <w:rsid w:val="00DB64B9"/>
    <w:rsid w:val="00DB7112"/>
    <w:rsid w:val="00DB71A5"/>
    <w:rsid w:val="00DB7A6E"/>
    <w:rsid w:val="00DB7E27"/>
    <w:rsid w:val="00DB7E43"/>
    <w:rsid w:val="00DC0007"/>
    <w:rsid w:val="00DC1906"/>
    <w:rsid w:val="00DC1912"/>
    <w:rsid w:val="00DC1B51"/>
    <w:rsid w:val="00DC1E75"/>
    <w:rsid w:val="00DC1F66"/>
    <w:rsid w:val="00DC2454"/>
    <w:rsid w:val="00DC2740"/>
    <w:rsid w:val="00DC2B9A"/>
    <w:rsid w:val="00DC3044"/>
    <w:rsid w:val="00DC3095"/>
    <w:rsid w:val="00DC30A0"/>
    <w:rsid w:val="00DC4053"/>
    <w:rsid w:val="00DC413A"/>
    <w:rsid w:val="00DC45EC"/>
    <w:rsid w:val="00DC4607"/>
    <w:rsid w:val="00DC4959"/>
    <w:rsid w:val="00DC5456"/>
    <w:rsid w:val="00DC5906"/>
    <w:rsid w:val="00DC5A20"/>
    <w:rsid w:val="00DC5B91"/>
    <w:rsid w:val="00DC6491"/>
    <w:rsid w:val="00DC660A"/>
    <w:rsid w:val="00DC68B9"/>
    <w:rsid w:val="00DC6AA1"/>
    <w:rsid w:val="00DC74B7"/>
    <w:rsid w:val="00DC7544"/>
    <w:rsid w:val="00DC7977"/>
    <w:rsid w:val="00DC7C48"/>
    <w:rsid w:val="00DC7EB0"/>
    <w:rsid w:val="00DD02C0"/>
    <w:rsid w:val="00DD0443"/>
    <w:rsid w:val="00DD1027"/>
    <w:rsid w:val="00DD10A0"/>
    <w:rsid w:val="00DD1903"/>
    <w:rsid w:val="00DD1D9A"/>
    <w:rsid w:val="00DD1F03"/>
    <w:rsid w:val="00DD21E7"/>
    <w:rsid w:val="00DD226B"/>
    <w:rsid w:val="00DD24D0"/>
    <w:rsid w:val="00DD2A4B"/>
    <w:rsid w:val="00DD2FE5"/>
    <w:rsid w:val="00DD360D"/>
    <w:rsid w:val="00DD3635"/>
    <w:rsid w:val="00DD3BBD"/>
    <w:rsid w:val="00DD3C2F"/>
    <w:rsid w:val="00DD3F3A"/>
    <w:rsid w:val="00DD441C"/>
    <w:rsid w:val="00DD466F"/>
    <w:rsid w:val="00DD4995"/>
    <w:rsid w:val="00DD52C8"/>
    <w:rsid w:val="00DD5489"/>
    <w:rsid w:val="00DD5597"/>
    <w:rsid w:val="00DD5BE9"/>
    <w:rsid w:val="00DD5DF1"/>
    <w:rsid w:val="00DD5F7C"/>
    <w:rsid w:val="00DD640B"/>
    <w:rsid w:val="00DD6A71"/>
    <w:rsid w:val="00DD6CC2"/>
    <w:rsid w:val="00DD6EFB"/>
    <w:rsid w:val="00DD70A2"/>
    <w:rsid w:val="00DD7C96"/>
    <w:rsid w:val="00DD7C97"/>
    <w:rsid w:val="00DE0110"/>
    <w:rsid w:val="00DE070B"/>
    <w:rsid w:val="00DE0D67"/>
    <w:rsid w:val="00DE0D76"/>
    <w:rsid w:val="00DE0DFF"/>
    <w:rsid w:val="00DE0E45"/>
    <w:rsid w:val="00DE0F9C"/>
    <w:rsid w:val="00DE11F8"/>
    <w:rsid w:val="00DE1312"/>
    <w:rsid w:val="00DE178C"/>
    <w:rsid w:val="00DE18F4"/>
    <w:rsid w:val="00DE26F2"/>
    <w:rsid w:val="00DE29E8"/>
    <w:rsid w:val="00DE2E78"/>
    <w:rsid w:val="00DE306A"/>
    <w:rsid w:val="00DE352E"/>
    <w:rsid w:val="00DE3964"/>
    <w:rsid w:val="00DE3986"/>
    <w:rsid w:val="00DE39ED"/>
    <w:rsid w:val="00DE3C6D"/>
    <w:rsid w:val="00DE4560"/>
    <w:rsid w:val="00DE4651"/>
    <w:rsid w:val="00DE4A1F"/>
    <w:rsid w:val="00DE4F04"/>
    <w:rsid w:val="00DE536D"/>
    <w:rsid w:val="00DE54AA"/>
    <w:rsid w:val="00DE592D"/>
    <w:rsid w:val="00DE5953"/>
    <w:rsid w:val="00DE5FC3"/>
    <w:rsid w:val="00DE6089"/>
    <w:rsid w:val="00DE6FAF"/>
    <w:rsid w:val="00DE7246"/>
    <w:rsid w:val="00DE7A89"/>
    <w:rsid w:val="00DE7C44"/>
    <w:rsid w:val="00DE7DC0"/>
    <w:rsid w:val="00DE7F70"/>
    <w:rsid w:val="00DF0086"/>
    <w:rsid w:val="00DF04FF"/>
    <w:rsid w:val="00DF0591"/>
    <w:rsid w:val="00DF0A6F"/>
    <w:rsid w:val="00DF0D38"/>
    <w:rsid w:val="00DF0DAE"/>
    <w:rsid w:val="00DF0EA3"/>
    <w:rsid w:val="00DF0FBD"/>
    <w:rsid w:val="00DF14BE"/>
    <w:rsid w:val="00DF176B"/>
    <w:rsid w:val="00DF178B"/>
    <w:rsid w:val="00DF1AA3"/>
    <w:rsid w:val="00DF1CB8"/>
    <w:rsid w:val="00DF280C"/>
    <w:rsid w:val="00DF313B"/>
    <w:rsid w:val="00DF34B3"/>
    <w:rsid w:val="00DF377E"/>
    <w:rsid w:val="00DF3923"/>
    <w:rsid w:val="00DF418C"/>
    <w:rsid w:val="00DF536E"/>
    <w:rsid w:val="00DF59A0"/>
    <w:rsid w:val="00DF5E95"/>
    <w:rsid w:val="00DF6169"/>
    <w:rsid w:val="00DF6354"/>
    <w:rsid w:val="00DF6BA9"/>
    <w:rsid w:val="00DF6F5C"/>
    <w:rsid w:val="00DF7142"/>
    <w:rsid w:val="00DF74B1"/>
    <w:rsid w:val="00DF75DE"/>
    <w:rsid w:val="00DF76EF"/>
    <w:rsid w:val="00DF7829"/>
    <w:rsid w:val="00DF7876"/>
    <w:rsid w:val="00DF796D"/>
    <w:rsid w:val="00DF7970"/>
    <w:rsid w:val="00E002CB"/>
    <w:rsid w:val="00E01C46"/>
    <w:rsid w:val="00E01F1B"/>
    <w:rsid w:val="00E02761"/>
    <w:rsid w:val="00E02A43"/>
    <w:rsid w:val="00E02AD8"/>
    <w:rsid w:val="00E02EDA"/>
    <w:rsid w:val="00E03135"/>
    <w:rsid w:val="00E036A5"/>
    <w:rsid w:val="00E036E2"/>
    <w:rsid w:val="00E037E2"/>
    <w:rsid w:val="00E0434D"/>
    <w:rsid w:val="00E04695"/>
    <w:rsid w:val="00E0539A"/>
    <w:rsid w:val="00E05A85"/>
    <w:rsid w:val="00E05DA6"/>
    <w:rsid w:val="00E067DF"/>
    <w:rsid w:val="00E069A4"/>
    <w:rsid w:val="00E06BCD"/>
    <w:rsid w:val="00E06FA2"/>
    <w:rsid w:val="00E07052"/>
    <w:rsid w:val="00E07150"/>
    <w:rsid w:val="00E07343"/>
    <w:rsid w:val="00E07404"/>
    <w:rsid w:val="00E075AA"/>
    <w:rsid w:val="00E07738"/>
    <w:rsid w:val="00E07861"/>
    <w:rsid w:val="00E079B0"/>
    <w:rsid w:val="00E07D79"/>
    <w:rsid w:val="00E10ABF"/>
    <w:rsid w:val="00E10BB8"/>
    <w:rsid w:val="00E111D6"/>
    <w:rsid w:val="00E1185D"/>
    <w:rsid w:val="00E11956"/>
    <w:rsid w:val="00E11FCC"/>
    <w:rsid w:val="00E1239F"/>
    <w:rsid w:val="00E125D1"/>
    <w:rsid w:val="00E127F2"/>
    <w:rsid w:val="00E1291A"/>
    <w:rsid w:val="00E12D32"/>
    <w:rsid w:val="00E12E70"/>
    <w:rsid w:val="00E1363C"/>
    <w:rsid w:val="00E13D65"/>
    <w:rsid w:val="00E13ED8"/>
    <w:rsid w:val="00E140E4"/>
    <w:rsid w:val="00E14889"/>
    <w:rsid w:val="00E14A01"/>
    <w:rsid w:val="00E1527D"/>
    <w:rsid w:val="00E152C6"/>
    <w:rsid w:val="00E153CC"/>
    <w:rsid w:val="00E15865"/>
    <w:rsid w:val="00E15BA6"/>
    <w:rsid w:val="00E15D3B"/>
    <w:rsid w:val="00E15EEA"/>
    <w:rsid w:val="00E1664D"/>
    <w:rsid w:val="00E16D33"/>
    <w:rsid w:val="00E16EA1"/>
    <w:rsid w:val="00E170D6"/>
    <w:rsid w:val="00E17123"/>
    <w:rsid w:val="00E175C9"/>
    <w:rsid w:val="00E179A6"/>
    <w:rsid w:val="00E2019C"/>
    <w:rsid w:val="00E2059D"/>
    <w:rsid w:val="00E2088A"/>
    <w:rsid w:val="00E209CE"/>
    <w:rsid w:val="00E20E71"/>
    <w:rsid w:val="00E2110A"/>
    <w:rsid w:val="00E217C7"/>
    <w:rsid w:val="00E21A15"/>
    <w:rsid w:val="00E21C02"/>
    <w:rsid w:val="00E21D26"/>
    <w:rsid w:val="00E21F9C"/>
    <w:rsid w:val="00E224F8"/>
    <w:rsid w:val="00E2308D"/>
    <w:rsid w:val="00E232D8"/>
    <w:rsid w:val="00E2345B"/>
    <w:rsid w:val="00E236EF"/>
    <w:rsid w:val="00E2375F"/>
    <w:rsid w:val="00E23B70"/>
    <w:rsid w:val="00E24010"/>
    <w:rsid w:val="00E24960"/>
    <w:rsid w:val="00E24B04"/>
    <w:rsid w:val="00E24B85"/>
    <w:rsid w:val="00E2500D"/>
    <w:rsid w:val="00E2515E"/>
    <w:rsid w:val="00E25217"/>
    <w:rsid w:val="00E2522C"/>
    <w:rsid w:val="00E2547C"/>
    <w:rsid w:val="00E27043"/>
    <w:rsid w:val="00E27063"/>
    <w:rsid w:val="00E27944"/>
    <w:rsid w:val="00E27950"/>
    <w:rsid w:val="00E27E55"/>
    <w:rsid w:val="00E30105"/>
    <w:rsid w:val="00E30134"/>
    <w:rsid w:val="00E3047A"/>
    <w:rsid w:val="00E307C8"/>
    <w:rsid w:val="00E30855"/>
    <w:rsid w:val="00E30BA6"/>
    <w:rsid w:val="00E30C91"/>
    <w:rsid w:val="00E30F8B"/>
    <w:rsid w:val="00E3147B"/>
    <w:rsid w:val="00E31560"/>
    <w:rsid w:val="00E31605"/>
    <w:rsid w:val="00E31839"/>
    <w:rsid w:val="00E318B6"/>
    <w:rsid w:val="00E31D3B"/>
    <w:rsid w:val="00E321D2"/>
    <w:rsid w:val="00E3234A"/>
    <w:rsid w:val="00E32500"/>
    <w:rsid w:val="00E32617"/>
    <w:rsid w:val="00E32728"/>
    <w:rsid w:val="00E32C71"/>
    <w:rsid w:val="00E3311F"/>
    <w:rsid w:val="00E340E2"/>
    <w:rsid w:val="00E342F3"/>
    <w:rsid w:val="00E34A44"/>
    <w:rsid w:val="00E34B65"/>
    <w:rsid w:val="00E34E95"/>
    <w:rsid w:val="00E34F57"/>
    <w:rsid w:val="00E354A5"/>
    <w:rsid w:val="00E357F8"/>
    <w:rsid w:val="00E35DDE"/>
    <w:rsid w:val="00E36D01"/>
    <w:rsid w:val="00E37253"/>
    <w:rsid w:val="00E37757"/>
    <w:rsid w:val="00E37A5C"/>
    <w:rsid w:val="00E4008F"/>
    <w:rsid w:val="00E4018C"/>
    <w:rsid w:val="00E4023F"/>
    <w:rsid w:val="00E4028A"/>
    <w:rsid w:val="00E40E29"/>
    <w:rsid w:val="00E41768"/>
    <w:rsid w:val="00E41B0A"/>
    <w:rsid w:val="00E41DF5"/>
    <w:rsid w:val="00E425D7"/>
    <w:rsid w:val="00E426B0"/>
    <w:rsid w:val="00E426FC"/>
    <w:rsid w:val="00E43004"/>
    <w:rsid w:val="00E43B24"/>
    <w:rsid w:val="00E43E45"/>
    <w:rsid w:val="00E44A1A"/>
    <w:rsid w:val="00E44F6B"/>
    <w:rsid w:val="00E450B4"/>
    <w:rsid w:val="00E451A9"/>
    <w:rsid w:val="00E4533D"/>
    <w:rsid w:val="00E454AE"/>
    <w:rsid w:val="00E45552"/>
    <w:rsid w:val="00E457FA"/>
    <w:rsid w:val="00E45AFC"/>
    <w:rsid w:val="00E46350"/>
    <w:rsid w:val="00E467CF"/>
    <w:rsid w:val="00E4790C"/>
    <w:rsid w:val="00E479CA"/>
    <w:rsid w:val="00E47BD8"/>
    <w:rsid w:val="00E47F0F"/>
    <w:rsid w:val="00E50A1A"/>
    <w:rsid w:val="00E50ABE"/>
    <w:rsid w:val="00E50BE4"/>
    <w:rsid w:val="00E50E0A"/>
    <w:rsid w:val="00E50FD5"/>
    <w:rsid w:val="00E510FD"/>
    <w:rsid w:val="00E5144B"/>
    <w:rsid w:val="00E51B9C"/>
    <w:rsid w:val="00E51E26"/>
    <w:rsid w:val="00E51FC4"/>
    <w:rsid w:val="00E52C01"/>
    <w:rsid w:val="00E52E41"/>
    <w:rsid w:val="00E532C6"/>
    <w:rsid w:val="00E53837"/>
    <w:rsid w:val="00E53957"/>
    <w:rsid w:val="00E539A5"/>
    <w:rsid w:val="00E54183"/>
    <w:rsid w:val="00E542C8"/>
    <w:rsid w:val="00E5463F"/>
    <w:rsid w:val="00E546CD"/>
    <w:rsid w:val="00E54B6F"/>
    <w:rsid w:val="00E5508B"/>
    <w:rsid w:val="00E55227"/>
    <w:rsid w:val="00E556D4"/>
    <w:rsid w:val="00E55CCA"/>
    <w:rsid w:val="00E55D80"/>
    <w:rsid w:val="00E55D90"/>
    <w:rsid w:val="00E562D2"/>
    <w:rsid w:val="00E565A7"/>
    <w:rsid w:val="00E5676C"/>
    <w:rsid w:val="00E5698A"/>
    <w:rsid w:val="00E56A64"/>
    <w:rsid w:val="00E56CFF"/>
    <w:rsid w:val="00E5740A"/>
    <w:rsid w:val="00E601B5"/>
    <w:rsid w:val="00E60EEA"/>
    <w:rsid w:val="00E61131"/>
    <w:rsid w:val="00E61202"/>
    <w:rsid w:val="00E61CF5"/>
    <w:rsid w:val="00E620E5"/>
    <w:rsid w:val="00E621ED"/>
    <w:rsid w:val="00E622D0"/>
    <w:rsid w:val="00E62A04"/>
    <w:rsid w:val="00E62A05"/>
    <w:rsid w:val="00E63039"/>
    <w:rsid w:val="00E63181"/>
    <w:rsid w:val="00E6356A"/>
    <w:rsid w:val="00E6361A"/>
    <w:rsid w:val="00E638B3"/>
    <w:rsid w:val="00E63921"/>
    <w:rsid w:val="00E63B82"/>
    <w:rsid w:val="00E63E5E"/>
    <w:rsid w:val="00E6468A"/>
    <w:rsid w:val="00E64A5B"/>
    <w:rsid w:val="00E64CDB"/>
    <w:rsid w:val="00E64E55"/>
    <w:rsid w:val="00E653BA"/>
    <w:rsid w:val="00E6557A"/>
    <w:rsid w:val="00E65C9B"/>
    <w:rsid w:val="00E665BE"/>
    <w:rsid w:val="00E66AFD"/>
    <w:rsid w:val="00E66F89"/>
    <w:rsid w:val="00E678A2"/>
    <w:rsid w:val="00E67900"/>
    <w:rsid w:val="00E70156"/>
    <w:rsid w:val="00E7076E"/>
    <w:rsid w:val="00E7091A"/>
    <w:rsid w:val="00E7131E"/>
    <w:rsid w:val="00E71585"/>
    <w:rsid w:val="00E71880"/>
    <w:rsid w:val="00E71905"/>
    <w:rsid w:val="00E7193E"/>
    <w:rsid w:val="00E72058"/>
    <w:rsid w:val="00E722C2"/>
    <w:rsid w:val="00E72548"/>
    <w:rsid w:val="00E72A6D"/>
    <w:rsid w:val="00E72BFC"/>
    <w:rsid w:val="00E72C4C"/>
    <w:rsid w:val="00E73068"/>
    <w:rsid w:val="00E731F1"/>
    <w:rsid w:val="00E73277"/>
    <w:rsid w:val="00E73539"/>
    <w:rsid w:val="00E7370B"/>
    <w:rsid w:val="00E73A29"/>
    <w:rsid w:val="00E73C22"/>
    <w:rsid w:val="00E73CD8"/>
    <w:rsid w:val="00E73DB3"/>
    <w:rsid w:val="00E74422"/>
    <w:rsid w:val="00E7495E"/>
    <w:rsid w:val="00E74A20"/>
    <w:rsid w:val="00E74FD7"/>
    <w:rsid w:val="00E750AC"/>
    <w:rsid w:val="00E750B6"/>
    <w:rsid w:val="00E751C3"/>
    <w:rsid w:val="00E7566A"/>
    <w:rsid w:val="00E75925"/>
    <w:rsid w:val="00E75AA3"/>
    <w:rsid w:val="00E76393"/>
    <w:rsid w:val="00E76C50"/>
    <w:rsid w:val="00E77966"/>
    <w:rsid w:val="00E77ABD"/>
    <w:rsid w:val="00E77BCB"/>
    <w:rsid w:val="00E77F3F"/>
    <w:rsid w:val="00E77FFD"/>
    <w:rsid w:val="00E80775"/>
    <w:rsid w:val="00E8157B"/>
    <w:rsid w:val="00E818EC"/>
    <w:rsid w:val="00E81AAE"/>
    <w:rsid w:val="00E81F55"/>
    <w:rsid w:val="00E82019"/>
    <w:rsid w:val="00E82148"/>
    <w:rsid w:val="00E82199"/>
    <w:rsid w:val="00E8234C"/>
    <w:rsid w:val="00E82765"/>
    <w:rsid w:val="00E82FE2"/>
    <w:rsid w:val="00E830FD"/>
    <w:rsid w:val="00E83808"/>
    <w:rsid w:val="00E839E2"/>
    <w:rsid w:val="00E83C38"/>
    <w:rsid w:val="00E83E55"/>
    <w:rsid w:val="00E83EFD"/>
    <w:rsid w:val="00E842DC"/>
    <w:rsid w:val="00E84CD2"/>
    <w:rsid w:val="00E85704"/>
    <w:rsid w:val="00E85A8F"/>
    <w:rsid w:val="00E85BC8"/>
    <w:rsid w:val="00E8623E"/>
    <w:rsid w:val="00E866AF"/>
    <w:rsid w:val="00E86880"/>
    <w:rsid w:val="00E869D5"/>
    <w:rsid w:val="00E86E38"/>
    <w:rsid w:val="00E87012"/>
    <w:rsid w:val="00E87404"/>
    <w:rsid w:val="00E87706"/>
    <w:rsid w:val="00E878E2"/>
    <w:rsid w:val="00E87987"/>
    <w:rsid w:val="00E87C8F"/>
    <w:rsid w:val="00E902D7"/>
    <w:rsid w:val="00E908EF"/>
    <w:rsid w:val="00E9096C"/>
    <w:rsid w:val="00E90D86"/>
    <w:rsid w:val="00E910DF"/>
    <w:rsid w:val="00E916FD"/>
    <w:rsid w:val="00E92234"/>
    <w:rsid w:val="00E922A5"/>
    <w:rsid w:val="00E928F7"/>
    <w:rsid w:val="00E92AA9"/>
    <w:rsid w:val="00E93475"/>
    <w:rsid w:val="00E93612"/>
    <w:rsid w:val="00E93742"/>
    <w:rsid w:val="00E9392A"/>
    <w:rsid w:val="00E93B10"/>
    <w:rsid w:val="00E941D1"/>
    <w:rsid w:val="00E94EC0"/>
    <w:rsid w:val="00E96293"/>
    <w:rsid w:val="00E96A9C"/>
    <w:rsid w:val="00E96DEB"/>
    <w:rsid w:val="00E97067"/>
    <w:rsid w:val="00E9724D"/>
    <w:rsid w:val="00E975CF"/>
    <w:rsid w:val="00E975DF"/>
    <w:rsid w:val="00E976A2"/>
    <w:rsid w:val="00E97753"/>
    <w:rsid w:val="00E979C2"/>
    <w:rsid w:val="00E97FDE"/>
    <w:rsid w:val="00EA05D3"/>
    <w:rsid w:val="00EA0712"/>
    <w:rsid w:val="00EA0E0A"/>
    <w:rsid w:val="00EA0F2F"/>
    <w:rsid w:val="00EA12C7"/>
    <w:rsid w:val="00EA13A8"/>
    <w:rsid w:val="00EA18A9"/>
    <w:rsid w:val="00EA1D87"/>
    <w:rsid w:val="00EA1DAB"/>
    <w:rsid w:val="00EA255F"/>
    <w:rsid w:val="00EA25F5"/>
    <w:rsid w:val="00EA270B"/>
    <w:rsid w:val="00EA2755"/>
    <w:rsid w:val="00EA2C8D"/>
    <w:rsid w:val="00EA2D7C"/>
    <w:rsid w:val="00EA386B"/>
    <w:rsid w:val="00EA40AF"/>
    <w:rsid w:val="00EA44AD"/>
    <w:rsid w:val="00EA459B"/>
    <w:rsid w:val="00EA49B8"/>
    <w:rsid w:val="00EA4D8E"/>
    <w:rsid w:val="00EA54B1"/>
    <w:rsid w:val="00EA58D3"/>
    <w:rsid w:val="00EA5CF1"/>
    <w:rsid w:val="00EA5F1F"/>
    <w:rsid w:val="00EA6688"/>
    <w:rsid w:val="00EA72C5"/>
    <w:rsid w:val="00EA73E3"/>
    <w:rsid w:val="00EA7A31"/>
    <w:rsid w:val="00EB02F0"/>
    <w:rsid w:val="00EB0723"/>
    <w:rsid w:val="00EB07C3"/>
    <w:rsid w:val="00EB0ADD"/>
    <w:rsid w:val="00EB0DC8"/>
    <w:rsid w:val="00EB0E13"/>
    <w:rsid w:val="00EB180D"/>
    <w:rsid w:val="00EB1A49"/>
    <w:rsid w:val="00EB2289"/>
    <w:rsid w:val="00EB2779"/>
    <w:rsid w:val="00EB277C"/>
    <w:rsid w:val="00EB27B0"/>
    <w:rsid w:val="00EB2A2E"/>
    <w:rsid w:val="00EB2CD8"/>
    <w:rsid w:val="00EB2D1D"/>
    <w:rsid w:val="00EB2E15"/>
    <w:rsid w:val="00EB2EB3"/>
    <w:rsid w:val="00EB3378"/>
    <w:rsid w:val="00EB3889"/>
    <w:rsid w:val="00EB39B8"/>
    <w:rsid w:val="00EB3AAC"/>
    <w:rsid w:val="00EB418E"/>
    <w:rsid w:val="00EB4296"/>
    <w:rsid w:val="00EB4753"/>
    <w:rsid w:val="00EB4B57"/>
    <w:rsid w:val="00EB4BCC"/>
    <w:rsid w:val="00EB539C"/>
    <w:rsid w:val="00EB544F"/>
    <w:rsid w:val="00EB5A49"/>
    <w:rsid w:val="00EB654D"/>
    <w:rsid w:val="00EB719D"/>
    <w:rsid w:val="00EB7BAD"/>
    <w:rsid w:val="00EC0181"/>
    <w:rsid w:val="00EC11C7"/>
    <w:rsid w:val="00EC121D"/>
    <w:rsid w:val="00EC179A"/>
    <w:rsid w:val="00EC1900"/>
    <w:rsid w:val="00EC1F00"/>
    <w:rsid w:val="00EC230B"/>
    <w:rsid w:val="00EC281F"/>
    <w:rsid w:val="00EC2C3E"/>
    <w:rsid w:val="00EC2EA0"/>
    <w:rsid w:val="00EC3D27"/>
    <w:rsid w:val="00EC3DB8"/>
    <w:rsid w:val="00EC3F70"/>
    <w:rsid w:val="00EC4734"/>
    <w:rsid w:val="00EC4E70"/>
    <w:rsid w:val="00EC53EE"/>
    <w:rsid w:val="00EC5649"/>
    <w:rsid w:val="00EC5FA0"/>
    <w:rsid w:val="00EC63ED"/>
    <w:rsid w:val="00EC6550"/>
    <w:rsid w:val="00EC6958"/>
    <w:rsid w:val="00EC70FC"/>
    <w:rsid w:val="00EC755D"/>
    <w:rsid w:val="00EC7688"/>
    <w:rsid w:val="00EC7A00"/>
    <w:rsid w:val="00ED00CE"/>
    <w:rsid w:val="00ED0627"/>
    <w:rsid w:val="00ED0791"/>
    <w:rsid w:val="00ED0DD6"/>
    <w:rsid w:val="00ED1773"/>
    <w:rsid w:val="00ED1798"/>
    <w:rsid w:val="00ED17B5"/>
    <w:rsid w:val="00ED24BD"/>
    <w:rsid w:val="00ED276F"/>
    <w:rsid w:val="00ED2953"/>
    <w:rsid w:val="00ED3039"/>
    <w:rsid w:val="00ED389F"/>
    <w:rsid w:val="00ED3D2F"/>
    <w:rsid w:val="00ED3E16"/>
    <w:rsid w:val="00ED405D"/>
    <w:rsid w:val="00ED410C"/>
    <w:rsid w:val="00ED4A2E"/>
    <w:rsid w:val="00ED5081"/>
    <w:rsid w:val="00ED5479"/>
    <w:rsid w:val="00ED5E4A"/>
    <w:rsid w:val="00ED6451"/>
    <w:rsid w:val="00ED659F"/>
    <w:rsid w:val="00ED7106"/>
    <w:rsid w:val="00ED75EE"/>
    <w:rsid w:val="00ED7DF2"/>
    <w:rsid w:val="00ED7EC1"/>
    <w:rsid w:val="00EE0177"/>
    <w:rsid w:val="00EE026E"/>
    <w:rsid w:val="00EE0435"/>
    <w:rsid w:val="00EE0EA8"/>
    <w:rsid w:val="00EE12F8"/>
    <w:rsid w:val="00EE166E"/>
    <w:rsid w:val="00EE1ACB"/>
    <w:rsid w:val="00EE1B69"/>
    <w:rsid w:val="00EE1DFA"/>
    <w:rsid w:val="00EE2A49"/>
    <w:rsid w:val="00EE306C"/>
    <w:rsid w:val="00EE3279"/>
    <w:rsid w:val="00EE3424"/>
    <w:rsid w:val="00EE3672"/>
    <w:rsid w:val="00EE3A48"/>
    <w:rsid w:val="00EE3F92"/>
    <w:rsid w:val="00EE40CB"/>
    <w:rsid w:val="00EE49EC"/>
    <w:rsid w:val="00EE4B8B"/>
    <w:rsid w:val="00EE52E8"/>
    <w:rsid w:val="00EE658A"/>
    <w:rsid w:val="00EE6BA2"/>
    <w:rsid w:val="00EE6D6E"/>
    <w:rsid w:val="00EE7425"/>
    <w:rsid w:val="00EE7D94"/>
    <w:rsid w:val="00EE7F65"/>
    <w:rsid w:val="00EF00F6"/>
    <w:rsid w:val="00EF0142"/>
    <w:rsid w:val="00EF0436"/>
    <w:rsid w:val="00EF07BC"/>
    <w:rsid w:val="00EF124C"/>
    <w:rsid w:val="00EF1398"/>
    <w:rsid w:val="00EF1AB7"/>
    <w:rsid w:val="00EF22E6"/>
    <w:rsid w:val="00EF274F"/>
    <w:rsid w:val="00EF2F63"/>
    <w:rsid w:val="00EF316B"/>
    <w:rsid w:val="00EF36FB"/>
    <w:rsid w:val="00EF38BE"/>
    <w:rsid w:val="00EF3A49"/>
    <w:rsid w:val="00EF3A5E"/>
    <w:rsid w:val="00EF3B5B"/>
    <w:rsid w:val="00EF3FCD"/>
    <w:rsid w:val="00EF4696"/>
    <w:rsid w:val="00EF4A66"/>
    <w:rsid w:val="00EF4DA8"/>
    <w:rsid w:val="00EF4FB4"/>
    <w:rsid w:val="00EF5204"/>
    <w:rsid w:val="00EF5776"/>
    <w:rsid w:val="00EF5873"/>
    <w:rsid w:val="00EF5B25"/>
    <w:rsid w:val="00EF64BF"/>
    <w:rsid w:val="00EF6605"/>
    <w:rsid w:val="00EF7471"/>
    <w:rsid w:val="00F0034F"/>
    <w:rsid w:val="00F00811"/>
    <w:rsid w:val="00F00ACE"/>
    <w:rsid w:val="00F00D98"/>
    <w:rsid w:val="00F01052"/>
    <w:rsid w:val="00F01138"/>
    <w:rsid w:val="00F01174"/>
    <w:rsid w:val="00F012E2"/>
    <w:rsid w:val="00F01512"/>
    <w:rsid w:val="00F01658"/>
    <w:rsid w:val="00F017E0"/>
    <w:rsid w:val="00F01DD4"/>
    <w:rsid w:val="00F01F74"/>
    <w:rsid w:val="00F020D3"/>
    <w:rsid w:val="00F0244D"/>
    <w:rsid w:val="00F026D9"/>
    <w:rsid w:val="00F02C3A"/>
    <w:rsid w:val="00F02C77"/>
    <w:rsid w:val="00F02CA6"/>
    <w:rsid w:val="00F02D8A"/>
    <w:rsid w:val="00F02EA7"/>
    <w:rsid w:val="00F02ECA"/>
    <w:rsid w:val="00F02FA1"/>
    <w:rsid w:val="00F030C9"/>
    <w:rsid w:val="00F0360D"/>
    <w:rsid w:val="00F03ACB"/>
    <w:rsid w:val="00F03C9B"/>
    <w:rsid w:val="00F04261"/>
    <w:rsid w:val="00F04779"/>
    <w:rsid w:val="00F04A40"/>
    <w:rsid w:val="00F04AC5"/>
    <w:rsid w:val="00F056FA"/>
    <w:rsid w:val="00F057B6"/>
    <w:rsid w:val="00F05B22"/>
    <w:rsid w:val="00F06250"/>
    <w:rsid w:val="00F06943"/>
    <w:rsid w:val="00F06FAA"/>
    <w:rsid w:val="00F07295"/>
    <w:rsid w:val="00F07ADE"/>
    <w:rsid w:val="00F07C50"/>
    <w:rsid w:val="00F07CFE"/>
    <w:rsid w:val="00F07FD5"/>
    <w:rsid w:val="00F102D8"/>
    <w:rsid w:val="00F1086B"/>
    <w:rsid w:val="00F10B80"/>
    <w:rsid w:val="00F10EF2"/>
    <w:rsid w:val="00F11204"/>
    <w:rsid w:val="00F114EA"/>
    <w:rsid w:val="00F11989"/>
    <w:rsid w:val="00F11B82"/>
    <w:rsid w:val="00F11CFC"/>
    <w:rsid w:val="00F12487"/>
    <w:rsid w:val="00F1258F"/>
    <w:rsid w:val="00F1267D"/>
    <w:rsid w:val="00F12A31"/>
    <w:rsid w:val="00F12BA1"/>
    <w:rsid w:val="00F12C46"/>
    <w:rsid w:val="00F12F84"/>
    <w:rsid w:val="00F1314D"/>
    <w:rsid w:val="00F13C4D"/>
    <w:rsid w:val="00F13D60"/>
    <w:rsid w:val="00F13DDB"/>
    <w:rsid w:val="00F145EF"/>
    <w:rsid w:val="00F145F7"/>
    <w:rsid w:val="00F14926"/>
    <w:rsid w:val="00F1493D"/>
    <w:rsid w:val="00F14BDF"/>
    <w:rsid w:val="00F15350"/>
    <w:rsid w:val="00F1544F"/>
    <w:rsid w:val="00F15699"/>
    <w:rsid w:val="00F156E9"/>
    <w:rsid w:val="00F15894"/>
    <w:rsid w:val="00F15DC8"/>
    <w:rsid w:val="00F1600D"/>
    <w:rsid w:val="00F163A2"/>
    <w:rsid w:val="00F16495"/>
    <w:rsid w:val="00F166A0"/>
    <w:rsid w:val="00F16706"/>
    <w:rsid w:val="00F170AC"/>
    <w:rsid w:val="00F171C7"/>
    <w:rsid w:val="00F1745C"/>
    <w:rsid w:val="00F176B2"/>
    <w:rsid w:val="00F20069"/>
    <w:rsid w:val="00F201FE"/>
    <w:rsid w:val="00F206EF"/>
    <w:rsid w:val="00F20984"/>
    <w:rsid w:val="00F20AA6"/>
    <w:rsid w:val="00F21000"/>
    <w:rsid w:val="00F216B9"/>
    <w:rsid w:val="00F217F1"/>
    <w:rsid w:val="00F21E62"/>
    <w:rsid w:val="00F220B0"/>
    <w:rsid w:val="00F2268F"/>
    <w:rsid w:val="00F22899"/>
    <w:rsid w:val="00F22A79"/>
    <w:rsid w:val="00F22D12"/>
    <w:rsid w:val="00F23183"/>
    <w:rsid w:val="00F2348C"/>
    <w:rsid w:val="00F234C7"/>
    <w:rsid w:val="00F2354F"/>
    <w:rsid w:val="00F2385A"/>
    <w:rsid w:val="00F23C26"/>
    <w:rsid w:val="00F24233"/>
    <w:rsid w:val="00F242D9"/>
    <w:rsid w:val="00F242F8"/>
    <w:rsid w:val="00F2452A"/>
    <w:rsid w:val="00F257F9"/>
    <w:rsid w:val="00F25E94"/>
    <w:rsid w:val="00F25EC8"/>
    <w:rsid w:val="00F26144"/>
    <w:rsid w:val="00F26177"/>
    <w:rsid w:val="00F26946"/>
    <w:rsid w:val="00F2717C"/>
    <w:rsid w:val="00F27369"/>
    <w:rsid w:val="00F27EA6"/>
    <w:rsid w:val="00F30FE6"/>
    <w:rsid w:val="00F312E1"/>
    <w:rsid w:val="00F316DB"/>
    <w:rsid w:val="00F31886"/>
    <w:rsid w:val="00F31CA3"/>
    <w:rsid w:val="00F31F17"/>
    <w:rsid w:val="00F3234E"/>
    <w:rsid w:val="00F3265E"/>
    <w:rsid w:val="00F32A3B"/>
    <w:rsid w:val="00F32E8C"/>
    <w:rsid w:val="00F3354C"/>
    <w:rsid w:val="00F3372D"/>
    <w:rsid w:val="00F338D8"/>
    <w:rsid w:val="00F34BB5"/>
    <w:rsid w:val="00F34C41"/>
    <w:rsid w:val="00F351FD"/>
    <w:rsid w:val="00F35417"/>
    <w:rsid w:val="00F357BB"/>
    <w:rsid w:val="00F35D65"/>
    <w:rsid w:val="00F35EB1"/>
    <w:rsid w:val="00F36157"/>
    <w:rsid w:val="00F36379"/>
    <w:rsid w:val="00F3676D"/>
    <w:rsid w:val="00F36B5B"/>
    <w:rsid w:val="00F36F78"/>
    <w:rsid w:val="00F36FAE"/>
    <w:rsid w:val="00F375CE"/>
    <w:rsid w:val="00F37A8C"/>
    <w:rsid w:val="00F37C7D"/>
    <w:rsid w:val="00F4010E"/>
    <w:rsid w:val="00F4031D"/>
    <w:rsid w:val="00F4038F"/>
    <w:rsid w:val="00F4081E"/>
    <w:rsid w:val="00F40D45"/>
    <w:rsid w:val="00F413CA"/>
    <w:rsid w:val="00F41784"/>
    <w:rsid w:val="00F41B3D"/>
    <w:rsid w:val="00F41B56"/>
    <w:rsid w:val="00F41E15"/>
    <w:rsid w:val="00F41E46"/>
    <w:rsid w:val="00F427B3"/>
    <w:rsid w:val="00F42CED"/>
    <w:rsid w:val="00F434EE"/>
    <w:rsid w:val="00F43780"/>
    <w:rsid w:val="00F43D57"/>
    <w:rsid w:val="00F43DD2"/>
    <w:rsid w:val="00F43EDC"/>
    <w:rsid w:val="00F44054"/>
    <w:rsid w:val="00F443CD"/>
    <w:rsid w:val="00F44EBA"/>
    <w:rsid w:val="00F463FD"/>
    <w:rsid w:val="00F46505"/>
    <w:rsid w:val="00F46717"/>
    <w:rsid w:val="00F46727"/>
    <w:rsid w:val="00F46971"/>
    <w:rsid w:val="00F46E7D"/>
    <w:rsid w:val="00F47472"/>
    <w:rsid w:val="00F478EF"/>
    <w:rsid w:val="00F5043B"/>
    <w:rsid w:val="00F50622"/>
    <w:rsid w:val="00F509D5"/>
    <w:rsid w:val="00F5184A"/>
    <w:rsid w:val="00F51B6B"/>
    <w:rsid w:val="00F52172"/>
    <w:rsid w:val="00F52204"/>
    <w:rsid w:val="00F52E0F"/>
    <w:rsid w:val="00F53011"/>
    <w:rsid w:val="00F5361A"/>
    <w:rsid w:val="00F53F83"/>
    <w:rsid w:val="00F5403E"/>
    <w:rsid w:val="00F54223"/>
    <w:rsid w:val="00F542C3"/>
    <w:rsid w:val="00F542DE"/>
    <w:rsid w:val="00F5477C"/>
    <w:rsid w:val="00F549CB"/>
    <w:rsid w:val="00F54EBB"/>
    <w:rsid w:val="00F5528C"/>
    <w:rsid w:val="00F55630"/>
    <w:rsid w:val="00F55AF7"/>
    <w:rsid w:val="00F55B3F"/>
    <w:rsid w:val="00F55CC0"/>
    <w:rsid w:val="00F55F09"/>
    <w:rsid w:val="00F56206"/>
    <w:rsid w:val="00F56207"/>
    <w:rsid w:val="00F569C0"/>
    <w:rsid w:val="00F56A7D"/>
    <w:rsid w:val="00F571A5"/>
    <w:rsid w:val="00F57A80"/>
    <w:rsid w:val="00F603DE"/>
    <w:rsid w:val="00F6071C"/>
    <w:rsid w:val="00F60C9B"/>
    <w:rsid w:val="00F60CA6"/>
    <w:rsid w:val="00F60CF5"/>
    <w:rsid w:val="00F614CE"/>
    <w:rsid w:val="00F61E8B"/>
    <w:rsid w:val="00F61FC2"/>
    <w:rsid w:val="00F62A60"/>
    <w:rsid w:val="00F63D5D"/>
    <w:rsid w:val="00F63DE0"/>
    <w:rsid w:val="00F6416E"/>
    <w:rsid w:val="00F64642"/>
    <w:rsid w:val="00F649DB"/>
    <w:rsid w:val="00F64DCC"/>
    <w:rsid w:val="00F64DDB"/>
    <w:rsid w:val="00F64F76"/>
    <w:rsid w:val="00F6505A"/>
    <w:rsid w:val="00F6526E"/>
    <w:rsid w:val="00F65A92"/>
    <w:rsid w:val="00F65CDA"/>
    <w:rsid w:val="00F65CF4"/>
    <w:rsid w:val="00F668BA"/>
    <w:rsid w:val="00F672A5"/>
    <w:rsid w:val="00F6756B"/>
    <w:rsid w:val="00F6774E"/>
    <w:rsid w:val="00F67A97"/>
    <w:rsid w:val="00F70346"/>
    <w:rsid w:val="00F706B5"/>
    <w:rsid w:val="00F70CA4"/>
    <w:rsid w:val="00F70F80"/>
    <w:rsid w:val="00F7131A"/>
    <w:rsid w:val="00F71639"/>
    <w:rsid w:val="00F7190C"/>
    <w:rsid w:val="00F7254A"/>
    <w:rsid w:val="00F7271D"/>
    <w:rsid w:val="00F7276A"/>
    <w:rsid w:val="00F727D3"/>
    <w:rsid w:val="00F72844"/>
    <w:rsid w:val="00F731F4"/>
    <w:rsid w:val="00F73291"/>
    <w:rsid w:val="00F73316"/>
    <w:rsid w:val="00F73B51"/>
    <w:rsid w:val="00F73BB1"/>
    <w:rsid w:val="00F73F8D"/>
    <w:rsid w:val="00F7468E"/>
    <w:rsid w:val="00F747F9"/>
    <w:rsid w:val="00F751A9"/>
    <w:rsid w:val="00F7579D"/>
    <w:rsid w:val="00F75C32"/>
    <w:rsid w:val="00F75CB8"/>
    <w:rsid w:val="00F761BA"/>
    <w:rsid w:val="00F763C8"/>
    <w:rsid w:val="00F77043"/>
    <w:rsid w:val="00F77D47"/>
    <w:rsid w:val="00F80209"/>
    <w:rsid w:val="00F81375"/>
    <w:rsid w:val="00F8142E"/>
    <w:rsid w:val="00F8184F"/>
    <w:rsid w:val="00F8197B"/>
    <w:rsid w:val="00F81FF3"/>
    <w:rsid w:val="00F82EAC"/>
    <w:rsid w:val="00F830B8"/>
    <w:rsid w:val="00F838B8"/>
    <w:rsid w:val="00F83DAA"/>
    <w:rsid w:val="00F840C3"/>
    <w:rsid w:val="00F844FF"/>
    <w:rsid w:val="00F84764"/>
    <w:rsid w:val="00F849B8"/>
    <w:rsid w:val="00F84B60"/>
    <w:rsid w:val="00F85A67"/>
    <w:rsid w:val="00F85A6E"/>
    <w:rsid w:val="00F85AF1"/>
    <w:rsid w:val="00F85CDD"/>
    <w:rsid w:val="00F85CF2"/>
    <w:rsid w:val="00F862D5"/>
    <w:rsid w:val="00F86369"/>
    <w:rsid w:val="00F8668C"/>
    <w:rsid w:val="00F86FE9"/>
    <w:rsid w:val="00F8723F"/>
    <w:rsid w:val="00F87DD2"/>
    <w:rsid w:val="00F90117"/>
    <w:rsid w:val="00F906BC"/>
    <w:rsid w:val="00F90A74"/>
    <w:rsid w:val="00F90EB8"/>
    <w:rsid w:val="00F90ED0"/>
    <w:rsid w:val="00F91257"/>
    <w:rsid w:val="00F915EF"/>
    <w:rsid w:val="00F9187A"/>
    <w:rsid w:val="00F928B3"/>
    <w:rsid w:val="00F933B3"/>
    <w:rsid w:val="00F936B7"/>
    <w:rsid w:val="00F93B8A"/>
    <w:rsid w:val="00F942D4"/>
    <w:rsid w:val="00F95085"/>
    <w:rsid w:val="00F95121"/>
    <w:rsid w:val="00F954AE"/>
    <w:rsid w:val="00F959C9"/>
    <w:rsid w:val="00F95D74"/>
    <w:rsid w:val="00F95D7D"/>
    <w:rsid w:val="00F9667F"/>
    <w:rsid w:val="00F96991"/>
    <w:rsid w:val="00F96A4C"/>
    <w:rsid w:val="00F970BA"/>
    <w:rsid w:val="00F97295"/>
    <w:rsid w:val="00F977DD"/>
    <w:rsid w:val="00FA04B3"/>
    <w:rsid w:val="00FA0807"/>
    <w:rsid w:val="00FA0B4F"/>
    <w:rsid w:val="00FA0B89"/>
    <w:rsid w:val="00FA0CE9"/>
    <w:rsid w:val="00FA0CF0"/>
    <w:rsid w:val="00FA0E15"/>
    <w:rsid w:val="00FA0E8F"/>
    <w:rsid w:val="00FA141A"/>
    <w:rsid w:val="00FA186A"/>
    <w:rsid w:val="00FA19CA"/>
    <w:rsid w:val="00FA1AAE"/>
    <w:rsid w:val="00FA1D4F"/>
    <w:rsid w:val="00FA1E75"/>
    <w:rsid w:val="00FA1EBD"/>
    <w:rsid w:val="00FA21DD"/>
    <w:rsid w:val="00FA2A32"/>
    <w:rsid w:val="00FA2C8F"/>
    <w:rsid w:val="00FA302A"/>
    <w:rsid w:val="00FA30F7"/>
    <w:rsid w:val="00FA3391"/>
    <w:rsid w:val="00FA3C57"/>
    <w:rsid w:val="00FA4542"/>
    <w:rsid w:val="00FA4545"/>
    <w:rsid w:val="00FA455A"/>
    <w:rsid w:val="00FA4C7A"/>
    <w:rsid w:val="00FA4E8A"/>
    <w:rsid w:val="00FA579C"/>
    <w:rsid w:val="00FA58F5"/>
    <w:rsid w:val="00FA59D5"/>
    <w:rsid w:val="00FA5D18"/>
    <w:rsid w:val="00FA5F85"/>
    <w:rsid w:val="00FA62CA"/>
    <w:rsid w:val="00FA6CDE"/>
    <w:rsid w:val="00FA6EF0"/>
    <w:rsid w:val="00FA7580"/>
    <w:rsid w:val="00FB031D"/>
    <w:rsid w:val="00FB03FD"/>
    <w:rsid w:val="00FB0C32"/>
    <w:rsid w:val="00FB0EEF"/>
    <w:rsid w:val="00FB1B83"/>
    <w:rsid w:val="00FB1C81"/>
    <w:rsid w:val="00FB1F13"/>
    <w:rsid w:val="00FB1F8D"/>
    <w:rsid w:val="00FB29F1"/>
    <w:rsid w:val="00FB2A35"/>
    <w:rsid w:val="00FB2BA2"/>
    <w:rsid w:val="00FB2DCC"/>
    <w:rsid w:val="00FB3D8C"/>
    <w:rsid w:val="00FB3DB8"/>
    <w:rsid w:val="00FB4946"/>
    <w:rsid w:val="00FB4AFB"/>
    <w:rsid w:val="00FB4DE1"/>
    <w:rsid w:val="00FB561F"/>
    <w:rsid w:val="00FB598E"/>
    <w:rsid w:val="00FB61F5"/>
    <w:rsid w:val="00FB6549"/>
    <w:rsid w:val="00FB6666"/>
    <w:rsid w:val="00FB6A42"/>
    <w:rsid w:val="00FB6BA9"/>
    <w:rsid w:val="00FB6DE5"/>
    <w:rsid w:val="00FB7828"/>
    <w:rsid w:val="00FC0033"/>
    <w:rsid w:val="00FC0634"/>
    <w:rsid w:val="00FC0A46"/>
    <w:rsid w:val="00FC107B"/>
    <w:rsid w:val="00FC1647"/>
    <w:rsid w:val="00FC194F"/>
    <w:rsid w:val="00FC1A55"/>
    <w:rsid w:val="00FC2358"/>
    <w:rsid w:val="00FC24C9"/>
    <w:rsid w:val="00FC2631"/>
    <w:rsid w:val="00FC28AB"/>
    <w:rsid w:val="00FC29AA"/>
    <w:rsid w:val="00FC30D2"/>
    <w:rsid w:val="00FC3923"/>
    <w:rsid w:val="00FC3A10"/>
    <w:rsid w:val="00FC4987"/>
    <w:rsid w:val="00FC4A30"/>
    <w:rsid w:val="00FC4CD5"/>
    <w:rsid w:val="00FC4EE8"/>
    <w:rsid w:val="00FC5E19"/>
    <w:rsid w:val="00FC618B"/>
    <w:rsid w:val="00FC6298"/>
    <w:rsid w:val="00FC634D"/>
    <w:rsid w:val="00FC6602"/>
    <w:rsid w:val="00FC66C7"/>
    <w:rsid w:val="00FC6947"/>
    <w:rsid w:val="00FC6BF4"/>
    <w:rsid w:val="00FC7BAC"/>
    <w:rsid w:val="00FC7BF4"/>
    <w:rsid w:val="00FD080E"/>
    <w:rsid w:val="00FD0AEE"/>
    <w:rsid w:val="00FD0E78"/>
    <w:rsid w:val="00FD11C2"/>
    <w:rsid w:val="00FD1800"/>
    <w:rsid w:val="00FD1F3B"/>
    <w:rsid w:val="00FD1FF1"/>
    <w:rsid w:val="00FD20B9"/>
    <w:rsid w:val="00FD22A2"/>
    <w:rsid w:val="00FD2484"/>
    <w:rsid w:val="00FD24FE"/>
    <w:rsid w:val="00FD2AF1"/>
    <w:rsid w:val="00FD2D96"/>
    <w:rsid w:val="00FD30A4"/>
    <w:rsid w:val="00FD37F1"/>
    <w:rsid w:val="00FD3AEF"/>
    <w:rsid w:val="00FD41E9"/>
    <w:rsid w:val="00FD4800"/>
    <w:rsid w:val="00FD5259"/>
    <w:rsid w:val="00FD5C1C"/>
    <w:rsid w:val="00FD5C46"/>
    <w:rsid w:val="00FD5DA4"/>
    <w:rsid w:val="00FD60A6"/>
    <w:rsid w:val="00FD62E1"/>
    <w:rsid w:val="00FD6B0F"/>
    <w:rsid w:val="00FD6EB0"/>
    <w:rsid w:val="00FD7429"/>
    <w:rsid w:val="00FD746A"/>
    <w:rsid w:val="00FD75DA"/>
    <w:rsid w:val="00FD79CA"/>
    <w:rsid w:val="00FD7A9E"/>
    <w:rsid w:val="00FD7BE1"/>
    <w:rsid w:val="00FD7D40"/>
    <w:rsid w:val="00FD7EFE"/>
    <w:rsid w:val="00FE0762"/>
    <w:rsid w:val="00FE09B8"/>
    <w:rsid w:val="00FE0B1D"/>
    <w:rsid w:val="00FE12BD"/>
    <w:rsid w:val="00FE17F4"/>
    <w:rsid w:val="00FE1CB9"/>
    <w:rsid w:val="00FE24DB"/>
    <w:rsid w:val="00FE2948"/>
    <w:rsid w:val="00FE2DD7"/>
    <w:rsid w:val="00FE2FF5"/>
    <w:rsid w:val="00FE30BB"/>
    <w:rsid w:val="00FE3242"/>
    <w:rsid w:val="00FE3481"/>
    <w:rsid w:val="00FE3BAA"/>
    <w:rsid w:val="00FE4289"/>
    <w:rsid w:val="00FE4A45"/>
    <w:rsid w:val="00FE4C94"/>
    <w:rsid w:val="00FE52EA"/>
    <w:rsid w:val="00FE5470"/>
    <w:rsid w:val="00FE57F0"/>
    <w:rsid w:val="00FE58AD"/>
    <w:rsid w:val="00FE620A"/>
    <w:rsid w:val="00FE645A"/>
    <w:rsid w:val="00FE6856"/>
    <w:rsid w:val="00FE6876"/>
    <w:rsid w:val="00FE69CA"/>
    <w:rsid w:val="00FE6A6D"/>
    <w:rsid w:val="00FE6ACA"/>
    <w:rsid w:val="00FE6EC8"/>
    <w:rsid w:val="00FE76C7"/>
    <w:rsid w:val="00FE7E9B"/>
    <w:rsid w:val="00FF0401"/>
    <w:rsid w:val="00FF052E"/>
    <w:rsid w:val="00FF0ABA"/>
    <w:rsid w:val="00FF0DED"/>
    <w:rsid w:val="00FF0DF4"/>
    <w:rsid w:val="00FF0E8C"/>
    <w:rsid w:val="00FF0F67"/>
    <w:rsid w:val="00FF1DB9"/>
    <w:rsid w:val="00FF1E2E"/>
    <w:rsid w:val="00FF1F90"/>
    <w:rsid w:val="00FF26B0"/>
    <w:rsid w:val="00FF270B"/>
    <w:rsid w:val="00FF2BE6"/>
    <w:rsid w:val="00FF2F76"/>
    <w:rsid w:val="00FF3013"/>
    <w:rsid w:val="00FF368C"/>
    <w:rsid w:val="00FF36D7"/>
    <w:rsid w:val="00FF3FD3"/>
    <w:rsid w:val="00FF41F1"/>
    <w:rsid w:val="00FF4F21"/>
    <w:rsid w:val="00FF51AC"/>
    <w:rsid w:val="00FF5426"/>
    <w:rsid w:val="00FF57E0"/>
    <w:rsid w:val="00FF58A2"/>
    <w:rsid w:val="00FF5D09"/>
    <w:rsid w:val="00FF6243"/>
    <w:rsid w:val="00FF63AC"/>
    <w:rsid w:val="00FF66A7"/>
    <w:rsid w:val="00FF6720"/>
    <w:rsid w:val="00FF6C3B"/>
    <w:rsid w:val="00FF6CFD"/>
    <w:rsid w:val="00FF6FED"/>
    <w:rsid w:val="00FF72DC"/>
    <w:rsid w:val="00FF769E"/>
    <w:rsid w:val="0138975E"/>
    <w:rsid w:val="016F377C"/>
    <w:rsid w:val="01CA79F0"/>
    <w:rsid w:val="01FF78F0"/>
    <w:rsid w:val="020D6C50"/>
    <w:rsid w:val="02199286"/>
    <w:rsid w:val="021F4893"/>
    <w:rsid w:val="026611A4"/>
    <w:rsid w:val="027A8DCF"/>
    <w:rsid w:val="0281C04A"/>
    <w:rsid w:val="0287DB25"/>
    <w:rsid w:val="0323EADA"/>
    <w:rsid w:val="03CD3AAB"/>
    <w:rsid w:val="0456F72D"/>
    <w:rsid w:val="04B68458"/>
    <w:rsid w:val="04BFEC82"/>
    <w:rsid w:val="04E62A03"/>
    <w:rsid w:val="051C7E67"/>
    <w:rsid w:val="052C815C"/>
    <w:rsid w:val="05BCB0FC"/>
    <w:rsid w:val="05D19E67"/>
    <w:rsid w:val="064BF21E"/>
    <w:rsid w:val="069C7B3C"/>
    <w:rsid w:val="06A1A85B"/>
    <w:rsid w:val="0724859A"/>
    <w:rsid w:val="07810FDF"/>
    <w:rsid w:val="07A00704"/>
    <w:rsid w:val="081AE389"/>
    <w:rsid w:val="0820FCE1"/>
    <w:rsid w:val="08213FBC"/>
    <w:rsid w:val="0895B3C7"/>
    <w:rsid w:val="092D449E"/>
    <w:rsid w:val="0975D41A"/>
    <w:rsid w:val="09D2B483"/>
    <w:rsid w:val="09E2A3A6"/>
    <w:rsid w:val="09F6347D"/>
    <w:rsid w:val="0A813A6A"/>
    <w:rsid w:val="0A8CD950"/>
    <w:rsid w:val="0A8DF055"/>
    <w:rsid w:val="0B2BD693"/>
    <w:rsid w:val="0BAE09EA"/>
    <w:rsid w:val="0C2AB1DE"/>
    <w:rsid w:val="0C42AC25"/>
    <w:rsid w:val="0C5C49DC"/>
    <w:rsid w:val="0CB380CA"/>
    <w:rsid w:val="0CC85289"/>
    <w:rsid w:val="0CCFDB6B"/>
    <w:rsid w:val="0CFF7E3D"/>
    <w:rsid w:val="0D36CE85"/>
    <w:rsid w:val="0D469F3D"/>
    <w:rsid w:val="0D579F14"/>
    <w:rsid w:val="0D6CCCC5"/>
    <w:rsid w:val="0E7D1819"/>
    <w:rsid w:val="0E937C15"/>
    <w:rsid w:val="0EBBEC8E"/>
    <w:rsid w:val="0F51A0F3"/>
    <w:rsid w:val="0F985BEE"/>
    <w:rsid w:val="0FB41443"/>
    <w:rsid w:val="0FCE5B02"/>
    <w:rsid w:val="10BCC80C"/>
    <w:rsid w:val="110ACA0F"/>
    <w:rsid w:val="113C3711"/>
    <w:rsid w:val="11A15483"/>
    <w:rsid w:val="11AF866F"/>
    <w:rsid w:val="11F240B8"/>
    <w:rsid w:val="1205ECDA"/>
    <w:rsid w:val="125F81C8"/>
    <w:rsid w:val="133CF29F"/>
    <w:rsid w:val="134C2FDF"/>
    <w:rsid w:val="138DFC7B"/>
    <w:rsid w:val="145E79AF"/>
    <w:rsid w:val="14D0A0EE"/>
    <w:rsid w:val="14EDBE06"/>
    <w:rsid w:val="151452CB"/>
    <w:rsid w:val="159E31B2"/>
    <w:rsid w:val="166F346C"/>
    <w:rsid w:val="16AEDE09"/>
    <w:rsid w:val="16B86342"/>
    <w:rsid w:val="16CECA8A"/>
    <w:rsid w:val="16CF7CB0"/>
    <w:rsid w:val="173206D5"/>
    <w:rsid w:val="1775F24C"/>
    <w:rsid w:val="18624894"/>
    <w:rsid w:val="187F31F0"/>
    <w:rsid w:val="188CDA8B"/>
    <w:rsid w:val="189F3AFF"/>
    <w:rsid w:val="18D9B79D"/>
    <w:rsid w:val="19B1BBFE"/>
    <w:rsid w:val="19E91A16"/>
    <w:rsid w:val="19F94ECE"/>
    <w:rsid w:val="1A48B067"/>
    <w:rsid w:val="1A4CF6F4"/>
    <w:rsid w:val="1AC729D8"/>
    <w:rsid w:val="1AF07FB5"/>
    <w:rsid w:val="1B56915B"/>
    <w:rsid w:val="1B60AA7D"/>
    <w:rsid w:val="1C05D62F"/>
    <w:rsid w:val="1C1FCBDE"/>
    <w:rsid w:val="1C5720E2"/>
    <w:rsid w:val="1D2A3C22"/>
    <w:rsid w:val="1D4C4D50"/>
    <w:rsid w:val="1D5EBAC7"/>
    <w:rsid w:val="1D64551E"/>
    <w:rsid w:val="1D8698F3"/>
    <w:rsid w:val="1DB4222E"/>
    <w:rsid w:val="1DF7B883"/>
    <w:rsid w:val="1E917178"/>
    <w:rsid w:val="1EDDE52D"/>
    <w:rsid w:val="1F090877"/>
    <w:rsid w:val="1F41E3DA"/>
    <w:rsid w:val="1FBE8332"/>
    <w:rsid w:val="2011D3FB"/>
    <w:rsid w:val="2047C83F"/>
    <w:rsid w:val="210EC5E5"/>
    <w:rsid w:val="21591511"/>
    <w:rsid w:val="219EEFD6"/>
    <w:rsid w:val="21D62B7E"/>
    <w:rsid w:val="220F0234"/>
    <w:rsid w:val="2233E2BB"/>
    <w:rsid w:val="22626EEC"/>
    <w:rsid w:val="2295A5F3"/>
    <w:rsid w:val="230143B5"/>
    <w:rsid w:val="2337EEE5"/>
    <w:rsid w:val="2355A9BA"/>
    <w:rsid w:val="236A5EDC"/>
    <w:rsid w:val="245C777C"/>
    <w:rsid w:val="246E0D97"/>
    <w:rsid w:val="2486AE40"/>
    <w:rsid w:val="24B09EA6"/>
    <w:rsid w:val="24B2D188"/>
    <w:rsid w:val="2507F65D"/>
    <w:rsid w:val="2537129F"/>
    <w:rsid w:val="2578BDD0"/>
    <w:rsid w:val="25C1B5F6"/>
    <w:rsid w:val="25D3D543"/>
    <w:rsid w:val="2615B047"/>
    <w:rsid w:val="26534C66"/>
    <w:rsid w:val="26560284"/>
    <w:rsid w:val="269EA34E"/>
    <w:rsid w:val="26D77908"/>
    <w:rsid w:val="270DE711"/>
    <w:rsid w:val="274B6E8B"/>
    <w:rsid w:val="2778B147"/>
    <w:rsid w:val="27913237"/>
    <w:rsid w:val="27A24CB8"/>
    <w:rsid w:val="27F070B0"/>
    <w:rsid w:val="2823BE35"/>
    <w:rsid w:val="28419F0D"/>
    <w:rsid w:val="284B59B4"/>
    <w:rsid w:val="2861A013"/>
    <w:rsid w:val="28B5A1E7"/>
    <w:rsid w:val="28EC04F4"/>
    <w:rsid w:val="29303808"/>
    <w:rsid w:val="29A0E5BA"/>
    <w:rsid w:val="29A968D4"/>
    <w:rsid w:val="29D9FF2D"/>
    <w:rsid w:val="2A113D3A"/>
    <w:rsid w:val="2A248C07"/>
    <w:rsid w:val="2A3E26D3"/>
    <w:rsid w:val="2A98E9FB"/>
    <w:rsid w:val="2AF27987"/>
    <w:rsid w:val="2B2552D7"/>
    <w:rsid w:val="2B3848EA"/>
    <w:rsid w:val="2C5E57AB"/>
    <w:rsid w:val="2C8F8832"/>
    <w:rsid w:val="2CA3F1EF"/>
    <w:rsid w:val="2CA85159"/>
    <w:rsid w:val="2CF48C58"/>
    <w:rsid w:val="2D197843"/>
    <w:rsid w:val="2D6B8AF2"/>
    <w:rsid w:val="2D89B0FD"/>
    <w:rsid w:val="2D9C0F9B"/>
    <w:rsid w:val="2DCB93C0"/>
    <w:rsid w:val="2DE7F76E"/>
    <w:rsid w:val="2DEC181B"/>
    <w:rsid w:val="2DF613A8"/>
    <w:rsid w:val="2E4CEF23"/>
    <w:rsid w:val="2E53BB78"/>
    <w:rsid w:val="2E7F107F"/>
    <w:rsid w:val="2E7F7DA2"/>
    <w:rsid w:val="2EB7F936"/>
    <w:rsid w:val="2EE2E15D"/>
    <w:rsid w:val="2EFF4272"/>
    <w:rsid w:val="2F0155BE"/>
    <w:rsid w:val="2F115092"/>
    <w:rsid w:val="2F171270"/>
    <w:rsid w:val="2F5C75A3"/>
    <w:rsid w:val="2F76E0A7"/>
    <w:rsid w:val="2F8579EF"/>
    <w:rsid w:val="2F9B31E1"/>
    <w:rsid w:val="2FC0D915"/>
    <w:rsid w:val="3004848E"/>
    <w:rsid w:val="30486BD0"/>
    <w:rsid w:val="310C6854"/>
    <w:rsid w:val="310C73C8"/>
    <w:rsid w:val="3186A982"/>
    <w:rsid w:val="3190234B"/>
    <w:rsid w:val="31DD0F0F"/>
    <w:rsid w:val="31EE9005"/>
    <w:rsid w:val="31F5C504"/>
    <w:rsid w:val="31FAB679"/>
    <w:rsid w:val="321547E7"/>
    <w:rsid w:val="330CC844"/>
    <w:rsid w:val="33E52D60"/>
    <w:rsid w:val="33FD5CF2"/>
    <w:rsid w:val="3400B31C"/>
    <w:rsid w:val="34414E90"/>
    <w:rsid w:val="347FA596"/>
    <w:rsid w:val="34A7DF88"/>
    <w:rsid w:val="34E4AD92"/>
    <w:rsid w:val="35357D62"/>
    <w:rsid w:val="35512B7A"/>
    <w:rsid w:val="3562922C"/>
    <w:rsid w:val="35B31BAA"/>
    <w:rsid w:val="35BCAB90"/>
    <w:rsid w:val="35DB2465"/>
    <w:rsid w:val="35FC95A7"/>
    <w:rsid w:val="360B0F9E"/>
    <w:rsid w:val="361BB0C8"/>
    <w:rsid w:val="3651D863"/>
    <w:rsid w:val="3675D8C2"/>
    <w:rsid w:val="36C006E2"/>
    <w:rsid w:val="36D57631"/>
    <w:rsid w:val="36DBFF48"/>
    <w:rsid w:val="36DFFA83"/>
    <w:rsid w:val="3786111A"/>
    <w:rsid w:val="378B1B39"/>
    <w:rsid w:val="380D8DBD"/>
    <w:rsid w:val="3825F796"/>
    <w:rsid w:val="38354291"/>
    <w:rsid w:val="3858A967"/>
    <w:rsid w:val="3897C000"/>
    <w:rsid w:val="38C5898D"/>
    <w:rsid w:val="38D29FDC"/>
    <w:rsid w:val="39282FA8"/>
    <w:rsid w:val="39307E9B"/>
    <w:rsid w:val="39370EAD"/>
    <w:rsid w:val="39A96F31"/>
    <w:rsid w:val="3A0E25D0"/>
    <w:rsid w:val="3A587577"/>
    <w:rsid w:val="3A67F021"/>
    <w:rsid w:val="3A943AD0"/>
    <w:rsid w:val="3A9E24B2"/>
    <w:rsid w:val="3ABD676C"/>
    <w:rsid w:val="3AF0E6CA"/>
    <w:rsid w:val="3B086DB0"/>
    <w:rsid w:val="3B0DE552"/>
    <w:rsid w:val="3B1170E6"/>
    <w:rsid w:val="3B4ADEA4"/>
    <w:rsid w:val="3B4CCBBC"/>
    <w:rsid w:val="3BBB2314"/>
    <w:rsid w:val="3C2CB46F"/>
    <w:rsid w:val="3C55D89C"/>
    <w:rsid w:val="3C7D511A"/>
    <w:rsid w:val="3C849B4D"/>
    <w:rsid w:val="3CA166E3"/>
    <w:rsid w:val="3D4CBF17"/>
    <w:rsid w:val="3D5323BF"/>
    <w:rsid w:val="3D7737FB"/>
    <w:rsid w:val="3EB14AD0"/>
    <w:rsid w:val="3F2C1195"/>
    <w:rsid w:val="3FB07CF9"/>
    <w:rsid w:val="40BDCCDA"/>
    <w:rsid w:val="413FC328"/>
    <w:rsid w:val="4175EA94"/>
    <w:rsid w:val="4176E118"/>
    <w:rsid w:val="4178826B"/>
    <w:rsid w:val="422F2D21"/>
    <w:rsid w:val="424064F7"/>
    <w:rsid w:val="424535BD"/>
    <w:rsid w:val="4269DBF3"/>
    <w:rsid w:val="426E58F0"/>
    <w:rsid w:val="4289B549"/>
    <w:rsid w:val="42EA2569"/>
    <w:rsid w:val="42F58679"/>
    <w:rsid w:val="42F83DE1"/>
    <w:rsid w:val="43D71D3A"/>
    <w:rsid w:val="44255980"/>
    <w:rsid w:val="4452B574"/>
    <w:rsid w:val="4460D103"/>
    <w:rsid w:val="44BFC586"/>
    <w:rsid w:val="452FAA81"/>
    <w:rsid w:val="45554667"/>
    <w:rsid w:val="45707410"/>
    <w:rsid w:val="45CBAF84"/>
    <w:rsid w:val="4637ED9A"/>
    <w:rsid w:val="464F0D83"/>
    <w:rsid w:val="469A9DF6"/>
    <w:rsid w:val="46E97018"/>
    <w:rsid w:val="472D4C5B"/>
    <w:rsid w:val="47458969"/>
    <w:rsid w:val="47961DE8"/>
    <w:rsid w:val="479FF21F"/>
    <w:rsid w:val="47A007F5"/>
    <w:rsid w:val="47D2003F"/>
    <w:rsid w:val="483337BC"/>
    <w:rsid w:val="487F446C"/>
    <w:rsid w:val="48F1B934"/>
    <w:rsid w:val="49CBDC0C"/>
    <w:rsid w:val="4A5A3941"/>
    <w:rsid w:val="4A95263E"/>
    <w:rsid w:val="4A9DC6FB"/>
    <w:rsid w:val="4ACE1BFD"/>
    <w:rsid w:val="4B7D2687"/>
    <w:rsid w:val="4BB5DCE8"/>
    <w:rsid w:val="4BCB9896"/>
    <w:rsid w:val="4BD31813"/>
    <w:rsid w:val="4BD3C5CA"/>
    <w:rsid w:val="4BEFF9FD"/>
    <w:rsid w:val="4C454757"/>
    <w:rsid w:val="4C7C25C4"/>
    <w:rsid w:val="4CE3B6E3"/>
    <w:rsid w:val="4CF4FA9B"/>
    <w:rsid w:val="4CFCBF37"/>
    <w:rsid w:val="4D1429F9"/>
    <w:rsid w:val="4D58A38E"/>
    <w:rsid w:val="4D62607C"/>
    <w:rsid w:val="4DAD57B4"/>
    <w:rsid w:val="4DFDE3C6"/>
    <w:rsid w:val="4E65D3DE"/>
    <w:rsid w:val="4E678D3D"/>
    <w:rsid w:val="4E7A437C"/>
    <w:rsid w:val="4E8D37AE"/>
    <w:rsid w:val="4F185D53"/>
    <w:rsid w:val="4FC7AA61"/>
    <w:rsid w:val="4FF6FED3"/>
    <w:rsid w:val="5016B3F9"/>
    <w:rsid w:val="50C1366D"/>
    <w:rsid w:val="50EB0F09"/>
    <w:rsid w:val="51353D68"/>
    <w:rsid w:val="51403C79"/>
    <w:rsid w:val="514298AB"/>
    <w:rsid w:val="51B5710E"/>
    <w:rsid w:val="51B82AD5"/>
    <w:rsid w:val="51C72CC2"/>
    <w:rsid w:val="5263E965"/>
    <w:rsid w:val="5295F532"/>
    <w:rsid w:val="5298EA70"/>
    <w:rsid w:val="52B20E63"/>
    <w:rsid w:val="52C4CD77"/>
    <w:rsid w:val="52E7ED8E"/>
    <w:rsid w:val="5334F1E4"/>
    <w:rsid w:val="533CADFE"/>
    <w:rsid w:val="53535A70"/>
    <w:rsid w:val="535500FB"/>
    <w:rsid w:val="5374C7B9"/>
    <w:rsid w:val="53A29FDB"/>
    <w:rsid w:val="53C59414"/>
    <w:rsid w:val="54CA2C29"/>
    <w:rsid w:val="54CDEA8E"/>
    <w:rsid w:val="55323A95"/>
    <w:rsid w:val="55473B37"/>
    <w:rsid w:val="559ADF97"/>
    <w:rsid w:val="55D37274"/>
    <w:rsid w:val="56615218"/>
    <w:rsid w:val="56B4FBDF"/>
    <w:rsid w:val="56FEAA78"/>
    <w:rsid w:val="57291FEC"/>
    <w:rsid w:val="57C60762"/>
    <w:rsid w:val="57E8BD78"/>
    <w:rsid w:val="580B000B"/>
    <w:rsid w:val="582F1126"/>
    <w:rsid w:val="588EE47C"/>
    <w:rsid w:val="58BB4B88"/>
    <w:rsid w:val="58BC6547"/>
    <w:rsid w:val="5A0C1A20"/>
    <w:rsid w:val="5A6BDFDE"/>
    <w:rsid w:val="5AA24DDF"/>
    <w:rsid w:val="5AD1E429"/>
    <w:rsid w:val="5B13F0A4"/>
    <w:rsid w:val="5B70F2E9"/>
    <w:rsid w:val="5B8CAC4D"/>
    <w:rsid w:val="5BB16391"/>
    <w:rsid w:val="5C22AAC5"/>
    <w:rsid w:val="5D118000"/>
    <w:rsid w:val="5D3D3123"/>
    <w:rsid w:val="5DC45225"/>
    <w:rsid w:val="5DFBFF75"/>
    <w:rsid w:val="5E2A3B12"/>
    <w:rsid w:val="5E2C9118"/>
    <w:rsid w:val="5E470E0D"/>
    <w:rsid w:val="5E73DCA9"/>
    <w:rsid w:val="5EC876DA"/>
    <w:rsid w:val="5EF416A7"/>
    <w:rsid w:val="5F34DAD4"/>
    <w:rsid w:val="5F72C1DB"/>
    <w:rsid w:val="5F8B7A69"/>
    <w:rsid w:val="5FC46EAB"/>
    <w:rsid w:val="602357EE"/>
    <w:rsid w:val="60A657B1"/>
    <w:rsid w:val="6104E3D0"/>
    <w:rsid w:val="610FCCA9"/>
    <w:rsid w:val="6125E44F"/>
    <w:rsid w:val="6130F76B"/>
    <w:rsid w:val="6193C15A"/>
    <w:rsid w:val="61B59F3C"/>
    <w:rsid w:val="62548F2D"/>
    <w:rsid w:val="629F1F98"/>
    <w:rsid w:val="62B01076"/>
    <w:rsid w:val="63C5FD4A"/>
    <w:rsid w:val="6493D616"/>
    <w:rsid w:val="6499ADF2"/>
    <w:rsid w:val="64A37150"/>
    <w:rsid w:val="64AEC415"/>
    <w:rsid w:val="64D112DC"/>
    <w:rsid w:val="64DB9617"/>
    <w:rsid w:val="64F0A056"/>
    <w:rsid w:val="65B8DA47"/>
    <w:rsid w:val="65CD8E67"/>
    <w:rsid w:val="660B97FB"/>
    <w:rsid w:val="662B801D"/>
    <w:rsid w:val="664BE955"/>
    <w:rsid w:val="6652BB49"/>
    <w:rsid w:val="6686B27F"/>
    <w:rsid w:val="669C80DD"/>
    <w:rsid w:val="66F97693"/>
    <w:rsid w:val="670CEA16"/>
    <w:rsid w:val="6710B285"/>
    <w:rsid w:val="677B4A3B"/>
    <w:rsid w:val="67990F64"/>
    <w:rsid w:val="67B4776A"/>
    <w:rsid w:val="688826CF"/>
    <w:rsid w:val="68E1FECE"/>
    <w:rsid w:val="69241CA3"/>
    <w:rsid w:val="694F3203"/>
    <w:rsid w:val="699F7AEE"/>
    <w:rsid w:val="6A0B1ACA"/>
    <w:rsid w:val="6A188603"/>
    <w:rsid w:val="6A9B0AAE"/>
    <w:rsid w:val="6B00FD7F"/>
    <w:rsid w:val="6BA4D402"/>
    <w:rsid w:val="6BD15F75"/>
    <w:rsid w:val="6C0572D8"/>
    <w:rsid w:val="6C178C8C"/>
    <w:rsid w:val="6C3EAE67"/>
    <w:rsid w:val="6C975677"/>
    <w:rsid w:val="6CCC2026"/>
    <w:rsid w:val="6DDDAD16"/>
    <w:rsid w:val="6DF34A32"/>
    <w:rsid w:val="6E0E36F5"/>
    <w:rsid w:val="6E5402C0"/>
    <w:rsid w:val="6E5DEB83"/>
    <w:rsid w:val="6E934C54"/>
    <w:rsid w:val="6EA3FEF3"/>
    <w:rsid w:val="6EE54350"/>
    <w:rsid w:val="6FFDCD8B"/>
    <w:rsid w:val="7054D21A"/>
    <w:rsid w:val="707387D3"/>
    <w:rsid w:val="70AC9CF9"/>
    <w:rsid w:val="71C2C336"/>
    <w:rsid w:val="71C78602"/>
    <w:rsid w:val="71D451A1"/>
    <w:rsid w:val="71DC53E8"/>
    <w:rsid w:val="72183E80"/>
    <w:rsid w:val="72B466BA"/>
    <w:rsid w:val="72CAE8DD"/>
    <w:rsid w:val="72D43B68"/>
    <w:rsid w:val="73F420FF"/>
    <w:rsid w:val="741A9018"/>
    <w:rsid w:val="742F8C3E"/>
    <w:rsid w:val="745C1FD2"/>
    <w:rsid w:val="746672C9"/>
    <w:rsid w:val="755EEC44"/>
    <w:rsid w:val="75A04845"/>
    <w:rsid w:val="7631A75C"/>
    <w:rsid w:val="7634A5DE"/>
    <w:rsid w:val="77AB20C7"/>
    <w:rsid w:val="77F7EB75"/>
    <w:rsid w:val="783B7EC8"/>
    <w:rsid w:val="7877B3D1"/>
    <w:rsid w:val="78ED2C13"/>
    <w:rsid w:val="790AC1C9"/>
    <w:rsid w:val="7918A47C"/>
    <w:rsid w:val="791BDA57"/>
    <w:rsid w:val="792593D6"/>
    <w:rsid w:val="79F63D11"/>
    <w:rsid w:val="7A16C4A1"/>
    <w:rsid w:val="7A468D8E"/>
    <w:rsid w:val="7A6C8327"/>
    <w:rsid w:val="7A6E0D3F"/>
    <w:rsid w:val="7B1DEAD3"/>
    <w:rsid w:val="7B43F78D"/>
    <w:rsid w:val="7B65CBC1"/>
    <w:rsid w:val="7BB56401"/>
    <w:rsid w:val="7BB66628"/>
    <w:rsid w:val="7BD95034"/>
    <w:rsid w:val="7BF9888E"/>
    <w:rsid w:val="7C8D7A04"/>
    <w:rsid w:val="7CCB02E6"/>
    <w:rsid w:val="7CE309A4"/>
    <w:rsid w:val="7D426041"/>
    <w:rsid w:val="7D630849"/>
    <w:rsid w:val="7D930206"/>
    <w:rsid w:val="7DAAA221"/>
    <w:rsid w:val="7DD6E3BE"/>
    <w:rsid w:val="7DD93D8F"/>
    <w:rsid w:val="7E452BBE"/>
    <w:rsid w:val="7E5B487F"/>
    <w:rsid w:val="7ED016D8"/>
    <w:rsid w:val="7EEF68E4"/>
    <w:rsid w:val="7EEF773C"/>
    <w:rsid w:val="7F1E65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metricconverter"/>
  <w:shapeDefaults>
    <o:shapedefaults v:ext="edit" spidmax="2050"/>
    <o:shapelayout v:ext="edit">
      <o:idmap v:ext="edit" data="2"/>
    </o:shapelayout>
  </w:shapeDefaults>
  <w:decimalSymbol w:val="."/>
  <w:listSeparator w:val=","/>
  <w14:docId w14:val="7E266BDE"/>
  <w15:docId w15:val="{C88D4906-453E-4BDF-BA5E-8689E700E7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iPriority="0"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qFormat="1"/>
    <w:lsdException w:name="Body Text 3" w:semiHidden="1" w:unhideWhenUsed="1" w:qFormat="1"/>
    <w:lsdException w:name="Body Text Indent 2" w:semiHidden="1" w:unhideWhenUsed="1" w:qFormat="1"/>
    <w:lsdException w:name="Body Text Indent 3" w:semiHidden="1" w:unhideWhenUsed="1"/>
    <w:lsdException w:name="Block Text" w:semiHidden="1" w:unhideWhenUsed="1"/>
    <w:lsdException w:name="Hyperlink" w:semiHidden="1" w:unhideWhenUsed="1" w:qFormat="1"/>
    <w:lsdException w:name="FollowedHyperlink" w:semiHidden="1" w:unhideWhenUsed="1" w:qFormat="1"/>
    <w:lsdException w:name="Strong" w:uiPriority="22" w:qFormat="1"/>
    <w:lsdException w:name="Emphasis" w:uiPriority="20" w:qFormat="1"/>
    <w:lsdException w:name="Document Map" w:semiHidden="1" w:unhideWhenUsed="1" w:qFormat="1"/>
    <w:lsdException w:name="Plain Text" w:semiHidden="1"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2" w:uiPriority="47"/>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fr-FR"/>
    </w:rPr>
  </w:style>
  <w:style w:type="paragraph" w:styleId="Heading1">
    <w:name w:val="heading 1"/>
    <w:basedOn w:val="Normal"/>
    <w:next w:val="Normal"/>
    <w:link w:val="Heading1Char"/>
    <w:uiPriority w:val="9"/>
    <w:qFormat/>
    <w:rsid w:val="008B3EB1"/>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19181C"/>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9D5990"/>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4A4427"/>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AC6CC2"/>
    <w:pPr>
      <w:keepNext/>
      <w:keepLines/>
      <w:spacing w:before="40" w:after="0" w:line="259" w:lineRule="auto"/>
      <w:ind w:hanging="10"/>
      <w:jc w:val="both"/>
      <w:outlineLvl w:val="4"/>
    </w:pPr>
    <w:rPr>
      <w:rFonts w:ascii="Calibri Light" w:eastAsia="SimSun" w:hAnsi="Calibri Light" w:cs="Calibri"/>
      <w:i/>
      <w:iCs/>
      <w:color w:val="833C0B"/>
      <w:sz w:val="24"/>
      <w:szCs w:val="24"/>
    </w:rPr>
  </w:style>
  <w:style w:type="paragraph" w:styleId="Heading6">
    <w:name w:val="heading 6"/>
    <w:basedOn w:val="Normal"/>
    <w:next w:val="Normal"/>
    <w:link w:val="Heading6Char"/>
    <w:uiPriority w:val="9"/>
    <w:unhideWhenUsed/>
    <w:qFormat/>
    <w:rsid w:val="00AC6CC2"/>
    <w:pPr>
      <w:keepNext/>
      <w:keepLines/>
      <w:spacing w:before="40" w:after="0" w:line="259" w:lineRule="auto"/>
      <w:ind w:hanging="10"/>
      <w:jc w:val="both"/>
      <w:outlineLvl w:val="5"/>
    </w:pPr>
    <w:rPr>
      <w:rFonts w:ascii="Calibri Light" w:eastAsia="SimSun" w:hAnsi="Calibri Light" w:cs="Calibri"/>
      <w:i/>
      <w:iCs/>
      <w:color w:val="385623"/>
      <w:sz w:val="23"/>
      <w:szCs w:val="23"/>
    </w:rPr>
  </w:style>
  <w:style w:type="paragraph" w:styleId="Heading7">
    <w:name w:val="heading 7"/>
    <w:basedOn w:val="Normal"/>
    <w:next w:val="Normal"/>
    <w:link w:val="Heading7Char"/>
    <w:uiPriority w:val="9"/>
    <w:unhideWhenUsed/>
    <w:qFormat/>
    <w:rsid w:val="00AC6CC2"/>
    <w:pPr>
      <w:keepNext/>
      <w:keepLines/>
      <w:spacing w:before="40" w:after="0" w:line="259" w:lineRule="auto"/>
      <w:ind w:hanging="10"/>
      <w:jc w:val="both"/>
      <w:outlineLvl w:val="6"/>
    </w:pPr>
    <w:rPr>
      <w:rFonts w:ascii="Calibri Light" w:eastAsia="SimSun" w:hAnsi="Calibri Light" w:cs="Calibri"/>
      <w:color w:val="1F4E79"/>
      <w:sz w:val="20"/>
      <w:szCs w:val="20"/>
    </w:rPr>
  </w:style>
  <w:style w:type="paragraph" w:styleId="Heading8">
    <w:name w:val="heading 8"/>
    <w:basedOn w:val="Normal"/>
    <w:next w:val="Normal"/>
    <w:link w:val="Heading8Char"/>
    <w:uiPriority w:val="9"/>
    <w:unhideWhenUsed/>
    <w:qFormat/>
    <w:rsid w:val="00AC6CC2"/>
    <w:pPr>
      <w:keepNext/>
      <w:keepLines/>
      <w:spacing w:before="40" w:after="0" w:line="259" w:lineRule="auto"/>
      <w:ind w:hanging="10"/>
      <w:jc w:val="both"/>
      <w:outlineLvl w:val="7"/>
    </w:pPr>
    <w:rPr>
      <w:rFonts w:ascii="Calibri Light" w:eastAsia="SimSun" w:hAnsi="Calibri Light" w:cs="Calibri"/>
      <w:color w:val="833C0B"/>
      <w:sz w:val="21"/>
      <w:szCs w:val="21"/>
    </w:rPr>
  </w:style>
  <w:style w:type="paragraph" w:styleId="Heading9">
    <w:name w:val="heading 9"/>
    <w:basedOn w:val="Normal"/>
    <w:next w:val="Normal"/>
    <w:link w:val="Heading9Char"/>
    <w:uiPriority w:val="9"/>
    <w:unhideWhenUsed/>
    <w:qFormat/>
    <w:rsid w:val="00AC6CC2"/>
    <w:pPr>
      <w:keepNext/>
      <w:keepLines/>
      <w:spacing w:before="40" w:after="0" w:line="259" w:lineRule="auto"/>
      <w:ind w:hanging="10"/>
      <w:jc w:val="both"/>
      <w:outlineLvl w:val="8"/>
    </w:pPr>
    <w:rPr>
      <w:rFonts w:ascii="Calibri Light" w:eastAsia="SimSun" w:hAnsi="Calibri Light" w:cs="Calibri"/>
      <w:color w:val="385623"/>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Main numbered paragraph,List Paragraph (numbered (a)),List Paragraph nowy,Bullets,References,Numbered List Paragraph,Liste 1,List Paragraph Char Char Char,Use Case List Paragraph,List Paragraph2,Bullet paras,List Bullet Mary,body bullets"/>
    <w:basedOn w:val="Normal"/>
    <w:link w:val="ListParagraphChar"/>
    <w:uiPriority w:val="34"/>
    <w:qFormat/>
    <w:rsid w:val="009A6EC3"/>
    <w:pPr>
      <w:ind w:left="720"/>
      <w:contextualSpacing/>
    </w:pPr>
  </w:style>
  <w:style w:type="paragraph" w:styleId="CommentText">
    <w:name w:val="annotation text"/>
    <w:basedOn w:val="Normal"/>
    <w:link w:val="CommentTextChar"/>
    <w:uiPriority w:val="99"/>
    <w:qFormat/>
    <w:rsid w:val="009A6EC3"/>
    <w:pPr>
      <w:spacing w:after="0" w:line="240" w:lineRule="auto"/>
    </w:pPr>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qFormat/>
    <w:rsid w:val="009A6EC3"/>
    <w:rPr>
      <w:rFonts w:ascii="Times New Roman" w:eastAsia="Times New Roman" w:hAnsi="Times New Roman" w:cs="Times New Roman"/>
      <w:sz w:val="20"/>
      <w:szCs w:val="20"/>
    </w:rPr>
  </w:style>
  <w:style w:type="paragraph" w:customStyle="1" w:styleId="Default">
    <w:name w:val="Default"/>
    <w:link w:val="DefaultChar"/>
    <w:qFormat/>
    <w:rsid w:val="009A6EC3"/>
    <w:pPr>
      <w:autoSpaceDE w:val="0"/>
      <w:autoSpaceDN w:val="0"/>
      <w:adjustRightInd w:val="0"/>
      <w:spacing w:after="0" w:line="240" w:lineRule="auto"/>
    </w:pPr>
    <w:rPr>
      <w:rFonts w:ascii="Arial" w:hAnsi="Arial" w:cs="Arial"/>
      <w:color w:val="000000"/>
      <w:sz w:val="24"/>
      <w:szCs w:val="24"/>
      <w:lang w:val="en-CA"/>
    </w:rPr>
  </w:style>
  <w:style w:type="character" w:styleId="CommentReference">
    <w:name w:val="annotation reference"/>
    <w:basedOn w:val="DefaultParagraphFont"/>
    <w:uiPriority w:val="99"/>
    <w:unhideWhenUsed/>
    <w:qFormat/>
    <w:rsid w:val="009A6EC3"/>
    <w:rPr>
      <w:sz w:val="16"/>
      <w:szCs w:val="16"/>
    </w:rPr>
  </w:style>
  <w:style w:type="paragraph" w:customStyle="1" w:styleId="head2">
    <w:name w:val="head2"/>
    <w:basedOn w:val="ListParagraph"/>
    <w:qFormat/>
    <w:rsid w:val="009A6EC3"/>
    <w:pPr>
      <w:keepNext/>
      <w:keepLines/>
      <w:numPr>
        <w:numId w:val="1"/>
      </w:numPr>
      <w:spacing w:after="240" w:line="240" w:lineRule="auto"/>
      <w:contextualSpacing w:val="0"/>
    </w:pPr>
    <w:rPr>
      <w:rFonts w:ascii="Times New Roman" w:hAnsi="Times New Roman" w:cs="Times New Roman"/>
      <w:b/>
    </w:rPr>
  </w:style>
  <w:style w:type="paragraph" w:customStyle="1" w:styleId="head3">
    <w:name w:val="head3"/>
    <w:basedOn w:val="head2"/>
    <w:link w:val="head3Char"/>
    <w:qFormat/>
    <w:rsid w:val="009A6EC3"/>
    <w:pPr>
      <w:numPr>
        <w:ilvl w:val="1"/>
        <w:numId w:val="0"/>
      </w:numPr>
    </w:pPr>
    <w:rPr>
      <w:rFonts w:ascii="Times New Roman Bold" w:hAnsi="Times New Roman Bold"/>
      <w:smallCaps/>
    </w:rPr>
  </w:style>
  <w:style w:type="character" w:customStyle="1" w:styleId="ListParagraphChar">
    <w:name w:val="List Paragraph Char"/>
    <w:aliases w:val="Main numbered paragraph Char,List Paragraph (numbered (a)) Char,List Paragraph nowy Char,Bullets Char,References Char,Numbered List Paragraph Char,Liste 1 Char,List Paragraph Char Char Char Char,Use Case List Paragraph Char"/>
    <w:basedOn w:val="DefaultParagraphFont"/>
    <w:link w:val="ListParagraph"/>
    <w:uiPriority w:val="34"/>
    <w:qFormat/>
    <w:rsid w:val="009A6EC3"/>
    <w:rPr>
      <w:rFonts w:eastAsiaTheme="minorEastAsia"/>
    </w:rPr>
  </w:style>
  <w:style w:type="paragraph" w:customStyle="1" w:styleId="head4">
    <w:name w:val="head4"/>
    <w:basedOn w:val="head3"/>
    <w:link w:val="head4Char"/>
    <w:qFormat/>
    <w:rsid w:val="009A6EC3"/>
    <w:pPr>
      <w:numPr>
        <w:ilvl w:val="2"/>
      </w:numPr>
      <w:ind w:left="720"/>
    </w:pPr>
    <w:rPr>
      <w:smallCaps w:val="0"/>
    </w:rPr>
  </w:style>
  <w:style w:type="character" w:customStyle="1" w:styleId="head3Char">
    <w:name w:val="head3 Char"/>
    <w:basedOn w:val="DefaultParagraphFont"/>
    <w:link w:val="head3"/>
    <w:qFormat/>
    <w:rsid w:val="009A6EC3"/>
    <w:rPr>
      <w:rFonts w:ascii="Times New Roman Bold" w:hAnsi="Times New Roman Bold" w:cs="Times New Roman"/>
      <w:b/>
      <w:smallCaps/>
    </w:rPr>
  </w:style>
  <w:style w:type="paragraph" w:customStyle="1" w:styleId="head5">
    <w:name w:val="head5"/>
    <w:basedOn w:val="head4"/>
    <w:link w:val="head5Char"/>
    <w:qFormat/>
    <w:rsid w:val="009A6EC3"/>
    <w:pPr>
      <w:numPr>
        <w:ilvl w:val="3"/>
      </w:numPr>
      <w:ind w:left="720"/>
    </w:pPr>
    <w:rPr>
      <w:i/>
    </w:rPr>
  </w:style>
  <w:style w:type="paragraph" w:styleId="BalloonText">
    <w:name w:val="Balloon Text"/>
    <w:basedOn w:val="Normal"/>
    <w:link w:val="BalloonTextChar"/>
    <w:uiPriority w:val="99"/>
    <w:semiHidden/>
    <w:unhideWhenUsed/>
    <w:qFormat/>
    <w:rsid w:val="009A6E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9A6EC3"/>
    <w:rPr>
      <w:rFonts w:ascii="Tahoma" w:eastAsiaTheme="minorEastAsia" w:hAnsi="Tahoma" w:cs="Tahoma"/>
      <w:sz w:val="16"/>
      <w:szCs w:val="16"/>
    </w:rPr>
  </w:style>
  <w:style w:type="paragraph" w:styleId="FootnoteText">
    <w:name w:val="footnote text"/>
    <w:aliases w:val="Footnote Text Char1 Char,Footnote Text Char1 Char Char Char Char,Footnote Text Char1 Char Char Char,single space,footnote text,Fußnote, Char2,Char,Char Char Char Char,Char Char,Char Char Char,Char Char Char Char Char Char Char,WBR,fn,A,AD"/>
    <w:basedOn w:val="Normal"/>
    <w:link w:val="FootnoteTextChar"/>
    <w:uiPriority w:val="99"/>
    <w:unhideWhenUsed/>
    <w:qFormat/>
    <w:rsid w:val="00FC0A46"/>
    <w:pPr>
      <w:spacing w:after="0" w:line="240" w:lineRule="auto"/>
    </w:pPr>
    <w:rPr>
      <w:sz w:val="20"/>
      <w:szCs w:val="20"/>
    </w:rPr>
  </w:style>
  <w:style w:type="character" w:customStyle="1" w:styleId="FootnoteTextChar">
    <w:name w:val="Footnote Text Char"/>
    <w:aliases w:val="Footnote Text Char1 Char Char,Footnote Text Char1 Char Char Char Char Char,Footnote Text Char1 Char Char Char Char1,single space Char,footnote text Char,Fußnote Char, Char2 Char,Char Char1,Char Char Char Char Char,Char Char Char1"/>
    <w:basedOn w:val="DefaultParagraphFont"/>
    <w:link w:val="FootnoteText"/>
    <w:uiPriority w:val="99"/>
    <w:qFormat/>
    <w:rsid w:val="00FC0A46"/>
    <w:rPr>
      <w:sz w:val="20"/>
      <w:szCs w:val="20"/>
    </w:rPr>
  </w:style>
  <w:style w:type="character" w:styleId="FootnoteReference">
    <w:name w:val="footnote reference"/>
    <w:aliases w:val="ftref,BVI fnr, BVI fnr,Appel note de bas de page,16 Point,Superscript 6 Point,Car Car Char Car Char Car Car Char Car Char Char,Car Car Car Car Car Car Car Car Char Car Car Char Car Car Car Char Car Char Char Char,SUPERS,BVI f,R,Ref,f"/>
    <w:basedOn w:val="DefaultParagraphFont"/>
    <w:link w:val="BVIfnrCharCharChar1CharCharCharCharCharCharChar1CharCharChar1Char"/>
    <w:uiPriority w:val="99"/>
    <w:unhideWhenUsed/>
    <w:qFormat/>
    <w:rsid w:val="00FC0A46"/>
    <w:rPr>
      <w:vertAlign w:val="superscript"/>
    </w:rPr>
  </w:style>
  <w:style w:type="paragraph" w:styleId="NormalWeb">
    <w:name w:val="Normal (Web)"/>
    <w:basedOn w:val="Normal"/>
    <w:uiPriority w:val="99"/>
    <w:unhideWhenUsed/>
    <w:qFormat/>
    <w:rsid w:val="00C70D1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4Char">
    <w:name w:val="head4 Char"/>
    <w:basedOn w:val="head3Char"/>
    <w:link w:val="head4"/>
    <w:qFormat/>
    <w:rsid w:val="00C70D1D"/>
    <w:rPr>
      <w:rFonts w:ascii="Times New Roman Bold" w:hAnsi="Times New Roman Bold" w:cs="Times New Roman"/>
      <w:b/>
      <w:smallCaps w:val="0"/>
    </w:rPr>
  </w:style>
  <w:style w:type="character" w:customStyle="1" w:styleId="head5Char">
    <w:name w:val="head5 Char"/>
    <w:basedOn w:val="head4Char"/>
    <w:link w:val="head5"/>
    <w:qFormat/>
    <w:rsid w:val="00C70D1D"/>
    <w:rPr>
      <w:rFonts w:ascii="Times New Roman Bold" w:hAnsi="Times New Roman Bold" w:cs="Times New Roman"/>
      <w:b/>
      <w:i/>
      <w:smallCaps w:val="0"/>
    </w:rPr>
  </w:style>
  <w:style w:type="character" w:styleId="Hyperlink">
    <w:name w:val="Hyperlink"/>
    <w:basedOn w:val="DefaultParagraphFont"/>
    <w:uiPriority w:val="99"/>
    <w:unhideWhenUsed/>
    <w:qFormat/>
    <w:rsid w:val="00C70D1D"/>
    <w:rPr>
      <w:color w:val="0000FF" w:themeColor="hyperlink"/>
      <w:u w:val="single"/>
    </w:rPr>
  </w:style>
  <w:style w:type="table" w:styleId="TableGrid">
    <w:name w:val="Table Grid"/>
    <w:aliases w:val="CV table,CV1,EY Table,Table Grid_mod,none,Advisian new 5,E&amp;P Style 5,E&amp;P Table Style 4,KMRC Table,TabelEcorys,Table Grid CEPA,Table long document,Table style,UDP Grid,mtbs,tabelle2,Note comm,GT0,GT01,GT02,SGS Table Basic 1,csa standard,IMDC"/>
    <w:basedOn w:val="TableNormal"/>
    <w:uiPriority w:val="59"/>
    <w:qFormat/>
    <w:rsid w:val="0073673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DSAnnexHeading">
    <w:name w:val="PDS Annex Heading"/>
    <w:next w:val="Normal"/>
    <w:uiPriority w:val="99"/>
    <w:qFormat/>
    <w:rsid w:val="00487440"/>
    <w:pPr>
      <w:keepNext/>
      <w:spacing w:after="120" w:line="240" w:lineRule="auto"/>
      <w:jc w:val="center"/>
    </w:pPr>
    <w:rPr>
      <w:rFonts w:ascii="Times New Roman" w:eastAsia="SimSun" w:hAnsi="Times New Roman" w:cs="Times New Roman"/>
      <w:b/>
      <w:sz w:val="24"/>
      <w:szCs w:val="20"/>
    </w:rPr>
  </w:style>
  <w:style w:type="paragraph" w:styleId="CommentSubject">
    <w:name w:val="annotation subject"/>
    <w:basedOn w:val="CommentText"/>
    <w:next w:val="CommentText"/>
    <w:link w:val="CommentSubjectChar"/>
    <w:uiPriority w:val="99"/>
    <w:semiHidden/>
    <w:unhideWhenUsed/>
    <w:qFormat/>
    <w:rsid w:val="00104FF1"/>
    <w:pPr>
      <w:spacing w:after="200"/>
    </w:pPr>
    <w:rPr>
      <w:rFonts w:asciiTheme="minorHAnsi" w:eastAsiaTheme="minorEastAsia" w:hAnsiTheme="minorHAnsi" w:cstheme="minorBidi"/>
      <w:b/>
      <w:bCs/>
    </w:rPr>
  </w:style>
  <w:style w:type="character" w:customStyle="1" w:styleId="CommentSubjectChar">
    <w:name w:val="Comment Subject Char"/>
    <w:basedOn w:val="CommentTextChar"/>
    <w:link w:val="CommentSubject"/>
    <w:uiPriority w:val="99"/>
    <w:semiHidden/>
    <w:qFormat/>
    <w:rsid w:val="00104FF1"/>
    <w:rPr>
      <w:rFonts w:ascii="Times New Roman" w:eastAsia="Times New Roman" w:hAnsi="Times New Roman" w:cs="Times New Roman"/>
      <w:b/>
      <w:bCs/>
      <w:sz w:val="20"/>
      <w:szCs w:val="20"/>
    </w:rPr>
  </w:style>
  <w:style w:type="paragraph" w:styleId="Header">
    <w:name w:val="header"/>
    <w:aliases w:val="Section Header"/>
    <w:basedOn w:val="Normal"/>
    <w:link w:val="HeaderChar"/>
    <w:uiPriority w:val="99"/>
    <w:unhideWhenUsed/>
    <w:qFormat/>
    <w:rsid w:val="004E0AF3"/>
    <w:pPr>
      <w:tabs>
        <w:tab w:val="center" w:pos="4680"/>
        <w:tab w:val="right" w:pos="9360"/>
      </w:tabs>
      <w:spacing w:after="0" w:line="240" w:lineRule="auto"/>
    </w:pPr>
  </w:style>
  <w:style w:type="character" w:customStyle="1" w:styleId="HeaderChar">
    <w:name w:val="Header Char"/>
    <w:aliases w:val="Section Header Char"/>
    <w:basedOn w:val="DefaultParagraphFont"/>
    <w:link w:val="Header"/>
    <w:uiPriority w:val="99"/>
    <w:qFormat/>
    <w:rsid w:val="004E0AF3"/>
  </w:style>
  <w:style w:type="paragraph" w:styleId="Footer">
    <w:name w:val="footer"/>
    <w:basedOn w:val="Normal"/>
    <w:link w:val="FooterChar"/>
    <w:uiPriority w:val="99"/>
    <w:unhideWhenUsed/>
    <w:qFormat/>
    <w:rsid w:val="004E0AF3"/>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4E0AF3"/>
  </w:style>
  <w:style w:type="character" w:customStyle="1" w:styleId="Heading1Char">
    <w:name w:val="Heading 1 Char"/>
    <w:basedOn w:val="DefaultParagraphFont"/>
    <w:link w:val="Heading1"/>
    <w:uiPriority w:val="9"/>
    <w:qFormat/>
    <w:rsid w:val="008B3EB1"/>
    <w:rPr>
      <w:rFonts w:asciiTheme="majorHAnsi" w:eastAsiaTheme="majorEastAsia" w:hAnsiTheme="majorHAnsi" w:cstheme="majorBidi"/>
      <w:color w:val="365F91" w:themeColor="accent1" w:themeShade="BF"/>
      <w:sz w:val="32"/>
      <w:szCs w:val="32"/>
    </w:rPr>
  </w:style>
  <w:style w:type="character" w:customStyle="1" w:styleId="Heading3Char">
    <w:name w:val="Heading 3 Char"/>
    <w:basedOn w:val="DefaultParagraphFont"/>
    <w:link w:val="Heading3"/>
    <w:uiPriority w:val="9"/>
    <w:qFormat/>
    <w:rsid w:val="009D5990"/>
    <w:rPr>
      <w:rFonts w:asciiTheme="majorHAnsi" w:eastAsiaTheme="majorEastAsia" w:hAnsiTheme="majorHAnsi" w:cstheme="majorBidi"/>
      <w:color w:val="243F60" w:themeColor="accent1" w:themeShade="7F"/>
      <w:sz w:val="24"/>
      <w:szCs w:val="24"/>
    </w:rPr>
  </w:style>
  <w:style w:type="character" w:customStyle="1" w:styleId="Heading2Char">
    <w:name w:val="Heading 2 Char"/>
    <w:basedOn w:val="DefaultParagraphFont"/>
    <w:link w:val="Heading2"/>
    <w:uiPriority w:val="9"/>
    <w:qFormat/>
    <w:rsid w:val="0019181C"/>
    <w:rPr>
      <w:rFonts w:asciiTheme="majorHAnsi" w:eastAsiaTheme="majorEastAsia" w:hAnsiTheme="majorHAnsi" w:cstheme="majorBidi"/>
      <w:color w:val="365F91" w:themeColor="accent1" w:themeShade="BF"/>
      <w:sz w:val="26"/>
      <w:szCs w:val="26"/>
    </w:rPr>
  </w:style>
  <w:style w:type="character" w:customStyle="1" w:styleId="DefaultChar">
    <w:name w:val="Default Char"/>
    <w:link w:val="Default"/>
    <w:qFormat/>
    <w:locked/>
    <w:rsid w:val="0019181C"/>
    <w:rPr>
      <w:rFonts w:ascii="Arial" w:hAnsi="Arial" w:cs="Arial"/>
      <w:color w:val="000000"/>
      <w:sz w:val="24"/>
      <w:szCs w:val="24"/>
      <w:lang w:val="en-CA"/>
    </w:rPr>
  </w:style>
  <w:style w:type="paragraph" w:customStyle="1" w:styleId="FreeFormAAA">
    <w:name w:val="Free Form A A A"/>
    <w:qFormat/>
    <w:rsid w:val="0019181C"/>
    <w:pPr>
      <w:spacing w:after="0" w:line="240" w:lineRule="auto"/>
    </w:pPr>
    <w:rPr>
      <w:rFonts w:ascii="Helvetica" w:eastAsia="ヒラギノ角ゴ Pro W3" w:hAnsi="Helvetica" w:cs="Times New Roman"/>
      <w:color w:val="000000"/>
      <w:sz w:val="24"/>
      <w:szCs w:val="20"/>
      <w:lang w:eastAsia="en-GB"/>
    </w:rPr>
  </w:style>
  <w:style w:type="paragraph" w:customStyle="1" w:styleId="Pa10">
    <w:name w:val="Pa10"/>
    <w:basedOn w:val="Normal"/>
    <w:next w:val="Normal"/>
    <w:uiPriority w:val="99"/>
    <w:qFormat/>
    <w:rsid w:val="0019181C"/>
    <w:pPr>
      <w:autoSpaceDE w:val="0"/>
      <w:autoSpaceDN w:val="0"/>
      <w:adjustRightInd w:val="0"/>
      <w:spacing w:after="0" w:line="181" w:lineRule="atLeast"/>
    </w:pPr>
    <w:rPr>
      <w:rFonts w:ascii="Arial" w:eastAsia="Calibri" w:hAnsi="Arial" w:cs="Arial"/>
      <w:sz w:val="24"/>
      <w:szCs w:val="24"/>
    </w:rPr>
  </w:style>
  <w:style w:type="paragraph" w:styleId="Revision">
    <w:name w:val="Revision"/>
    <w:hidden/>
    <w:uiPriority w:val="99"/>
    <w:semiHidden/>
    <w:rsid w:val="0023647A"/>
    <w:pPr>
      <w:spacing w:after="0" w:line="240" w:lineRule="auto"/>
    </w:pPr>
  </w:style>
  <w:style w:type="character" w:customStyle="1" w:styleId="UnresolvedMention1">
    <w:name w:val="Unresolved Mention1"/>
    <w:basedOn w:val="DefaultParagraphFont"/>
    <w:uiPriority w:val="99"/>
    <w:semiHidden/>
    <w:unhideWhenUsed/>
    <w:qFormat/>
    <w:rsid w:val="003652EF"/>
    <w:rPr>
      <w:color w:val="605E5C"/>
      <w:shd w:val="clear" w:color="auto" w:fill="E1DFDD"/>
    </w:rPr>
  </w:style>
  <w:style w:type="character" w:styleId="FollowedHyperlink">
    <w:name w:val="FollowedHyperlink"/>
    <w:basedOn w:val="DefaultParagraphFont"/>
    <w:uiPriority w:val="99"/>
    <w:semiHidden/>
    <w:unhideWhenUsed/>
    <w:qFormat/>
    <w:rsid w:val="00163C3D"/>
    <w:rPr>
      <w:color w:val="800080" w:themeColor="followedHyperlink"/>
      <w:u w:val="single"/>
    </w:rPr>
  </w:style>
  <w:style w:type="character" w:styleId="UnresolvedMention">
    <w:name w:val="Unresolved Mention"/>
    <w:basedOn w:val="DefaultParagraphFont"/>
    <w:uiPriority w:val="99"/>
    <w:semiHidden/>
    <w:unhideWhenUsed/>
    <w:rsid w:val="00C116F1"/>
    <w:rPr>
      <w:color w:val="605E5C"/>
      <w:shd w:val="clear" w:color="auto" w:fill="E1DFDD"/>
    </w:rPr>
  </w:style>
  <w:style w:type="character" w:customStyle="1" w:styleId="normaltextrun">
    <w:name w:val="normaltextrun"/>
    <w:basedOn w:val="DefaultParagraphFont"/>
    <w:qFormat/>
    <w:rsid w:val="004670EC"/>
  </w:style>
  <w:style w:type="paragraph" w:customStyle="1" w:styleId="paragraph">
    <w:name w:val="paragraph"/>
    <w:basedOn w:val="Normal"/>
    <w:qFormat/>
    <w:rsid w:val="004670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4Char">
    <w:name w:val="Heading 4 Char"/>
    <w:basedOn w:val="DefaultParagraphFont"/>
    <w:link w:val="Heading4"/>
    <w:uiPriority w:val="9"/>
    <w:qFormat/>
    <w:rsid w:val="004A4427"/>
    <w:rPr>
      <w:rFonts w:asciiTheme="majorHAnsi" w:eastAsiaTheme="majorEastAsia" w:hAnsiTheme="majorHAnsi" w:cstheme="majorBidi"/>
      <w:i/>
      <w:iCs/>
      <w:color w:val="365F91" w:themeColor="accent1" w:themeShade="BF"/>
    </w:rPr>
  </w:style>
  <w:style w:type="character" w:styleId="Strong">
    <w:name w:val="Strong"/>
    <w:basedOn w:val="DefaultParagraphFont"/>
    <w:uiPriority w:val="22"/>
    <w:qFormat/>
    <w:rsid w:val="004A4427"/>
    <w:rPr>
      <w:b/>
      <w:bCs/>
    </w:rPr>
  </w:style>
  <w:style w:type="paragraph" w:customStyle="1" w:styleId="BVIfnrCharCharChar1CharCharCharCharCharCharChar1CharCharChar1Char">
    <w:name w:val="BVI fnr (文字) (文字) Char (文字) Char Char1 Char Char Char Char Char Char Char1 Char Char Char1 Char"/>
    <w:aliases w:val="BVI fnr (文字) (文字) Char (文字) Char Char1 Char Char Char Char Char Char Char1 Char Char Char Char Char Char1 Char Char"/>
    <w:basedOn w:val="Normal"/>
    <w:link w:val="FootnoteReference"/>
    <w:uiPriority w:val="99"/>
    <w:rsid w:val="00B12C1E"/>
    <w:pPr>
      <w:spacing w:after="160" w:line="240" w:lineRule="exact"/>
    </w:pPr>
    <w:rPr>
      <w:vertAlign w:val="superscript"/>
    </w:rPr>
  </w:style>
  <w:style w:type="paragraph" w:styleId="Caption">
    <w:name w:val="caption"/>
    <w:aliases w:val="Figures,AICD,Légende1 Car,Légende Car,AGT ESIA,Map,Annexe,Légende 1,Légende1 Car1,Légende1 Car  1,Légende Car1,Légende 2,Légende1 Car2,Légende1 Car  2,Légende Car2,Légende 3,Légende1 Car3,Légende1 Car  3,Légende Car3,Map1,AGT ESIA1,Ma,LEG,Carte"/>
    <w:basedOn w:val="Normal"/>
    <w:next w:val="Normal"/>
    <w:link w:val="CaptionChar"/>
    <w:uiPriority w:val="35"/>
    <w:unhideWhenUsed/>
    <w:qFormat/>
    <w:rsid w:val="00B12C1E"/>
    <w:pPr>
      <w:spacing w:line="240" w:lineRule="auto"/>
    </w:pPr>
    <w:rPr>
      <w:rFonts w:ascii="Times New Roman" w:eastAsia="Times New Roman" w:hAnsi="Times New Roman" w:cs="Times New Roman"/>
      <w:i/>
      <w:iCs/>
      <w:color w:val="1F497D" w:themeColor="text2"/>
      <w:sz w:val="18"/>
      <w:szCs w:val="18"/>
    </w:rPr>
  </w:style>
  <w:style w:type="character" w:customStyle="1" w:styleId="CaptionChar">
    <w:name w:val="Caption Char"/>
    <w:aliases w:val="Figures Char,AICD Char,Légende1 Car Char,Légende Car Char,AGT ESIA Char,Map Char,Annexe Char,Légende 1 Char,Légende1 Car1 Char,Légende1 Car  1 Char,Légende Car1 Char,Légende 2 Char,Légende1 Car2 Char,Légende1 Car  2 Char,Légende Car2 Char"/>
    <w:link w:val="Caption"/>
    <w:uiPriority w:val="35"/>
    <w:qFormat/>
    <w:rsid w:val="00B12C1E"/>
    <w:rPr>
      <w:rFonts w:ascii="Times New Roman" w:eastAsia="Times New Roman" w:hAnsi="Times New Roman" w:cs="Times New Roman"/>
      <w:i/>
      <w:iCs/>
      <w:color w:val="1F497D" w:themeColor="text2"/>
      <w:sz w:val="18"/>
      <w:szCs w:val="18"/>
    </w:rPr>
  </w:style>
  <w:style w:type="character" w:customStyle="1" w:styleId="apple-converted-space">
    <w:name w:val="apple-converted-space"/>
    <w:basedOn w:val="DefaultParagraphFont"/>
    <w:rsid w:val="00B12C1E"/>
  </w:style>
  <w:style w:type="character" w:styleId="PageNumber">
    <w:name w:val="page number"/>
    <w:basedOn w:val="DefaultParagraphFont"/>
    <w:uiPriority w:val="99"/>
    <w:semiHidden/>
    <w:unhideWhenUsed/>
    <w:qFormat/>
    <w:rsid w:val="00CC2043"/>
  </w:style>
  <w:style w:type="paragraph" w:customStyle="1" w:styleId="hsnormal">
    <w:name w:val="hs_normal"/>
    <w:autoRedefine/>
    <w:qFormat/>
    <w:rsid w:val="00C119C5"/>
    <w:pPr>
      <w:numPr>
        <w:numId w:val="10"/>
      </w:numPr>
      <w:tabs>
        <w:tab w:val="left" w:pos="0"/>
      </w:tabs>
      <w:spacing w:after="0" w:line="240" w:lineRule="auto"/>
      <w:ind w:left="360"/>
      <w:jc w:val="both"/>
    </w:pPr>
    <w:rPr>
      <w:rFonts w:ascii="Times New Roman" w:eastAsia="Calibri" w:hAnsi="Times New Roman" w:cs="Times New Roman"/>
      <w:b/>
      <w:sz w:val="24"/>
      <w:szCs w:val="24"/>
      <w:lang w:val="en-GB"/>
    </w:rPr>
  </w:style>
  <w:style w:type="table" w:customStyle="1" w:styleId="TableGrid12">
    <w:name w:val="Table Grid12"/>
    <w:basedOn w:val="TableNormal"/>
    <w:next w:val="TableGrid"/>
    <w:uiPriority w:val="39"/>
    <w:rsid w:val="00C119C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C119C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qFormat/>
    <w:rsid w:val="00C119C5"/>
    <w:pPr>
      <w:spacing w:after="0" w:line="240" w:lineRule="auto"/>
    </w:pPr>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4">
    <w:name w:val="Normal_4"/>
    <w:qFormat/>
    <w:rsid w:val="00FD4800"/>
    <w:pPr>
      <w:spacing w:after="160" w:line="259" w:lineRule="auto"/>
      <w:outlineLvl w:val="3"/>
    </w:pPr>
    <w:rPr>
      <w:rFonts w:ascii="Calibri" w:eastAsiaTheme="minorHAnsi" w:hAnsi="Calibri"/>
      <w:b/>
      <w:color w:val="172D5F"/>
    </w:rPr>
  </w:style>
  <w:style w:type="paragraph" w:customStyle="1" w:styleId="Body">
    <w:name w:val="Body"/>
    <w:link w:val="BodyChar"/>
    <w:qFormat/>
    <w:rsid w:val="00A30085"/>
    <w:pPr>
      <w:pBdr>
        <w:top w:val="nil"/>
        <w:left w:val="nil"/>
        <w:bottom w:val="nil"/>
        <w:right w:val="nil"/>
        <w:between w:val="nil"/>
        <w:bar w:val="nil"/>
      </w:pBdr>
    </w:pPr>
    <w:rPr>
      <w:rFonts w:ascii="Calibri" w:eastAsia="Calibri" w:hAnsi="Calibri" w:cs="Calibri"/>
      <w:color w:val="000000"/>
      <w:u w:color="000000"/>
      <w:bdr w:val="nil"/>
      <w:lang w:eastAsia="en-GB"/>
    </w:rPr>
  </w:style>
  <w:style w:type="character" w:customStyle="1" w:styleId="BodyChar">
    <w:name w:val="Body Char"/>
    <w:basedOn w:val="DefaultParagraphFont"/>
    <w:link w:val="Body"/>
    <w:rsid w:val="00A30085"/>
    <w:rPr>
      <w:rFonts w:ascii="Calibri" w:eastAsia="Calibri" w:hAnsi="Calibri" w:cs="Calibri"/>
      <w:color w:val="000000"/>
      <w:u w:color="000000"/>
      <w:bdr w:val="nil"/>
      <w:lang w:eastAsia="en-GB"/>
    </w:rPr>
  </w:style>
  <w:style w:type="character" w:customStyle="1" w:styleId="None">
    <w:name w:val="None"/>
    <w:rsid w:val="00A30085"/>
  </w:style>
  <w:style w:type="table" w:styleId="GridTable2">
    <w:name w:val="Grid Table 2"/>
    <w:basedOn w:val="TableNormal"/>
    <w:uiPriority w:val="47"/>
    <w:rsid w:val="00354FB4"/>
    <w:pPr>
      <w:spacing w:after="0" w:line="240" w:lineRule="auto"/>
    </w:pPr>
    <w:rPr>
      <w:rFonts w:eastAsiaTheme="minorHAnsi"/>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itle">
    <w:name w:val="Title"/>
    <w:basedOn w:val="Normal"/>
    <w:next w:val="Normal"/>
    <w:link w:val="TitleChar"/>
    <w:uiPriority w:val="10"/>
    <w:qFormat/>
    <w:rsid w:val="00354FB4"/>
    <w:pPr>
      <w:spacing w:after="0" w:line="216" w:lineRule="auto"/>
      <w:contextualSpacing/>
    </w:pPr>
    <w:rPr>
      <w:rFonts w:asciiTheme="majorHAnsi" w:eastAsiaTheme="majorEastAsia" w:hAnsiTheme="majorHAnsi" w:cstheme="majorBidi"/>
      <w:color w:val="404040" w:themeColor="text1" w:themeTint="BF"/>
      <w:spacing w:val="-10"/>
      <w:kern w:val="28"/>
      <w:sz w:val="56"/>
      <w:szCs w:val="56"/>
    </w:rPr>
  </w:style>
  <w:style w:type="character" w:customStyle="1" w:styleId="TitleChar">
    <w:name w:val="Title Char"/>
    <w:basedOn w:val="DefaultParagraphFont"/>
    <w:link w:val="Title"/>
    <w:uiPriority w:val="10"/>
    <w:rsid w:val="00354FB4"/>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354FB4"/>
    <w:pPr>
      <w:numPr>
        <w:ilvl w:val="1"/>
      </w:numPr>
      <w:spacing w:after="160" w:line="259" w:lineRule="auto"/>
    </w:pPr>
    <w:rPr>
      <w:rFonts w:cs="Times New Roman"/>
      <w:color w:val="5A5A5A" w:themeColor="text1" w:themeTint="A5"/>
      <w:spacing w:val="15"/>
    </w:rPr>
  </w:style>
  <w:style w:type="character" w:customStyle="1" w:styleId="SubtitleChar">
    <w:name w:val="Subtitle Char"/>
    <w:basedOn w:val="DefaultParagraphFont"/>
    <w:link w:val="Subtitle"/>
    <w:uiPriority w:val="11"/>
    <w:rsid w:val="00354FB4"/>
    <w:rPr>
      <w:rFonts w:cs="Times New Roman"/>
      <w:color w:val="5A5A5A" w:themeColor="text1" w:themeTint="A5"/>
      <w:spacing w:val="15"/>
    </w:rPr>
  </w:style>
  <w:style w:type="table" w:styleId="GridTable2-Accent2">
    <w:name w:val="Grid Table 2 Accent 2"/>
    <w:basedOn w:val="TableNormal"/>
    <w:uiPriority w:val="47"/>
    <w:rsid w:val="00DD3BBD"/>
    <w:pPr>
      <w:spacing w:after="0" w:line="240" w:lineRule="auto"/>
    </w:pPr>
    <w:rPr>
      <w:rFonts w:eastAsiaTheme="minorHAnsi"/>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character" w:customStyle="1" w:styleId="Heading5Char">
    <w:name w:val="Heading 5 Char"/>
    <w:basedOn w:val="DefaultParagraphFont"/>
    <w:link w:val="Heading5"/>
    <w:uiPriority w:val="9"/>
    <w:qFormat/>
    <w:rsid w:val="00AC6CC2"/>
    <w:rPr>
      <w:rFonts w:ascii="Calibri Light" w:eastAsia="SimSun" w:hAnsi="Calibri Light" w:cs="Calibri"/>
      <w:i/>
      <w:iCs/>
      <w:color w:val="833C0B"/>
      <w:sz w:val="24"/>
      <w:szCs w:val="24"/>
    </w:rPr>
  </w:style>
  <w:style w:type="character" w:customStyle="1" w:styleId="Heading6Char">
    <w:name w:val="Heading 6 Char"/>
    <w:basedOn w:val="DefaultParagraphFont"/>
    <w:link w:val="Heading6"/>
    <w:uiPriority w:val="9"/>
    <w:qFormat/>
    <w:rsid w:val="00AC6CC2"/>
    <w:rPr>
      <w:rFonts w:ascii="Calibri Light" w:eastAsia="SimSun" w:hAnsi="Calibri Light" w:cs="Calibri"/>
      <w:i/>
      <w:iCs/>
      <w:color w:val="385623"/>
      <w:sz w:val="23"/>
      <w:szCs w:val="23"/>
    </w:rPr>
  </w:style>
  <w:style w:type="character" w:customStyle="1" w:styleId="Heading7Char">
    <w:name w:val="Heading 7 Char"/>
    <w:basedOn w:val="DefaultParagraphFont"/>
    <w:link w:val="Heading7"/>
    <w:uiPriority w:val="9"/>
    <w:qFormat/>
    <w:rsid w:val="00AC6CC2"/>
    <w:rPr>
      <w:rFonts w:ascii="Calibri Light" w:eastAsia="SimSun" w:hAnsi="Calibri Light" w:cs="Calibri"/>
      <w:color w:val="1F4E79"/>
      <w:sz w:val="20"/>
      <w:szCs w:val="20"/>
    </w:rPr>
  </w:style>
  <w:style w:type="character" w:customStyle="1" w:styleId="Heading8Char">
    <w:name w:val="Heading 8 Char"/>
    <w:basedOn w:val="DefaultParagraphFont"/>
    <w:link w:val="Heading8"/>
    <w:uiPriority w:val="9"/>
    <w:qFormat/>
    <w:rsid w:val="00AC6CC2"/>
    <w:rPr>
      <w:rFonts w:ascii="Calibri Light" w:eastAsia="SimSun" w:hAnsi="Calibri Light" w:cs="Calibri"/>
      <w:color w:val="833C0B"/>
      <w:sz w:val="21"/>
      <w:szCs w:val="21"/>
    </w:rPr>
  </w:style>
  <w:style w:type="character" w:customStyle="1" w:styleId="Heading9Char">
    <w:name w:val="Heading 9 Char"/>
    <w:basedOn w:val="DefaultParagraphFont"/>
    <w:link w:val="Heading9"/>
    <w:uiPriority w:val="9"/>
    <w:qFormat/>
    <w:rsid w:val="00AC6CC2"/>
    <w:rPr>
      <w:rFonts w:ascii="Calibri Light" w:eastAsia="SimSun" w:hAnsi="Calibri Light" w:cs="Calibri"/>
      <w:color w:val="385623"/>
      <w:sz w:val="20"/>
      <w:szCs w:val="20"/>
    </w:rPr>
  </w:style>
  <w:style w:type="paragraph" w:styleId="BodyText">
    <w:name w:val="Body Text"/>
    <w:basedOn w:val="Normal"/>
    <w:link w:val="BodyTextChar"/>
    <w:uiPriority w:val="99"/>
    <w:unhideWhenUsed/>
    <w:qFormat/>
    <w:rsid w:val="00AC6CC2"/>
    <w:pPr>
      <w:spacing w:after="156" w:line="249" w:lineRule="auto"/>
      <w:ind w:left="10" w:hanging="10"/>
      <w:jc w:val="both"/>
    </w:pPr>
    <w:rPr>
      <w:rFonts w:ascii="Calibri" w:eastAsia="Calibri" w:hAnsi="Calibri" w:cs="Calibri"/>
      <w:color w:val="FF0000"/>
    </w:rPr>
  </w:style>
  <w:style w:type="character" w:customStyle="1" w:styleId="BodyTextChar">
    <w:name w:val="Body Text Char"/>
    <w:basedOn w:val="DefaultParagraphFont"/>
    <w:link w:val="BodyText"/>
    <w:uiPriority w:val="99"/>
    <w:qFormat/>
    <w:rsid w:val="00AC6CC2"/>
    <w:rPr>
      <w:rFonts w:ascii="Calibri" w:eastAsia="Calibri" w:hAnsi="Calibri" w:cs="Calibri"/>
      <w:color w:val="FF0000"/>
    </w:rPr>
  </w:style>
  <w:style w:type="paragraph" w:styleId="BodyText2">
    <w:name w:val="Body Text 2"/>
    <w:basedOn w:val="Normal"/>
    <w:link w:val="BodyText2Char"/>
    <w:uiPriority w:val="99"/>
    <w:semiHidden/>
    <w:unhideWhenUsed/>
    <w:qFormat/>
    <w:rsid w:val="00AC6CC2"/>
    <w:pPr>
      <w:spacing w:after="156" w:line="480" w:lineRule="auto"/>
      <w:ind w:left="10" w:hanging="10"/>
      <w:jc w:val="both"/>
    </w:pPr>
    <w:rPr>
      <w:rFonts w:ascii="Calibri" w:eastAsia="Calibri" w:hAnsi="Calibri" w:cs="Calibri"/>
      <w:color w:val="000000"/>
    </w:rPr>
  </w:style>
  <w:style w:type="character" w:customStyle="1" w:styleId="BodyText2Char">
    <w:name w:val="Body Text 2 Char"/>
    <w:basedOn w:val="DefaultParagraphFont"/>
    <w:link w:val="BodyText2"/>
    <w:uiPriority w:val="99"/>
    <w:semiHidden/>
    <w:qFormat/>
    <w:rsid w:val="00AC6CC2"/>
    <w:rPr>
      <w:rFonts w:ascii="Calibri" w:eastAsia="Calibri" w:hAnsi="Calibri" w:cs="Calibri"/>
      <w:color w:val="000000"/>
    </w:rPr>
  </w:style>
  <w:style w:type="paragraph" w:styleId="BodyText3">
    <w:name w:val="Body Text 3"/>
    <w:basedOn w:val="Normal"/>
    <w:link w:val="BodyText3Char"/>
    <w:uiPriority w:val="99"/>
    <w:unhideWhenUsed/>
    <w:qFormat/>
    <w:rsid w:val="00AC6CC2"/>
    <w:pPr>
      <w:snapToGrid w:val="0"/>
      <w:spacing w:after="156" w:line="249" w:lineRule="auto"/>
      <w:ind w:left="10" w:hanging="10"/>
      <w:jc w:val="both"/>
    </w:pPr>
    <w:rPr>
      <w:rFonts w:ascii="Calibri" w:eastAsia="Times New Roman" w:hAnsi="Calibri" w:cs="Calibri"/>
      <w:color w:val="000000"/>
    </w:rPr>
  </w:style>
  <w:style w:type="character" w:customStyle="1" w:styleId="BodyText3Char">
    <w:name w:val="Body Text 3 Char"/>
    <w:basedOn w:val="DefaultParagraphFont"/>
    <w:link w:val="BodyText3"/>
    <w:uiPriority w:val="99"/>
    <w:qFormat/>
    <w:rsid w:val="00AC6CC2"/>
    <w:rPr>
      <w:rFonts w:ascii="Calibri" w:eastAsia="Times New Roman" w:hAnsi="Calibri" w:cs="Calibri"/>
      <w:color w:val="000000"/>
    </w:rPr>
  </w:style>
  <w:style w:type="paragraph" w:styleId="BodyTextIndent">
    <w:name w:val="Body Text Indent"/>
    <w:basedOn w:val="Normal"/>
    <w:link w:val="BodyTextIndentChar"/>
    <w:uiPriority w:val="99"/>
    <w:unhideWhenUsed/>
    <w:qFormat/>
    <w:rsid w:val="00AC6CC2"/>
    <w:pPr>
      <w:snapToGrid w:val="0"/>
      <w:spacing w:after="156" w:line="249" w:lineRule="auto"/>
      <w:ind w:left="720" w:hanging="10"/>
      <w:contextualSpacing/>
      <w:jc w:val="both"/>
    </w:pPr>
    <w:rPr>
      <w:rFonts w:ascii="Calibri" w:eastAsia="Times New Roman" w:hAnsi="Calibri" w:cs="Calibri"/>
      <w:color w:val="000000"/>
    </w:rPr>
  </w:style>
  <w:style w:type="character" w:customStyle="1" w:styleId="BodyTextIndentChar">
    <w:name w:val="Body Text Indent Char"/>
    <w:basedOn w:val="DefaultParagraphFont"/>
    <w:link w:val="BodyTextIndent"/>
    <w:uiPriority w:val="99"/>
    <w:qFormat/>
    <w:rsid w:val="00AC6CC2"/>
    <w:rPr>
      <w:rFonts w:ascii="Calibri" w:eastAsia="Times New Roman" w:hAnsi="Calibri" w:cs="Calibri"/>
      <w:color w:val="000000"/>
    </w:rPr>
  </w:style>
  <w:style w:type="paragraph" w:styleId="BodyTextIndent2">
    <w:name w:val="Body Text Indent 2"/>
    <w:basedOn w:val="Normal"/>
    <w:link w:val="BodyTextIndent2Char"/>
    <w:uiPriority w:val="99"/>
    <w:unhideWhenUsed/>
    <w:qFormat/>
    <w:rsid w:val="00AC6CC2"/>
    <w:pPr>
      <w:spacing w:before="120" w:after="156" w:line="249" w:lineRule="auto"/>
      <w:ind w:left="720" w:hanging="10"/>
      <w:jc w:val="both"/>
    </w:pPr>
    <w:rPr>
      <w:rFonts w:ascii="Times" w:eastAsia="Calibri" w:hAnsi="Times" w:cs="Calibri"/>
      <w:color w:val="000000"/>
    </w:rPr>
  </w:style>
  <w:style w:type="character" w:customStyle="1" w:styleId="BodyTextIndent2Char">
    <w:name w:val="Body Text Indent 2 Char"/>
    <w:basedOn w:val="DefaultParagraphFont"/>
    <w:link w:val="BodyTextIndent2"/>
    <w:uiPriority w:val="99"/>
    <w:qFormat/>
    <w:rsid w:val="00AC6CC2"/>
    <w:rPr>
      <w:rFonts w:ascii="Times" w:eastAsia="Calibri" w:hAnsi="Times" w:cs="Calibri"/>
      <w:color w:val="000000"/>
    </w:rPr>
  </w:style>
  <w:style w:type="paragraph" w:styleId="DocumentMap">
    <w:name w:val="Document Map"/>
    <w:basedOn w:val="Normal"/>
    <w:link w:val="DocumentMapChar"/>
    <w:uiPriority w:val="99"/>
    <w:semiHidden/>
    <w:unhideWhenUsed/>
    <w:qFormat/>
    <w:rsid w:val="00AC6CC2"/>
    <w:pPr>
      <w:spacing w:after="0" w:line="249" w:lineRule="auto"/>
      <w:ind w:left="10" w:hanging="10"/>
      <w:jc w:val="both"/>
    </w:pPr>
    <w:rPr>
      <w:rFonts w:ascii="Lucida Grande" w:eastAsia="Calibri" w:hAnsi="Lucida Grande" w:cs="Lucida Grande"/>
      <w:color w:val="000000"/>
      <w:sz w:val="24"/>
      <w:szCs w:val="24"/>
    </w:rPr>
  </w:style>
  <w:style w:type="character" w:customStyle="1" w:styleId="DocumentMapChar">
    <w:name w:val="Document Map Char"/>
    <w:basedOn w:val="DefaultParagraphFont"/>
    <w:link w:val="DocumentMap"/>
    <w:uiPriority w:val="99"/>
    <w:semiHidden/>
    <w:qFormat/>
    <w:rsid w:val="00AC6CC2"/>
    <w:rPr>
      <w:rFonts w:ascii="Lucida Grande" w:eastAsia="Calibri" w:hAnsi="Lucida Grande" w:cs="Lucida Grande"/>
      <w:color w:val="000000"/>
      <w:sz w:val="24"/>
      <w:szCs w:val="24"/>
    </w:rPr>
  </w:style>
  <w:style w:type="paragraph" w:styleId="PlainText">
    <w:name w:val="Plain Text"/>
    <w:basedOn w:val="Normal"/>
    <w:link w:val="PlainTextChar"/>
    <w:uiPriority w:val="99"/>
    <w:unhideWhenUsed/>
    <w:qFormat/>
    <w:rsid w:val="00AC6CC2"/>
    <w:pPr>
      <w:spacing w:after="0" w:line="240" w:lineRule="auto"/>
    </w:pPr>
    <w:rPr>
      <w:rFonts w:ascii="Calibri" w:eastAsia="Calibri" w:hAnsi="Calibri" w:cs="Times New Roman"/>
      <w:szCs w:val="21"/>
    </w:rPr>
  </w:style>
  <w:style w:type="character" w:customStyle="1" w:styleId="PlainTextChar">
    <w:name w:val="Plain Text Char"/>
    <w:basedOn w:val="DefaultParagraphFont"/>
    <w:link w:val="PlainText"/>
    <w:uiPriority w:val="99"/>
    <w:qFormat/>
    <w:rsid w:val="00AC6CC2"/>
    <w:rPr>
      <w:rFonts w:ascii="Calibri" w:eastAsia="Calibri" w:hAnsi="Calibri" w:cs="Times New Roman"/>
      <w:szCs w:val="21"/>
    </w:rPr>
  </w:style>
  <w:style w:type="paragraph" w:styleId="TableofFigures">
    <w:name w:val="table of figures"/>
    <w:basedOn w:val="Normal"/>
    <w:next w:val="Normal"/>
    <w:uiPriority w:val="99"/>
    <w:unhideWhenUsed/>
    <w:qFormat/>
    <w:rsid w:val="00AC6CC2"/>
    <w:pPr>
      <w:spacing w:after="0" w:line="249" w:lineRule="auto"/>
      <w:ind w:left="10" w:hanging="10"/>
      <w:jc w:val="both"/>
    </w:pPr>
    <w:rPr>
      <w:rFonts w:ascii="Calibri" w:eastAsia="Calibri" w:hAnsi="Calibri" w:cs="Calibri"/>
      <w:i/>
      <w:iCs/>
      <w:color w:val="000000"/>
      <w:sz w:val="20"/>
      <w:szCs w:val="20"/>
    </w:rPr>
  </w:style>
  <w:style w:type="paragraph" w:styleId="TOC1">
    <w:name w:val="toc 1"/>
    <w:basedOn w:val="Normal"/>
    <w:next w:val="Normal"/>
    <w:uiPriority w:val="39"/>
    <w:unhideWhenUsed/>
    <w:qFormat/>
    <w:rsid w:val="00AC6CC2"/>
    <w:pPr>
      <w:tabs>
        <w:tab w:val="left" w:pos="360"/>
        <w:tab w:val="right" w:leader="dot" w:pos="9097"/>
      </w:tabs>
      <w:spacing w:before="120" w:after="0" w:line="249" w:lineRule="auto"/>
      <w:ind w:hanging="10"/>
    </w:pPr>
    <w:rPr>
      <w:rFonts w:ascii="Calibri" w:eastAsia="Calibri" w:hAnsi="Calibri" w:cs="Calibri"/>
      <w:b/>
      <w:bCs/>
      <w:color w:val="000000"/>
      <w:sz w:val="24"/>
      <w:szCs w:val="24"/>
    </w:rPr>
  </w:style>
  <w:style w:type="paragraph" w:styleId="TOC2">
    <w:name w:val="toc 2"/>
    <w:basedOn w:val="Normal"/>
    <w:next w:val="Normal"/>
    <w:uiPriority w:val="39"/>
    <w:unhideWhenUsed/>
    <w:qFormat/>
    <w:rsid w:val="00AC6CC2"/>
    <w:pPr>
      <w:spacing w:after="0" w:line="249" w:lineRule="auto"/>
      <w:ind w:left="220" w:hanging="10"/>
    </w:pPr>
    <w:rPr>
      <w:rFonts w:ascii="Calibri" w:eastAsia="Calibri" w:hAnsi="Calibri" w:cs="Calibri"/>
      <w:b/>
      <w:bCs/>
      <w:color w:val="000000"/>
    </w:rPr>
  </w:style>
  <w:style w:type="paragraph" w:styleId="TOC3">
    <w:name w:val="toc 3"/>
    <w:basedOn w:val="Normal"/>
    <w:next w:val="Normal"/>
    <w:uiPriority w:val="39"/>
    <w:unhideWhenUsed/>
    <w:qFormat/>
    <w:rsid w:val="00AC6CC2"/>
    <w:pPr>
      <w:spacing w:after="0" w:line="249" w:lineRule="auto"/>
      <w:ind w:left="440" w:hanging="10"/>
    </w:pPr>
    <w:rPr>
      <w:rFonts w:ascii="Calibri" w:eastAsia="Calibri" w:hAnsi="Calibri" w:cs="Calibri"/>
      <w:color w:val="000000"/>
    </w:rPr>
  </w:style>
  <w:style w:type="paragraph" w:styleId="TOC4">
    <w:name w:val="toc 4"/>
    <w:basedOn w:val="Normal"/>
    <w:next w:val="Normal"/>
    <w:uiPriority w:val="39"/>
    <w:unhideWhenUsed/>
    <w:qFormat/>
    <w:rsid w:val="00AC6CC2"/>
    <w:pPr>
      <w:spacing w:after="0" w:line="249" w:lineRule="auto"/>
      <w:ind w:left="660" w:hanging="10"/>
    </w:pPr>
    <w:rPr>
      <w:rFonts w:ascii="Calibri" w:eastAsia="Calibri" w:hAnsi="Calibri" w:cs="Calibri"/>
      <w:color w:val="000000"/>
      <w:sz w:val="20"/>
      <w:szCs w:val="20"/>
    </w:rPr>
  </w:style>
  <w:style w:type="paragraph" w:styleId="TOC5">
    <w:name w:val="toc 5"/>
    <w:basedOn w:val="Normal"/>
    <w:next w:val="Normal"/>
    <w:uiPriority w:val="39"/>
    <w:unhideWhenUsed/>
    <w:qFormat/>
    <w:rsid w:val="00AC6CC2"/>
    <w:pPr>
      <w:spacing w:after="0" w:line="249" w:lineRule="auto"/>
      <w:ind w:left="880" w:hanging="10"/>
    </w:pPr>
    <w:rPr>
      <w:rFonts w:ascii="Calibri" w:eastAsia="Calibri" w:hAnsi="Calibri" w:cs="Calibri"/>
      <w:color w:val="000000"/>
      <w:sz w:val="20"/>
      <w:szCs w:val="20"/>
    </w:rPr>
  </w:style>
  <w:style w:type="paragraph" w:styleId="TOC6">
    <w:name w:val="toc 6"/>
    <w:basedOn w:val="Normal"/>
    <w:next w:val="Normal"/>
    <w:uiPriority w:val="39"/>
    <w:unhideWhenUsed/>
    <w:qFormat/>
    <w:rsid w:val="00AC6CC2"/>
    <w:pPr>
      <w:spacing w:after="0" w:line="249" w:lineRule="auto"/>
      <w:ind w:left="1100" w:hanging="10"/>
    </w:pPr>
    <w:rPr>
      <w:rFonts w:ascii="Calibri" w:eastAsia="Calibri" w:hAnsi="Calibri" w:cs="Calibri"/>
      <w:color w:val="000000"/>
      <w:sz w:val="20"/>
      <w:szCs w:val="20"/>
    </w:rPr>
  </w:style>
  <w:style w:type="paragraph" w:styleId="TOC7">
    <w:name w:val="toc 7"/>
    <w:basedOn w:val="Normal"/>
    <w:next w:val="Normal"/>
    <w:uiPriority w:val="39"/>
    <w:unhideWhenUsed/>
    <w:qFormat/>
    <w:rsid w:val="00AC6CC2"/>
    <w:pPr>
      <w:spacing w:after="0" w:line="249" w:lineRule="auto"/>
      <w:ind w:left="1320" w:hanging="10"/>
    </w:pPr>
    <w:rPr>
      <w:rFonts w:ascii="Calibri" w:eastAsia="Calibri" w:hAnsi="Calibri" w:cs="Calibri"/>
      <w:color w:val="000000"/>
      <w:sz w:val="20"/>
      <w:szCs w:val="20"/>
    </w:rPr>
  </w:style>
  <w:style w:type="paragraph" w:styleId="TOC8">
    <w:name w:val="toc 8"/>
    <w:basedOn w:val="Normal"/>
    <w:next w:val="Normal"/>
    <w:uiPriority w:val="39"/>
    <w:unhideWhenUsed/>
    <w:qFormat/>
    <w:rsid w:val="00AC6CC2"/>
    <w:pPr>
      <w:spacing w:after="0" w:line="249" w:lineRule="auto"/>
      <w:ind w:left="1540" w:hanging="10"/>
    </w:pPr>
    <w:rPr>
      <w:rFonts w:ascii="Calibri" w:eastAsia="Calibri" w:hAnsi="Calibri" w:cs="Calibri"/>
      <w:color w:val="000000"/>
      <w:sz w:val="20"/>
      <w:szCs w:val="20"/>
    </w:rPr>
  </w:style>
  <w:style w:type="paragraph" w:styleId="TOC9">
    <w:name w:val="toc 9"/>
    <w:basedOn w:val="Normal"/>
    <w:next w:val="Normal"/>
    <w:uiPriority w:val="39"/>
    <w:unhideWhenUsed/>
    <w:qFormat/>
    <w:rsid w:val="00AC6CC2"/>
    <w:pPr>
      <w:spacing w:after="0" w:line="249" w:lineRule="auto"/>
      <w:ind w:left="1760" w:hanging="10"/>
    </w:pPr>
    <w:rPr>
      <w:rFonts w:ascii="Calibri" w:eastAsia="Calibri" w:hAnsi="Calibri" w:cs="Calibri"/>
      <w:color w:val="000000"/>
      <w:sz w:val="20"/>
      <w:szCs w:val="20"/>
    </w:rPr>
  </w:style>
  <w:style w:type="paragraph" w:customStyle="1" w:styleId="CarattereCharCarattereCarattereCharCarattereCharCarattereCharCharCharCharChar">
    <w:name w:val="Carattere Char Carattere Carattere Char Carattere Char Carattere Char Char Char Char Char"/>
    <w:basedOn w:val="Normal"/>
    <w:uiPriority w:val="99"/>
    <w:qFormat/>
    <w:rsid w:val="00AC6CC2"/>
    <w:pPr>
      <w:spacing w:before="120" w:after="160" w:line="240" w:lineRule="exact"/>
    </w:pPr>
    <w:rPr>
      <w:rFonts w:eastAsia="Calibri"/>
      <w:sz w:val="24"/>
      <w:szCs w:val="24"/>
      <w:vertAlign w:val="superscript"/>
    </w:rPr>
  </w:style>
  <w:style w:type="table" w:styleId="ColorfulList-Accent1">
    <w:name w:val="Colorful List Accent 1"/>
    <w:basedOn w:val="TableNormal"/>
    <w:uiPriority w:val="34"/>
    <w:semiHidden/>
    <w:unhideWhenUsed/>
    <w:qFormat/>
    <w:rsid w:val="00AC6CC2"/>
    <w:pPr>
      <w:spacing w:after="160" w:line="259" w:lineRule="auto"/>
    </w:pPr>
    <w:rPr>
      <w:rFonts w:ascii="Calibri" w:eastAsia="Times New Roman" w:hAnsi="Calibri" w:cs="Times New Roman"/>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D25F12"/>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paragraph" w:customStyle="1" w:styleId="BodyTextNoSpaceChar">
    <w:name w:val="Body Text NoSpace Char"/>
    <w:basedOn w:val="BodyText"/>
    <w:qFormat/>
    <w:rsid w:val="00AC6CC2"/>
    <w:pPr>
      <w:spacing w:after="0"/>
    </w:pPr>
  </w:style>
  <w:style w:type="character" w:customStyle="1" w:styleId="ColorfulList-Accent1Char">
    <w:name w:val="Colorful List - Accent 1 Char"/>
    <w:uiPriority w:val="34"/>
    <w:semiHidden/>
    <w:qFormat/>
    <w:rsid w:val="00AC6CC2"/>
    <w:rPr>
      <w:rFonts w:ascii="Calibri" w:eastAsia="Times New Roman" w:hAnsi="Calibri" w:cs="Times New Roman"/>
      <w:sz w:val="22"/>
      <w:szCs w:val="22"/>
    </w:rPr>
  </w:style>
  <w:style w:type="paragraph" w:customStyle="1" w:styleId="ContentsPage">
    <w:name w:val="ContentsPage"/>
    <w:basedOn w:val="Normal"/>
    <w:next w:val="BodyText"/>
    <w:qFormat/>
    <w:rsid w:val="00AC6CC2"/>
    <w:pPr>
      <w:pageBreakBefore/>
      <w:suppressAutoHyphens/>
      <w:spacing w:before="2680" w:after="0" w:line="320" w:lineRule="exact"/>
      <w:ind w:left="10" w:hanging="10"/>
      <w:jc w:val="both"/>
    </w:pPr>
    <w:rPr>
      <w:rFonts w:ascii="TrueHelveticaBlack" w:eastAsia="Calibri" w:hAnsi="TrueHelveticaBlack" w:cs="Calibri"/>
      <w:b/>
      <w:color w:val="000000"/>
      <w:sz w:val="32"/>
      <w:szCs w:val="20"/>
      <w:lang w:val="en-GB" w:eastAsia="da-DK"/>
    </w:rPr>
  </w:style>
  <w:style w:type="paragraph" w:customStyle="1" w:styleId="TOCHeading1">
    <w:name w:val="TOC Heading1"/>
    <w:basedOn w:val="Heading1"/>
    <w:next w:val="Normal"/>
    <w:uiPriority w:val="39"/>
    <w:unhideWhenUsed/>
    <w:qFormat/>
    <w:rsid w:val="00AC6CC2"/>
    <w:pPr>
      <w:spacing w:before="480" w:after="160"/>
      <w:outlineLvl w:val="9"/>
    </w:pPr>
    <w:rPr>
      <w:rFonts w:ascii="Calibri Light" w:eastAsia="Times New Roman" w:hAnsi="Calibri Light" w:cs="Times New Roman"/>
      <w:b/>
      <w:bCs/>
      <w:color w:val="2E74B5"/>
      <w:sz w:val="28"/>
      <w:szCs w:val="28"/>
    </w:rPr>
  </w:style>
  <w:style w:type="paragraph" w:customStyle="1" w:styleId="Revision1">
    <w:name w:val="Revision1"/>
    <w:hidden/>
    <w:uiPriority w:val="99"/>
    <w:semiHidden/>
    <w:qFormat/>
    <w:rsid w:val="00AC6CC2"/>
    <w:pPr>
      <w:spacing w:after="160" w:line="259" w:lineRule="auto"/>
    </w:pPr>
    <w:rPr>
      <w:rFonts w:ascii="Calibri" w:eastAsia="Times New Roman" w:hAnsi="Calibri" w:cs="Times New Roman"/>
    </w:rPr>
  </w:style>
  <w:style w:type="character" w:customStyle="1" w:styleId="SubtleReference1">
    <w:name w:val="Subtle Reference1"/>
    <w:uiPriority w:val="31"/>
    <w:qFormat/>
    <w:rsid w:val="00AC6CC2"/>
    <w:rPr>
      <w:smallCaps/>
      <w:color w:val="5A5A5A"/>
    </w:rPr>
  </w:style>
  <w:style w:type="paragraph" w:customStyle="1" w:styleId="Style1">
    <w:name w:val="Style1"/>
    <w:basedOn w:val="Normal"/>
    <w:qFormat/>
    <w:rsid w:val="00AC6CC2"/>
    <w:pPr>
      <w:spacing w:after="240" w:line="249" w:lineRule="auto"/>
      <w:ind w:left="10" w:hanging="10"/>
      <w:jc w:val="both"/>
    </w:pPr>
    <w:rPr>
      <w:rFonts w:ascii="Calibri" w:eastAsia="Calibri" w:hAnsi="Calibri" w:cs="Calibri"/>
      <w:color w:val="FF0000"/>
    </w:rPr>
  </w:style>
  <w:style w:type="table" w:customStyle="1" w:styleId="TableGrid0">
    <w:name w:val="TableGrid"/>
    <w:qFormat/>
    <w:rsid w:val="00AC6CC2"/>
    <w:pPr>
      <w:spacing w:after="160" w:line="259"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10">
    <w:name w:val="TableGrid1"/>
    <w:qFormat/>
    <w:rsid w:val="00AC6CC2"/>
    <w:pPr>
      <w:spacing w:after="160" w:line="259"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2">
    <w:name w:val="TableGrid2"/>
    <w:qFormat/>
    <w:rsid w:val="00AC6CC2"/>
    <w:pPr>
      <w:spacing w:after="160" w:line="259" w:lineRule="auto"/>
    </w:pPr>
    <w:rPr>
      <w:rFonts w:ascii="Calibri" w:eastAsia="Times New Roman" w:hAnsi="Calibri" w:cs="Times New Roman"/>
    </w:rPr>
    <w:tblPr>
      <w:tblCellMar>
        <w:top w:w="0" w:type="dxa"/>
        <w:left w:w="0" w:type="dxa"/>
        <w:bottom w:w="0" w:type="dxa"/>
        <w:right w:w="0" w:type="dxa"/>
      </w:tblCellMar>
    </w:tblPr>
  </w:style>
  <w:style w:type="character" w:customStyle="1" w:styleId="UnresolvedMention2">
    <w:name w:val="Unresolved Mention2"/>
    <w:uiPriority w:val="99"/>
    <w:semiHidden/>
    <w:unhideWhenUsed/>
    <w:qFormat/>
    <w:rsid w:val="00AC6CC2"/>
    <w:rPr>
      <w:color w:val="605E5C"/>
      <w:shd w:val="clear" w:color="auto" w:fill="E1DFDD"/>
    </w:rPr>
  </w:style>
  <w:style w:type="table" w:customStyle="1" w:styleId="TableGrid3">
    <w:name w:val="TableGrid3"/>
    <w:qFormat/>
    <w:rsid w:val="00AC6CC2"/>
    <w:pPr>
      <w:spacing w:after="160" w:line="259"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4">
    <w:name w:val="TableGrid4"/>
    <w:qFormat/>
    <w:rsid w:val="00AC6CC2"/>
    <w:pPr>
      <w:spacing w:after="160" w:line="259"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5">
    <w:name w:val="TableGrid5"/>
    <w:qFormat/>
    <w:rsid w:val="00AC6CC2"/>
    <w:pPr>
      <w:spacing w:after="160" w:line="259" w:lineRule="auto"/>
    </w:pPr>
    <w:rPr>
      <w:rFonts w:ascii="Calibri" w:eastAsia="Times New Roman" w:hAnsi="Calibri" w:cs="Times New Roman"/>
    </w:rPr>
    <w:tblPr>
      <w:tblCellMar>
        <w:top w:w="0" w:type="dxa"/>
        <w:left w:w="0" w:type="dxa"/>
        <w:bottom w:w="0" w:type="dxa"/>
        <w:right w:w="0" w:type="dxa"/>
      </w:tblCellMar>
    </w:tblPr>
  </w:style>
  <w:style w:type="table" w:customStyle="1" w:styleId="TableGrid51">
    <w:name w:val="TableGrid51"/>
    <w:qFormat/>
    <w:rsid w:val="00AC6CC2"/>
    <w:pPr>
      <w:spacing w:after="160" w:line="259" w:lineRule="auto"/>
    </w:pPr>
    <w:rPr>
      <w:rFonts w:ascii="Calibri" w:eastAsia="Times New Roman" w:hAnsi="Calibri" w:cs="Times New Roman"/>
    </w:rPr>
    <w:tblPr>
      <w:tblCellMar>
        <w:top w:w="0" w:type="dxa"/>
        <w:left w:w="0" w:type="dxa"/>
        <w:bottom w:w="0" w:type="dxa"/>
        <w:right w:w="0" w:type="dxa"/>
      </w:tblCellMar>
    </w:tblPr>
  </w:style>
  <w:style w:type="paragraph" w:customStyle="1" w:styleId="BodyText1">
    <w:name w:val="Body Text1"/>
    <w:basedOn w:val="BodyTextIndent"/>
    <w:qFormat/>
    <w:rsid w:val="00AC6CC2"/>
    <w:pPr>
      <w:snapToGrid/>
      <w:ind w:left="0"/>
      <w:contextualSpacing w:val="0"/>
    </w:pPr>
    <w:rPr>
      <w:color w:val="auto"/>
      <w:sz w:val="24"/>
      <w:szCs w:val="24"/>
    </w:rPr>
  </w:style>
  <w:style w:type="character" w:customStyle="1" w:styleId="UnresolvedMention3">
    <w:name w:val="Unresolved Mention3"/>
    <w:basedOn w:val="DefaultParagraphFont"/>
    <w:uiPriority w:val="99"/>
    <w:semiHidden/>
    <w:unhideWhenUsed/>
    <w:qFormat/>
    <w:rsid w:val="00AC6CC2"/>
    <w:rPr>
      <w:color w:val="605E5C"/>
      <w:shd w:val="clear" w:color="auto" w:fill="E1DFDD"/>
    </w:rPr>
  </w:style>
  <w:style w:type="paragraph" w:customStyle="1" w:styleId="footnotedescription">
    <w:name w:val="footnote description"/>
    <w:next w:val="Normal"/>
    <w:link w:val="footnotedescriptionChar"/>
    <w:qFormat/>
    <w:rsid w:val="00AC6CC2"/>
    <w:pPr>
      <w:spacing w:after="26" w:line="267" w:lineRule="auto"/>
      <w:ind w:left="473" w:right="259"/>
    </w:pPr>
    <w:rPr>
      <w:rFonts w:ascii="Times New Roman" w:eastAsia="Times New Roman" w:hAnsi="Times New Roman" w:cs="Times New Roman"/>
      <w:color w:val="0563C1"/>
      <w:sz w:val="19"/>
      <w:u w:val="single" w:color="0563C1"/>
    </w:rPr>
  </w:style>
  <w:style w:type="character" w:customStyle="1" w:styleId="footnotedescriptionChar">
    <w:name w:val="footnote description Char"/>
    <w:link w:val="footnotedescription"/>
    <w:qFormat/>
    <w:rsid w:val="00AC6CC2"/>
    <w:rPr>
      <w:rFonts w:ascii="Times New Roman" w:eastAsia="Times New Roman" w:hAnsi="Times New Roman" w:cs="Times New Roman"/>
      <w:color w:val="0563C1"/>
      <w:sz w:val="19"/>
      <w:u w:val="single" w:color="0563C1"/>
    </w:rPr>
  </w:style>
  <w:style w:type="character" w:customStyle="1" w:styleId="footnotemark">
    <w:name w:val="footnote mark"/>
    <w:qFormat/>
    <w:rsid w:val="00AC6CC2"/>
    <w:rPr>
      <w:rFonts w:ascii="Times New Roman" w:eastAsia="Times New Roman" w:hAnsi="Times New Roman" w:cs="Times New Roman"/>
      <w:color w:val="000000"/>
      <w:sz w:val="19"/>
      <w:vertAlign w:val="superscript"/>
    </w:rPr>
  </w:style>
  <w:style w:type="paragraph" w:styleId="Index1">
    <w:name w:val="index 1"/>
    <w:basedOn w:val="Normal"/>
    <w:next w:val="Normal"/>
    <w:autoRedefine/>
    <w:uiPriority w:val="99"/>
    <w:semiHidden/>
    <w:unhideWhenUsed/>
    <w:rsid w:val="00AC6CC2"/>
    <w:pPr>
      <w:spacing w:after="0" w:line="240" w:lineRule="auto"/>
      <w:ind w:left="220" w:hanging="220"/>
      <w:jc w:val="both"/>
    </w:pPr>
    <w:rPr>
      <w:rFonts w:ascii="Calibri" w:eastAsia="Calibri" w:hAnsi="Calibri" w:cs="Calibri"/>
      <w:color w:val="000000"/>
    </w:rPr>
  </w:style>
  <w:style w:type="paragraph" w:styleId="IndexHeading">
    <w:name w:val="index heading"/>
    <w:basedOn w:val="Normal"/>
    <w:next w:val="Index1"/>
    <w:semiHidden/>
    <w:rsid w:val="00AC6CC2"/>
    <w:pPr>
      <w:spacing w:after="0" w:line="240" w:lineRule="auto"/>
    </w:pPr>
    <w:rPr>
      <w:rFonts w:ascii="Times New Roman" w:eastAsia="Times New Roman" w:hAnsi="Times New Roman" w:cs="Times New Roman"/>
      <w:sz w:val="24"/>
      <w:szCs w:val="24"/>
    </w:rPr>
  </w:style>
  <w:style w:type="paragraph" w:styleId="TOCHeading">
    <w:name w:val="TOC Heading"/>
    <w:basedOn w:val="Heading1"/>
    <w:next w:val="Normal"/>
    <w:uiPriority w:val="39"/>
    <w:unhideWhenUsed/>
    <w:qFormat/>
    <w:rsid w:val="00AC6CC2"/>
    <w:pPr>
      <w:spacing w:line="259" w:lineRule="auto"/>
      <w:outlineLvl w:val="9"/>
    </w:pPr>
  </w:style>
  <w:style w:type="character" w:customStyle="1" w:styleId="UnresolvedMention4">
    <w:name w:val="Unresolved Mention4"/>
    <w:basedOn w:val="DefaultParagraphFont"/>
    <w:uiPriority w:val="99"/>
    <w:semiHidden/>
    <w:unhideWhenUsed/>
    <w:rsid w:val="00AC6CC2"/>
    <w:rPr>
      <w:color w:val="605E5C"/>
      <w:shd w:val="clear" w:color="auto" w:fill="E1DFDD"/>
    </w:rPr>
  </w:style>
  <w:style w:type="paragraph" w:styleId="BodyTextIndent3">
    <w:name w:val="Body Text Indent 3"/>
    <w:basedOn w:val="Normal"/>
    <w:link w:val="BodyTextIndent3Char"/>
    <w:uiPriority w:val="99"/>
    <w:unhideWhenUsed/>
    <w:rsid w:val="00AC6CC2"/>
    <w:pPr>
      <w:spacing w:after="120" w:line="240" w:lineRule="auto"/>
      <w:ind w:left="360"/>
    </w:pPr>
    <w:rPr>
      <w:rFonts w:ascii="Times New Roman" w:eastAsia="Times New Roman" w:hAnsi="Times New Roman" w:cs="Times New Roman"/>
      <w:sz w:val="16"/>
      <w:szCs w:val="16"/>
      <w:lang w:val="en-GB" w:eastAsia="x-none"/>
    </w:rPr>
  </w:style>
  <w:style w:type="character" w:customStyle="1" w:styleId="BodyTextIndent3Char">
    <w:name w:val="Body Text Indent 3 Char"/>
    <w:basedOn w:val="DefaultParagraphFont"/>
    <w:link w:val="BodyTextIndent3"/>
    <w:uiPriority w:val="99"/>
    <w:rsid w:val="00AC6CC2"/>
    <w:rPr>
      <w:rFonts w:ascii="Times New Roman" w:eastAsia="Times New Roman" w:hAnsi="Times New Roman" w:cs="Times New Roman"/>
      <w:sz w:val="16"/>
      <w:szCs w:val="16"/>
      <w:lang w:val="en-GB" w:eastAsia="x-none"/>
    </w:rPr>
  </w:style>
  <w:style w:type="paragraph" w:styleId="NoSpacing">
    <w:name w:val="No Spacing"/>
    <w:link w:val="NoSpacingChar"/>
    <w:uiPriority w:val="1"/>
    <w:qFormat/>
    <w:rsid w:val="00DD10A0"/>
    <w:pPr>
      <w:spacing w:after="0" w:line="240" w:lineRule="auto"/>
    </w:pPr>
    <w:rPr>
      <w:rFonts w:ascii="Calibri" w:hAnsi="Calibri" w:cs="Times New Roman"/>
    </w:rPr>
  </w:style>
  <w:style w:type="character" w:customStyle="1" w:styleId="NoSpacingChar">
    <w:name w:val="No Spacing Char"/>
    <w:link w:val="NoSpacing"/>
    <w:uiPriority w:val="1"/>
    <w:rsid w:val="00DD10A0"/>
    <w:rPr>
      <w:rFonts w:ascii="Calibri" w:hAnsi="Calibri" w:cs="Times New Roman"/>
    </w:rPr>
  </w:style>
  <w:style w:type="paragraph" w:customStyle="1" w:styleId="Normal051656e8-894e-4e82-abce-0f0e8baedacc">
    <w:name w:val="Normal_051656e8-894e-4e82-abce-0f0e8baedacc"/>
    <w:qFormat/>
    <w:pPr>
      <w:spacing w:after="160" w:line="259" w:lineRule="auto"/>
    </w:pPr>
    <w:rPr>
      <w:rFonts w:ascii="Times New Roman" w:eastAsiaTheme="minorHAnsi" w:hAnsi="Times New Roman" w:cs="Times New Roman"/>
      <w:spacing w:val="-1"/>
      <w:sz w:val="20"/>
      <w:szCs w:val="20"/>
    </w:rPr>
  </w:style>
  <w:style w:type="paragraph" w:customStyle="1" w:styleId="Paragraphedeliste1">
    <w:name w:val="Paragraphe de liste1"/>
    <w:basedOn w:val="Normal"/>
    <w:rsid w:val="00FA0E15"/>
    <w:pPr>
      <w:suppressAutoHyphens/>
      <w:overflowPunct w:val="0"/>
      <w:autoSpaceDE w:val="0"/>
      <w:autoSpaceDN w:val="0"/>
      <w:adjustRightInd w:val="0"/>
      <w:spacing w:after="160" w:line="256" w:lineRule="auto"/>
      <w:ind w:left="720"/>
      <w:textAlignment w:val="baseline"/>
    </w:pPr>
    <w:rPr>
      <w:rFonts w:ascii="Calibri" w:eastAsia="Times New Roman" w:hAnsi="Calibri" w:cs="Times New Roman"/>
      <w:szCs w:val="20"/>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4987091">
      <w:bodyDiv w:val="1"/>
      <w:marLeft w:val="0"/>
      <w:marRight w:val="0"/>
      <w:marTop w:val="0"/>
      <w:marBottom w:val="0"/>
      <w:divBdr>
        <w:top w:val="none" w:sz="0" w:space="0" w:color="auto"/>
        <w:left w:val="none" w:sz="0" w:space="0" w:color="auto"/>
        <w:bottom w:val="none" w:sz="0" w:space="0" w:color="auto"/>
        <w:right w:val="none" w:sz="0" w:space="0" w:color="auto"/>
      </w:divBdr>
    </w:div>
    <w:div w:id="485124004">
      <w:bodyDiv w:val="1"/>
      <w:marLeft w:val="0"/>
      <w:marRight w:val="0"/>
      <w:marTop w:val="0"/>
      <w:marBottom w:val="0"/>
      <w:divBdr>
        <w:top w:val="none" w:sz="0" w:space="0" w:color="auto"/>
        <w:left w:val="none" w:sz="0" w:space="0" w:color="auto"/>
        <w:bottom w:val="none" w:sz="0" w:space="0" w:color="auto"/>
        <w:right w:val="none" w:sz="0" w:space="0" w:color="auto"/>
      </w:divBdr>
    </w:div>
    <w:div w:id="559484807">
      <w:bodyDiv w:val="1"/>
      <w:marLeft w:val="0"/>
      <w:marRight w:val="0"/>
      <w:marTop w:val="0"/>
      <w:marBottom w:val="0"/>
      <w:divBdr>
        <w:top w:val="none" w:sz="0" w:space="0" w:color="auto"/>
        <w:left w:val="none" w:sz="0" w:space="0" w:color="auto"/>
        <w:bottom w:val="none" w:sz="0" w:space="0" w:color="auto"/>
        <w:right w:val="none" w:sz="0" w:space="0" w:color="auto"/>
      </w:divBdr>
    </w:div>
    <w:div w:id="616067303">
      <w:bodyDiv w:val="1"/>
      <w:marLeft w:val="0"/>
      <w:marRight w:val="0"/>
      <w:marTop w:val="0"/>
      <w:marBottom w:val="0"/>
      <w:divBdr>
        <w:top w:val="none" w:sz="0" w:space="0" w:color="auto"/>
        <w:left w:val="none" w:sz="0" w:space="0" w:color="auto"/>
        <w:bottom w:val="none" w:sz="0" w:space="0" w:color="auto"/>
        <w:right w:val="none" w:sz="0" w:space="0" w:color="auto"/>
      </w:divBdr>
    </w:div>
    <w:div w:id="749497502">
      <w:bodyDiv w:val="1"/>
      <w:marLeft w:val="0"/>
      <w:marRight w:val="0"/>
      <w:marTop w:val="0"/>
      <w:marBottom w:val="0"/>
      <w:divBdr>
        <w:top w:val="none" w:sz="0" w:space="0" w:color="auto"/>
        <w:left w:val="none" w:sz="0" w:space="0" w:color="auto"/>
        <w:bottom w:val="none" w:sz="0" w:space="0" w:color="auto"/>
        <w:right w:val="none" w:sz="0" w:space="0" w:color="auto"/>
      </w:divBdr>
      <w:divsChild>
        <w:div w:id="442768221">
          <w:marLeft w:val="1267"/>
          <w:marRight w:val="0"/>
          <w:marTop w:val="0"/>
          <w:marBottom w:val="0"/>
          <w:divBdr>
            <w:top w:val="none" w:sz="0" w:space="0" w:color="auto"/>
            <w:left w:val="none" w:sz="0" w:space="0" w:color="auto"/>
            <w:bottom w:val="none" w:sz="0" w:space="0" w:color="auto"/>
            <w:right w:val="none" w:sz="0" w:space="0" w:color="auto"/>
          </w:divBdr>
        </w:div>
        <w:div w:id="783235827">
          <w:marLeft w:val="1267"/>
          <w:marRight w:val="0"/>
          <w:marTop w:val="0"/>
          <w:marBottom w:val="0"/>
          <w:divBdr>
            <w:top w:val="none" w:sz="0" w:space="0" w:color="auto"/>
            <w:left w:val="none" w:sz="0" w:space="0" w:color="auto"/>
            <w:bottom w:val="none" w:sz="0" w:space="0" w:color="auto"/>
            <w:right w:val="none" w:sz="0" w:space="0" w:color="auto"/>
          </w:divBdr>
        </w:div>
        <w:div w:id="937522317">
          <w:marLeft w:val="1267"/>
          <w:marRight w:val="0"/>
          <w:marTop w:val="0"/>
          <w:marBottom w:val="0"/>
          <w:divBdr>
            <w:top w:val="none" w:sz="0" w:space="0" w:color="auto"/>
            <w:left w:val="none" w:sz="0" w:space="0" w:color="auto"/>
            <w:bottom w:val="none" w:sz="0" w:space="0" w:color="auto"/>
            <w:right w:val="none" w:sz="0" w:space="0" w:color="auto"/>
          </w:divBdr>
        </w:div>
        <w:div w:id="1558777998">
          <w:marLeft w:val="1267"/>
          <w:marRight w:val="0"/>
          <w:marTop w:val="0"/>
          <w:marBottom w:val="0"/>
          <w:divBdr>
            <w:top w:val="none" w:sz="0" w:space="0" w:color="auto"/>
            <w:left w:val="none" w:sz="0" w:space="0" w:color="auto"/>
            <w:bottom w:val="none" w:sz="0" w:space="0" w:color="auto"/>
            <w:right w:val="none" w:sz="0" w:space="0" w:color="auto"/>
          </w:divBdr>
        </w:div>
        <w:div w:id="1937864473">
          <w:marLeft w:val="547"/>
          <w:marRight w:val="0"/>
          <w:marTop w:val="0"/>
          <w:marBottom w:val="0"/>
          <w:divBdr>
            <w:top w:val="none" w:sz="0" w:space="0" w:color="auto"/>
            <w:left w:val="none" w:sz="0" w:space="0" w:color="auto"/>
            <w:bottom w:val="none" w:sz="0" w:space="0" w:color="auto"/>
            <w:right w:val="none" w:sz="0" w:space="0" w:color="auto"/>
          </w:divBdr>
        </w:div>
      </w:divsChild>
    </w:div>
    <w:div w:id="940645110">
      <w:bodyDiv w:val="1"/>
      <w:marLeft w:val="0"/>
      <w:marRight w:val="0"/>
      <w:marTop w:val="0"/>
      <w:marBottom w:val="0"/>
      <w:divBdr>
        <w:top w:val="none" w:sz="0" w:space="0" w:color="auto"/>
        <w:left w:val="none" w:sz="0" w:space="0" w:color="auto"/>
        <w:bottom w:val="none" w:sz="0" w:space="0" w:color="auto"/>
        <w:right w:val="none" w:sz="0" w:space="0" w:color="auto"/>
      </w:divBdr>
      <w:divsChild>
        <w:div w:id="1195967052">
          <w:marLeft w:val="0"/>
          <w:marRight w:val="0"/>
          <w:marTop w:val="0"/>
          <w:marBottom w:val="0"/>
          <w:divBdr>
            <w:top w:val="none" w:sz="0" w:space="0" w:color="auto"/>
            <w:left w:val="none" w:sz="0" w:space="0" w:color="auto"/>
            <w:bottom w:val="none" w:sz="0" w:space="0" w:color="auto"/>
            <w:right w:val="none" w:sz="0" w:space="0" w:color="auto"/>
          </w:divBdr>
        </w:div>
      </w:divsChild>
    </w:div>
    <w:div w:id="990869291">
      <w:bodyDiv w:val="1"/>
      <w:marLeft w:val="0"/>
      <w:marRight w:val="0"/>
      <w:marTop w:val="0"/>
      <w:marBottom w:val="0"/>
      <w:divBdr>
        <w:top w:val="none" w:sz="0" w:space="0" w:color="auto"/>
        <w:left w:val="none" w:sz="0" w:space="0" w:color="auto"/>
        <w:bottom w:val="none" w:sz="0" w:space="0" w:color="auto"/>
        <w:right w:val="none" w:sz="0" w:space="0" w:color="auto"/>
      </w:divBdr>
      <w:divsChild>
        <w:div w:id="283579810">
          <w:marLeft w:val="1267"/>
          <w:marRight w:val="0"/>
          <w:marTop w:val="0"/>
          <w:marBottom w:val="0"/>
          <w:divBdr>
            <w:top w:val="none" w:sz="0" w:space="0" w:color="auto"/>
            <w:left w:val="none" w:sz="0" w:space="0" w:color="auto"/>
            <w:bottom w:val="none" w:sz="0" w:space="0" w:color="auto"/>
            <w:right w:val="none" w:sz="0" w:space="0" w:color="auto"/>
          </w:divBdr>
        </w:div>
        <w:div w:id="365451976">
          <w:marLeft w:val="1267"/>
          <w:marRight w:val="0"/>
          <w:marTop w:val="0"/>
          <w:marBottom w:val="0"/>
          <w:divBdr>
            <w:top w:val="none" w:sz="0" w:space="0" w:color="auto"/>
            <w:left w:val="none" w:sz="0" w:space="0" w:color="auto"/>
            <w:bottom w:val="none" w:sz="0" w:space="0" w:color="auto"/>
            <w:right w:val="none" w:sz="0" w:space="0" w:color="auto"/>
          </w:divBdr>
        </w:div>
        <w:div w:id="907570039">
          <w:marLeft w:val="1267"/>
          <w:marRight w:val="0"/>
          <w:marTop w:val="0"/>
          <w:marBottom w:val="0"/>
          <w:divBdr>
            <w:top w:val="none" w:sz="0" w:space="0" w:color="auto"/>
            <w:left w:val="none" w:sz="0" w:space="0" w:color="auto"/>
            <w:bottom w:val="none" w:sz="0" w:space="0" w:color="auto"/>
            <w:right w:val="none" w:sz="0" w:space="0" w:color="auto"/>
          </w:divBdr>
        </w:div>
      </w:divsChild>
    </w:div>
    <w:div w:id="1046680318">
      <w:bodyDiv w:val="1"/>
      <w:marLeft w:val="0"/>
      <w:marRight w:val="0"/>
      <w:marTop w:val="0"/>
      <w:marBottom w:val="0"/>
      <w:divBdr>
        <w:top w:val="none" w:sz="0" w:space="0" w:color="auto"/>
        <w:left w:val="none" w:sz="0" w:space="0" w:color="auto"/>
        <w:bottom w:val="none" w:sz="0" w:space="0" w:color="auto"/>
        <w:right w:val="none" w:sz="0" w:space="0" w:color="auto"/>
      </w:divBdr>
      <w:divsChild>
        <w:div w:id="471211445">
          <w:marLeft w:val="1166"/>
          <w:marRight w:val="0"/>
          <w:marTop w:val="0"/>
          <w:marBottom w:val="0"/>
          <w:divBdr>
            <w:top w:val="none" w:sz="0" w:space="0" w:color="auto"/>
            <w:left w:val="none" w:sz="0" w:space="0" w:color="auto"/>
            <w:bottom w:val="none" w:sz="0" w:space="0" w:color="auto"/>
            <w:right w:val="none" w:sz="0" w:space="0" w:color="auto"/>
          </w:divBdr>
        </w:div>
        <w:div w:id="938948785">
          <w:marLeft w:val="1166"/>
          <w:marRight w:val="0"/>
          <w:marTop w:val="0"/>
          <w:marBottom w:val="0"/>
          <w:divBdr>
            <w:top w:val="none" w:sz="0" w:space="0" w:color="auto"/>
            <w:left w:val="none" w:sz="0" w:space="0" w:color="auto"/>
            <w:bottom w:val="none" w:sz="0" w:space="0" w:color="auto"/>
            <w:right w:val="none" w:sz="0" w:space="0" w:color="auto"/>
          </w:divBdr>
        </w:div>
        <w:div w:id="1134760081">
          <w:marLeft w:val="446"/>
          <w:marRight w:val="0"/>
          <w:marTop w:val="0"/>
          <w:marBottom w:val="0"/>
          <w:divBdr>
            <w:top w:val="none" w:sz="0" w:space="0" w:color="auto"/>
            <w:left w:val="none" w:sz="0" w:space="0" w:color="auto"/>
            <w:bottom w:val="none" w:sz="0" w:space="0" w:color="auto"/>
            <w:right w:val="none" w:sz="0" w:space="0" w:color="auto"/>
          </w:divBdr>
        </w:div>
        <w:div w:id="1752311276">
          <w:marLeft w:val="1166"/>
          <w:marRight w:val="0"/>
          <w:marTop w:val="0"/>
          <w:marBottom w:val="0"/>
          <w:divBdr>
            <w:top w:val="none" w:sz="0" w:space="0" w:color="auto"/>
            <w:left w:val="none" w:sz="0" w:space="0" w:color="auto"/>
            <w:bottom w:val="none" w:sz="0" w:space="0" w:color="auto"/>
            <w:right w:val="none" w:sz="0" w:space="0" w:color="auto"/>
          </w:divBdr>
        </w:div>
      </w:divsChild>
    </w:div>
    <w:div w:id="1051461142">
      <w:bodyDiv w:val="1"/>
      <w:marLeft w:val="0"/>
      <w:marRight w:val="0"/>
      <w:marTop w:val="0"/>
      <w:marBottom w:val="0"/>
      <w:divBdr>
        <w:top w:val="none" w:sz="0" w:space="0" w:color="auto"/>
        <w:left w:val="none" w:sz="0" w:space="0" w:color="auto"/>
        <w:bottom w:val="none" w:sz="0" w:space="0" w:color="auto"/>
        <w:right w:val="none" w:sz="0" w:space="0" w:color="auto"/>
      </w:divBdr>
      <w:divsChild>
        <w:div w:id="103767261">
          <w:marLeft w:val="547"/>
          <w:marRight w:val="0"/>
          <w:marTop w:val="0"/>
          <w:marBottom w:val="0"/>
          <w:divBdr>
            <w:top w:val="none" w:sz="0" w:space="0" w:color="auto"/>
            <w:left w:val="none" w:sz="0" w:space="0" w:color="auto"/>
            <w:bottom w:val="none" w:sz="0" w:space="0" w:color="auto"/>
            <w:right w:val="none" w:sz="0" w:space="0" w:color="auto"/>
          </w:divBdr>
        </w:div>
      </w:divsChild>
    </w:div>
    <w:div w:id="1453523704">
      <w:bodyDiv w:val="1"/>
      <w:marLeft w:val="0"/>
      <w:marRight w:val="0"/>
      <w:marTop w:val="0"/>
      <w:marBottom w:val="0"/>
      <w:divBdr>
        <w:top w:val="none" w:sz="0" w:space="0" w:color="auto"/>
        <w:left w:val="none" w:sz="0" w:space="0" w:color="auto"/>
        <w:bottom w:val="none" w:sz="0" w:space="0" w:color="auto"/>
        <w:right w:val="none" w:sz="0" w:space="0" w:color="auto"/>
      </w:divBdr>
    </w:div>
    <w:div w:id="1472792412">
      <w:bodyDiv w:val="1"/>
      <w:marLeft w:val="0"/>
      <w:marRight w:val="0"/>
      <w:marTop w:val="0"/>
      <w:marBottom w:val="0"/>
      <w:divBdr>
        <w:top w:val="none" w:sz="0" w:space="0" w:color="auto"/>
        <w:left w:val="none" w:sz="0" w:space="0" w:color="auto"/>
        <w:bottom w:val="none" w:sz="0" w:space="0" w:color="auto"/>
        <w:right w:val="none" w:sz="0" w:space="0" w:color="auto"/>
      </w:divBdr>
    </w:div>
    <w:div w:id="1588030303">
      <w:bodyDiv w:val="1"/>
      <w:marLeft w:val="0"/>
      <w:marRight w:val="0"/>
      <w:marTop w:val="0"/>
      <w:marBottom w:val="0"/>
      <w:divBdr>
        <w:top w:val="none" w:sz="0" w:space="0" w:color="auto"/>
        <w:left w:val="none" w:sz="0" w:space="0" w:color="auto"/>
        <w:bottom w:val="none" w:sz="0" w:space="0" w:color="auto"/>
        <w:right w:val="none" w:sz="0" w:space="0" w:color="auto"/>
      </w:divBdr>
      <w:divsChild>
        <w:div w:id="233708176">
          <w:marLeft w:val="1267"/>
          <w:marRight w:val="0"/>
          <w:marTop w:val="0"/>
          <w:marBottom w:val="0"/>
          <w:divBdr>
            <w:top w:val="none" w:sz="0" w:space="0" w:color="auto"/>
            <w:left w:val="none" w:sz="0" w:space="0" w:color="auto"/>
            <w:bottom w:val="none" w:sz="0" w:space="0" w:color="auto"/>
            <w:right w:val="none" w:sz="0" w:space="0" w:color="auto"/>
          </w:divBdr>
        </w:div>
        <w:div w:id="354431721">
          <w:marLeft w:val="1267"/>
          <w:marRight w:val="0"/>
          <w:marTop w:val="0"/>
          <w:marBottom w:val="0"/>
          <w:divBdr>
            <w:top w:val="none" w:sz="0" w:space="0" w:color="auto"/>
            <w:left w:val="none" w:sz="0" w:space="0" w:color="auto"/>
            <w:bottom w:val="none" w:sz="0" w:space="0" w:color="auto"/>
            <w:right w:val="none" w:sz="0" w:space="0" w:color="auto"/>
          </w:divBdr>
        </w:div>
        <w:div w:id="416362702">
          <w:marLeft w:val="1267"/>
          <w:marRight w:val="0"/>
          <w:marTop w:val="0"/>
          <w:marBottom w:val="0"/>
          <w:divBdr>
            <w:top w:val="none" w:sz="0" w:space="0" w:color="auto"/>
            <w:left w:val="none" w:sz="0" w:space="0" w:color="auto"/>
            <w:bottom w:val="none" w:sz="0" w:space="0" w:color="auto"/>
            <w:right w:val="none" w:sz="0" w:space="0" w:color="auto"/>
          </w:divBdr>
        </w:div>
        <w:div w:id="824711487">
          <w:marLeft w:val="1267"/>
          <w:marRight w:val="0"/>
          <w:marTop w:val="0"/>
          <w:marBottom w:val="0"/>
          <w:divBdr>
            <w:top w:val="none" w:sz="0" w:space="0" w:color="auto"/>
            <w:left w:val="none" w:sz="0" w:space="0" w:color="auto"/>
            <w:bottom w:val="none" w:sz="0" w:space="0" w:color="auto"/>
            <w:right w:val="none" w:sz="0" w:space="0" w:color="auto"/>
          </w:divBdr>
        </w:div>
        <w:div w:id="1347320040">
          <w:marLeft w:val="1267"/>
          <w:marRight w:val="0"/>
          <w:marTop w:val="0"/>
          <w:marBottom w:val="0"/>
          <w:divBdr>
            <w:top w:val="none" w:sz="0" w:space="0" w:color="auto"/>
            <w:left w:val="none" w:sz="0" w:space="0" w:color="auto"/>
            <w:bottom w:val="none" w:sz="0" w:space="0" w:color="auto"/>
            <w:right w:val="none" w:sz="0" w:space="0" w:color="auto"/>
          </w:divBdr>
        </w:div>
        <w:div w:id="1432551780">
          <w:marLeft w:val="1267"/>
          <w:marRight w:val="0"/>
          <w:marTop w:val="0"/>
          <w:marBottom w:val="0"/>
          <w:divBdr>
            <w:top w:val="none" w:sz="0" w:space="0" w:color="auto"/>
            <w:left w:val="none" w:sz="0" w:space="0" w:color="auto"/>
            <w:bottom w:val="none" w:sz="0" w:space="0" w:color="auto"/>
            <w:right w:val="none" w:sz="0" w:space="0" w:color="auto"/>
          </w:divBdr>
        </w:div>
      </w:divsChild>
    </w:div>
    <w:div w:id="1720011804">
      <w:bodyDiv w:val="1"/>
      <w:marLeft w:val="0"/>
      <w:marRight w:val="0"/>
      <w:marTop w:val="0"/>
      <w:marBottom w:val="0"/>
      <w:divBdr>
        <w:top w:val="none" w:sz="0" w:space="0" w:color="auto"/>
        <w:left w:val="none" w:sz="0" w:space="0" w:color="auto"/>
        <w:bottom w:val="none" w:sz="0" w:space="0" w:color="auto"/>
        <w:right w:val="none" w:sz="0" w:space="0" w:color="auto"/>
      </w:divBdr>
    </w:div>
    <w:div w:id="1908346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fr.wikipedia.org/wiki/Pr%C3%A9valence" TargetMode="External"/><Relationship Id="rId26" Type="http://schemas.openxmlformats.org/officeDocument/2006/relationships/image" Target="media/image7.jpeg"/><Relationship Id="rId3" Type="http://schemas.openxmlformats.org/officeDocument/2006/relationships/customXml" Target="../customXml/item3.xml"/><Relationship Id="rId21" Type="http://schemas.openxmlformats.org/officeDocument/2006/relationships/hyperlink" Target="https://fr.wikipedia.org/wiki/End%C3%A9mie" TargetMode="External"/><Relationship Id="rId34" Type="http://schemas.openxmlformats.org/officeDocument/2006/relationships/footer" Target="footer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fr.wikipedia.org/wiki/Incidence_(%C3%A9pid%C3%A9miologie)" TargetMode="External"/><Relationship Id="rId25" Type="http://schemas.openxmlformats.org/officeDocument/2006/relationships/image" Target="media/image6.jpeg"/><Relationship Id="rId33"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hyperlink" Target="https://fr.wikipedia.org/wiki/End%C3%A9mie" TargetMode="External"/><Relationship Id="rId20" Type="http://schemas.openxmlformats.org/officeDocument/2006/relationships/hyperlink" Target="https://fr.wikipedia.org/wiki/Virus_de_l%27immunod%C3%A9ficience_humaine"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5.jpeg"/><Relationship Id="rId32"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yperlink" Target="https://fr.wikipedia.org/wiki/Contagiosit%C3%A9" TargetMode="Externa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fr.wikipedia.org/wiki/Pand%C3%A9mie" TargetMode="External"/><Relationship Id="rId31" Type="http://schemas.openxmlformats.org/officeDocument/2006/relationships/hyperlink" Target="https://www.epa.gov/homeland-security-waste/waste-management-benefits-planning-and-mitigation-activities-homeland"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fr.wikipedia.org/wiki/Incidence_(%C3%A9pid%C3%A9miologie)" TargetMode="External"/><Relationship Id="rId22" Type="http://schemas.openxmlformats.org/officeDocument/2006/relationships/hyperlink" Target="https://fr.wikipedia.org/wiki/Poliomy%C3%A9lite" TargetMode="External"/><Relationship Id="rId27" Type="http://schemas.openxmlformats.org/officeDocument/2006/relationships/image" Target="media/image8.jpeg"/><Relationship Id="rId30" Type="http://schemas.openxmlformats.org/officeDocument/2006/relationships/footer" Target="footer1.xml"/><Relationship Id="rId35" Type="http://schemas.openxmlformats.org/officeDocument/2006/relationships/fontTable" Target="fontTable.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4F5382D4D604D848A03B76D4B1B416A4" ma:contentTypeVersion="6" ma:contentTypeDescription="Create a new document." ma:contentTypeScope="" ma:versionID="9d49cc63ad14701dabd259a636929be8">
  <xsd:schema xmlns:xsd="http://www.w3.org/2001/XMLSchema" xmlns:xs="http://www.w3.org/2001/XMLSchema" xmlns:p="http://schemas.microsoft.com/office/2006/metadata/properties" xmlns:ns2="634e08e0-2cc6-4b3a-89f4-05f6b9322b4e" xmlns:ns3="08cee27f-6e4e-4515-b45c-04348933800e" targetNamespace="http://schemas.microsoft.com/office/2006/metadata/properties" ma:root="true" ma:fieldsID="1dec5ee57cd2e3e509f65109a84c2500" ns2:_="" ns3:_="">
    <xsd:import namespace="634e08e0-2cc6-4b3a-89f4-05f6b9322b4e"/>
    <xsd:import namespace="08cee27f-6e4e-4515-b45c-04348933800e"/>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4e08e0-2cc6-4b3a-89f4-05f6b9322b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8cee27f-6e4e-4515-b45c-04348933800e"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0B1370D-566D-4D64-A821-C3495F98E5DB}">
  <ds:schemaRefs>
    <ds:schemaRef ds:uri="http://schemas.openxmlformats.org/officeDocument/2006/bibliography"/>
  </ds:schemaRefs>
</ds:datastoreItem>
</file>

<file path=customXml/itemProps2.xml><?xml version="1.0" encoding="utf-8"?>
<ds:datastoreItem xmlns:ds="http://schemas.openxmlformats.org/officeDocument/2006/customXml" ds:itemID="{E6A8388E-D573-4978-ABA7-FD800B84274D}">
  <ds:schemaRefs>
    <ds:schemaRef ds:uri="http://schemas.microsoft.com/sharepoint/v3/contenttype/forms"/>
  </ds:schemaRefs>
</ds:datastoreItem>
</file>

<file path=customXml/itemProps3.xml><?xml version="1.0" encoding="utf-8"?>
<ds:datastoreItem xmlns:ds="http://schemas.openxmlformats.org/officeDocument/2006/customXml" ds:itemID="{00F4E0E6-77DA-4B56-B583-24F8DA631C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34e08e0-2cc6-4b3a-89f4-05f6b9322b4e"/>
    <ds:schemaRef ds:uri="08cee27f-6e4e-4515-b45c-04348933800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A7FC7F2D-EBD6-4E90-94D1-5F06B6241957}">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11575</TotalTime>
  <Pages>107</Pages>
  <Words>43615</Words>
  <Characters>248610</Characters>
  <Application>Microsoft Office Word</Application>
  <DocSecurity>0</DocSecurity>
  <Lines>2071</Lines>
  <Paragraphs>583</Paragraphs>
  <ScaleCrop>false</ScaleCrop>
  <HeadingPairs>
    <vt:vector size="2" baseType="variant">
      <vt:variant>
        <vt:lpstr>Title</vt:lpstr>
      </vt:variant>
      <vt:variant>
        <vt:i4>1</vt:i4>
      </vt:variant>
    </vt:vector>
  </HeadingPairs>
  <TitlesOfParts>
    <vt:vector size="1" baseType="lpstr">
      <vt:lpstr>Cadre de gestion environnementale et sociale</vt:lpstr>
    </vt:vector>
  </TitlesOfParts>
  <Company>The World Bank Group</Company>
  <LinksUpToDate>false</LinksUpToDate>
  <CharactersWithSpaces>291642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Cadre de gestion environnementale et sociale</dc:title>
  <dc:subject/>
  <dc:creator>Ning Yang</dc:creator>
  <cp:keywords>COVID; ESMF; ESMF template</cp:keywords>
  <cp:lastModifiedBy>Mohamed Diabate</cp:lastModifiedBy>
  <cp:revision>1428</cp:revision>
  <cp:lastPrinted>2025-05-05T18:05:00Z</cp:lastPrinted>
  <dcterms:created xsi:type="dcterms:W3CDTF">2024-10-15T15:31:00Z</dcterms:created>
  <dcterms:modified xsi:type="dcterms:W3CDTF">2025-05-06T00:03:00Z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0x0101004F5382D4D604D848A03B76D4B1B416A4</vt:lpwstr>
  </property>
  <property fmtid="{D5CDD505-2E9C-101B-9397-08002B2CF9AE}" pid="3" name="TaxKeyword">
    <vt:lpwstr>34;#COVID|dfc73f8e-c04e-4862-a0f1-090864d0af8e;#44;#ESMF template|c848ceaf-df25-4ba6-b14c-a024eea167af;#120;#ESMF|79e60a40-aa30-4fd3-bf07-964f8f363f48</vt:lpwstr>
  </property>
  <property fmtid="{D5CDD505-2E9C-101B-9397-08002B2CF9AE}" pid="4" name="Region">
    <vt:lpwstr>4;#World|181f87ec-6d12-43c8-9f7a-dc47bc14aa64</vt:lpwstr>
  </property>
  <property fmtid="{D5CDD505-2E9C-101B-9397-08002B2CF9AE}" pid="5" name="BusinessFunctions">
    <vt:lpwstr/>
  </property>
  <property fmtid="{D5CDD505-2E9C-101B-9397-08002B2CF9AE}" pid="6" name="Organization">
    <vt:lpwstr>3;#World Bank|bc205cc9-8a56-48a3-9f30-b099e7707c1b</vt:lpwstr>
  </property>
  <property fmtid="{D5CDD505-2E9C-101B-9397-08002B2CF9AE}" pid="7" name="Country">
    <vt:lpwstr/>
  </property>
  <property fmtid="{D5CDD505-2E9C-101B-9397-08002B2CF9AE}" pid="8" name="DocumentType">
    <vt:lpwstr>42;#Environmental Action Plan|710a3b62-be39-4bdf-bcc2-be71d9d5252f</vt:lpwstr>
  </property>
  <property fmtid="{D5CDD505-2E9C-101B-9397-08002B2CF9AE}" pid="9" name="VPU">
    <vt:lpwstr>11;#Operations Policy ＆ Country Services VP (OPS)|db476ba0-ec71-4b53-8c80-eca6e3887ba4</vt:lpwstr>
  </property>
  <property fmtid="{D5CDD505-2E9C-101B-9397-08002B2CF9AE}" pid="10" name="InternalSponsor">
    <vt:lpwstr/>
  </property>
  <property fmtid="{D5CDD505-2E9C-101B-9397-08002B2CF9AE}" pid="11" name="Topics">
    <vt:lpwstr/>
  </property>
  <property fmtid="{D5CDD505-2E9C-101B-9397-08002B2CF9AE}" pid="12" name="GeographicArea">
    <vt:lpwstr>4;#World|181f87ec-6d12-43c8-9f7a-dc47bc14aa64</vt:lpwstr>
  </property>
  <property fmtid="{D5CDD505-2E9C-101B-9397-08002B2CF9AE}" pid="13" name="Languages">
    <vt:lpwstr>2;#English|e31af5d6-94ea-4ba5-925e-022fd8479dfd</vt:lpwstr>
  </property>
  <property fmtid="{D5CDD505-2E9C-101B-9397-08002B2CF9AE}" pid="14" name="InformationClassification">
    <vt:lpwstr>1;#Official Use Only|4119b812-446b-4199-aebc-580c95bfd42a</vt:lpwstr>
  </property>
  <property fmtid="{D5CDD505-2E9C-101B-9397-08002B2CF9AE}" pid="15" name="ExternalSponsor">
    <vt:lpwstr/>
  </property>
  <property fmtid="{D5CDD505-2E9C-101B-9397-08002B2CF9AE}" pid="16" name="_ExtendedDescription">
    <vt:lpwstr/>
  </property>
</Properties>
</file>